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57D4E">
      <w:pPr>
        <w:spacing w:after="100"/>
        <w:jc w:val="center"/>
        <w:rPr>
          <w:rFonts w:ascii="Arial" w:hAnsi="Arial" w:cs="Arial"/>
          <w:b/>
          <w:bCs/>
          <w:color w:val="000000" w:themeColor="text1"/>
          <w:sz w:val="40"/>
          <w:szCs w:val="40"/>
          <w14:textFill>
            <w14:solidFill>
              <w14:schemeClr w14:val="tx1"/>
            </w14:solidFill>
          </w14:textFill>
        </w:rPr>
      </w:pPr>
      <w:r>
        <w:rPr>
          <w:rFonts w:ascii="Arial" w:hAnsi="Arial" w:cs="Arial"/>
          <w:b/>
          <w:bCs/>
          <w:color w:val="000000" w:themeColor="text1"/>
          <w:sz w:val="40"/>
          <w:szCs w:val="40"/>
          <w14:textFill>
            <w14:solidFill>
              <w14:schemeClr w14:val="tx1"/>
            </w14:solidFill>
          </w14:textFill>
        </w:rPr>
        <w:t>EVALUACIÓN PARCIAL</w:t>
      </w:r>
    </w:p>
    <w:p w14:paraId="70AC7E1E">
      <w:pPr>
        <w:spacing w:after="100"/>
        <w:jc w:val="center"/>
        <w:rPr>
          <w:rFonts w:ascii="Arial" w:hAnsi="Arial" w:cs="Arial"/>
          <w:b/>
          <w:bCs/>
          <w:color w:val="000000" w:themeColor="text1"/>
          <w:sz w:val="40"/>
          <w:szCs w:val="40"/>
          <w14:textFill>
            <w14:solidFill>
              <w14:schemeClr w14:val="tx1"/>
            </w14:solidFill>
          </w14:textFill>
        </w:rPr>
      </w:pPr>
      <w:r>
        <w:rPr>
          <w:rFonts w:ascii="Arial" w:hAnsi="Arial" w:cs="Arial"/>
          <w:b/>
          <w:bCs/>
          <w:color w:val="000000" w:themeColor="text1"/>
          <w:sz w:val="40"/>
          <w:szCs w:val="40"/>
          <w14:textFill>
            <w14:solidFill>
              <w14:schemeClr w14:val="tx1"/>
            </w14:solidFill>
          </w14:textFill>
        </w:rPr>
        <w:t>PROYECTO BASE DATOS AVANZ. Y BIG DATA</w:t>
      </w:r>
    </w:p>
    <w:p w14:paraId="67343DA5">
      <w:pPr>
        <w:spacing w:after="100"/>
        <w:jc w:val="center"/>
        <w:rPr>
          <w:rFonts w:ascii="Arial" w:hAnsi="Arial" w:cs="Arial"/>
          <w:color w:val="000000" w:themeColor="text1"/>
          <w14:textFill>
            <w14:solidFill>
              <w14:schemeClr w14:val="tx1"/>
            </w14:solidFill>
          </w14:textFill>
        </w:rPr>
      </w:pPr>
    </w:p>
    <w:p w14:paraId="246F458D">
      <w:pPr>
        <w:spacing w:after="60"/>
        <w:jc w:val="center"/>
        <w:rPr>
          <w:rFonts w:ascii="Arial" w:hAnsi="Arial" w:cs="Arial"/>
          <w:color w:val="000000" w:themeColor="text1"/>
          <w14:textFill>
            <w14:solidFill>
              <w14:schemeClr w14:val="tx1"/>
            </w14:solidFill>
          </w14:textFill>
        </w:rPr>
      </w:pPr>
      <w:r>
        <w:rPr>
          <w:rFonts w:ascii="Arial" w:hAnsi="Arial" w:cs="Arial"/>
          <w:b/>
          <w:bCs/>
          <w:color w:val="000000" w:themeColor="text1"/>
          <w:sz w:val="26"/>
          <w:szCs w:val="26"/>
          <w14:textFill>
            <w14:solidFill>
              <w14:schemeClr w14:val="tx1"/>
            </w14:solidFill>
          </w14:textFill>
        </w:rPr>
        <w:t>DIRESA La Libertad - Vigilancia Epidemiológica de Dengue (MINSA, 2000-2024)</w:t>
      </w:r>
    </w:p>
    <w:p w14:paraId="7021DCFA">
      <w:pPr>
        <w:spacing w:after="400"/>
        <w:rPr>
          <w:rFonts w:ascii="Arial" w:hAnsi="Arial" w:cs="Arial"/>
          <w:color w:val="000000" w:themeColor="text1"/>
          <w:sz w:val="22"/>
          <w:szCs w:val="22"/>
          <w14:textFill>
            <w14:solidFill>
              <w14:schemeClr w14:val="tx1"/>
            </w14:solidFill>
          </w14:textFill>
        </w:rPr>
      </w:pPr>
    </w:p>
    <w:p w14:paraId="55EB3875">
      <w:pPr>
        <w:spacing w:after="400"/>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Integrantes:</w:t>
      </w:r>
    </w:p>
    <w:p w14:paraId="3BE1C655">
      <w:pPr>
        <w:spacing w:after="400"/>
        <w:jc w:val="center"/>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Brenis Lozano, Leonardo Jesus - Ingeniería de Sistemas</w:t>
      </w:r>
    </w:p>
    <w:p w14:paraId="5F827EF2">
      <w:pPr>
        <w:spacing w:after="400"/>
        <w:jc w:val="center"/>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Atarama Gutarra, Valentino - Ingeniería de Sistemas</w:t>
      </w:r>
    </w:p>
    <w:p w14:paraId="2C4D027A">
      <w:pPr>
        <w:spacing w:after="400"/>
        <w:jc w:val="center"/>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Tipian Holguin, Joaquin Alexis - Ingeniería de Sistemas</w:t>
      </w:r>
    </w:p>
    <w:p w14:paraId="5580CA37">
      <w:pPr>
        <w:spacing w:after="400"/>
        <w:jc w:val="center"/>
        <w:rPr>
          <w:rFonts w:ascii="Arial" w:hAnsi="Arial" w:cs="Arial"/>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Vega Briones, Mateo Abraham Arturo - Ingeniería de Sistemas</w:t>
      </w:r>
    </w:p>
    <w:p w14:paraId="2164BFC4">
      <w:pPr>
        <w:spacing w:after="400"/>
        <w:jc w:val="center"/>
        <w:rPr>
          <w:rFonts w:ascii="Arial" w:hAnsi="Arial" w:cs="Arial"/>
          <w:color w:val="000000" w:themeColor="text1"/>
          <w:sz w:val="22"/>
          <w:szCs w:val="22"/>
          <w14:textFill>
            <w14:solidFill>
              <w14:schemeClr w14:val="tx1"/>
            </w14:solidFill>
          </w14:textFill>
        </w:rPr>
      </w:pPr>
    </w:p>
    <w:p w14:paraId="31E269F8">
      <w:pPr>
        <w:spacing w:after="400"/>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Ciclo Académico: 2026 - 2</w:t>
      </w:r>
    </w:p>
    <w:p w14:paraId="1704019A">
      <w:pPr>
        <w:spacing w:after="400"/>
        <w:jc w:val="center"/>
        <w:rPr>
          <w:rFonts w:ascii="Arial" w:hAnsi="Arial" w:cs="Arial"/>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Docentes Asesores:</w:t>
      </w:r>
      <w:r>
        <w:rPr>
          <w:rFonts w:ascii="Arial" w:hAnsi="Arial" w:cs="Arial"/>
          <w:color w:val="000000" w:themeColor="text1"/>
          <w:sz w:val="22"/>
          <w:szCs w:val="22"/>
          <w14:textFill>
            <w14:solidFill>
              <w14:schemeClr w14:val="tx1"/>
            </w14:solidFill>
          </w14:textFill>
        </w:rPr>
        <w:t xml:space="preserve"> Yonni Yovani Lopez Vitor, Andres Elias Araujo Acuña</w:t>
      </w:r>
    </w:p>
    <w:p w14:paraId="2B375A87">
      <w:pPr>
        <w:spacing w:after="400"/>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Sede: Breña</w:t>
      </w:r>
    </w:p>
    <w:p w14:paraId="4D4149BE">
      <w:pPr>
        <w:spacing w:after="400"/>
        <w:rPr>
          <w:rFonts w:ascii="Arial" w:hAnsi="Arial" w:cs="Arial"/>
          <w:color w:val="000000" w:themeColor="text1"/>
          <w:sz w:val="22"/>
          <w:szCs w:val="22"/>
          <w14:textFill>
            <w14:solidFill>
              <w14:schemeClr w14:val="tx1"/>
            </w14:solidFill>
          </w14:textFill>
        </w:rPr>
      </w:pPr>
    </w:p>
    <w:p w14:paraId="70752912">
      <w:pPr>
        <w:spacing w:after="400"/>
        <w:rPr>
          <w:rFonts w:ascii="Arial" w:hAnsi="Arial" w:cs="Arial"/>
          <w:color w:val="000000" w:themeColor="text1"/>
          <w:sz w:val="22"/>
          <w:szCs w:val="22"/>
          <w14:textFill>
            <w14:solidFill>
              <w14:schemeClr w14:val="tx1"/>
            </w14:solidFill>
          </w14:textFill>
        </w:rPr>
      </w:pPr>
    </w:p>
    <w:p w14:paraId="25A5301E">
      <w:pPr>
        <w:spacing w:after="400"/>
        <w:rPr>
          <w:rFonts w:ascii="Arial" w:hAnsi="Arial" w:cs="Arial"/>
          <w:color w:val="000000" w:themeColor="text1"/>
          <w:sz w:val="22"/>
          <w:szCs w:val="22"/>
          <w14:textFill>
            <w14:solidFill>
              <w14:schemeClr w14:val="tx1"/>
            </w14:solidFill>
          </w14:textFill>
        </w:rPr>
      </w:pPr>
    </w:p>
    <w:p w14:paraId="2B6A6B65">
      <w:pPr>
        <w:spacing w:after="400"/>
        <w:rPr>
          <w:rFonts w:ascii="Arial" w:hAnsi="Arial" w:cs="Arial"/>
          <w:color w:val="000000" w:themeColor="text1"/>
          <w:sz w:val="22"/>
          <w:szCs w:val="22"/>
          <w14:textFill>
            <w14:solidFill>
              <w14:schemeClr w14:val="tx1"/>
            </w14:solidFill>
          </w14:textFill>
        </w:rPr>
      </w:pPr>
    </w:p>
    <w:p w14:paraId="145E2ED4">
      <w:pPr>
        <w:spacing w:after="400"/>
        <w:rPr>
          <w:rFonts w:ascii="Arial" w:hAnsi="Arial" w:cs="Arial"/>
          <w:color w:val="000000" w:themeColor="text1"/>
          <w:sz w:val="22"/>
          <w:szCs w:val="22"/>
          <w14:textFill>
            <w14:solidFill>
              <w14:schemeClr w14:val="tx1"/>
            </w14:solidFill>
          </w14:textFill>
        </w:rPr>
      </w:pPr>
    </w:p>
    <w:p w14:paraId="6CE55F19">
      <w:pPr>
        <w:spacing w:after="400"/>
        <w:rPr>
          <w:rFonts w:ascii="Arial" w:hAnsi="Arial" w:cs="Arial"/>
          <w:color w:val="000000" w:themeColor="text1"/>
          <w:sz w:val="22"/>
          <w:szCs w:val="22"/>
          <w14:textFill>
            <w14:solidFill>
              <w14:schemeClr w14:val="tx1"/>
            </w14:solidFill>
          </w14:textFill>
        </w:rPr>
      </w:pPr>
    </w:p>
    <w:p w14:paraId="214C641A">
      <w:pPr>
        <w:spacing w:after="400"/>
        <w:rPr>
          <w:rFonts w:ascii="Arial" w:hAnsi="Arial" w:cs="Arial"/>
          <w:color w:val="000000" w:themeColor="text1"/>
          <w:sz w:val="22"/>
          <w:szCs w:val="22"/>
          <w14:textFill>
            <w14:solidFill>
              <w14:schemeClr w14:val="tx1"/>
            </w14:solidFill>
          </w14:textFill>
        </w:rPr>
      </w:pPr>
    </w:p>
    <w:p w14:paraId="5BCC076A">
      <w:pPr>
        <w:rPr>
          <w:rFonts w:ascii="Arial" w:hAnsi="Arial" w:cs="Arial"/>
          <w:b/>
          <w:bCs/>
          <w:color w:val="000000" w:themeColor="text1"/>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Paso 1: Relevamiento del dominio · ETL de limpieza · Normalización 1FN–2FN–3FN</w:t>
      </w:r>
    </w:p>
    <w:p w14:paraId="3D455B81">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PASO 1 - Ficha de Relevamiento de Datos</w:t>
      </w:r>
    </w:p>
    <w:p w14:paraId="28D43038">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1.1 Origen del dataset</w:t>
      </w:r>
    </w:p>
    <w:p w14:paraId="6F4A8B57">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Fuente: Plataforma Nacional de Datos Abiertos del Perú (datosabiertos.gob.pe), Ministerio de Salud (MINSA) - conjunto "Vigilancia Epidemiológica de Dengue", serie histórica 2000–2024.</w:t>
      </w:r>
    </w:p>
    <w:p w14:paraId="19D06EE3">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Archivo de trabajo: datos_abiertos_vigilancia_dengue_2000_2024.csv — delimitador punto y coma (;), codificación UTF-8 con BOM, terminador de línea CRLF.</w:t>
      </w:r>
    </w:p>
    <w:p w14:paraId="6C3AABB1">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Volumen original: 1,029,421 registros (filas) × 14 columnas. Corresponde a casos individuales de dengue notificados por establecimientos de salud a nivel nacional, no exclusivos de La Libertad — el proyecto filtra/segmenta por región en la capa de explotación (Bloque 3).</w:t>
      </w:r>
    </w:p>
    <w:p w14:paraId="21D98C1B">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1.2 Esquema original (tal como llega del MINSA)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8"/>
        <w:gridCol w:w="1593"/>
        <w:gridCol w:w="3870"/>
        <w:gridCol w:w="2049"/>
      </w:tblGrid>
      <w:tr w14:paraId="68A8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1F4E79"/>
            <w:tcMar>
              <w:top w:w="60" w:type="dxa"/>
              <w:left w:w="100" w:type="dxa"/>
              <w:bottom w:w="60" w:type="dxa"/>
              <w:right w:w="100" w:type="dxa"/>
            </w:tcMar>
          </w:tcPr>
          <w:p w14:paraId="31E0A361">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Columna</w:t>
            </w:r>
          </w:p>
        </w:tc>
        <w:tc>
          <w:tcPr>
            <w:tcW w:w="1400" w:type="dxa"/>
            <w:shd w:val="clear" w:color="auto" w:fill="1F4E79"/>
            <w:tcMar>
              <w:top w:w="60" w:type="dxa"/>
              <w:left w:w="100" w:type="dxa"/>
              <w:bottom w:w="60" w:type="dxa"/>
              <w:right w:w="100" w:type="dxa"/>
            </w:tcMar>
          </w:tcPr>
          <w:p w14:paraId="11E8833A">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Tipo origen</w:t>
            </w:r>
          </w:p>
        </w:tc>
        <w:tc>
          <w:tcPr>
            <w:tcW w:w="3400" w:type="dxa"/>
            <w:shd w:val="clear" w:color="auto" w:fill="1F4E79"/>
            <w:tcMar>
              <w:top w:w="60" w:type="dxa"/>
              <w:left w:w="100" w:type="dxa"/>
              <w:bottom w:w="60" w:type="dxa"/>
              <w:right w:w="100" w:type="dxa"/>
            </w:tcMar>
          </w:tcPr>
          <w:p w14:paraId="1FFF0A62">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Descripción</w:t>
            </w:r>
          </w:p>
        </w:tc>
        <w:tc>
          <w:tcPr>
            <w:tcW w:w="1800" w:type="dxa"/>
            <w:shd w:val="clear" w:color="auto" w:fill="1F4E79"/>
            <w:tcMar>
              <w:top w:w="60" w:type="dxa"/>
              <w:left w:w="100" w:type="dxa"/>
              <w:bottom w:w="60" w:type="dxa"/>
              <w:right w:w="100" w:type="dxa"/>
            </w:tcMar>
          </w:tcPr>
          <w:p w14:paraId="163E21ED">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Ejemplo</w:t>
            </w:r>
          </w:p>
        </w:tc>
      </w:tr>
      <w:tr w14:paraId="699A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C178D7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departamento</w:t>
            </w:r>
          </w:p>
        </w:tc>
        <w:tc>
          <w:tcPr>
            <w:tcW w:w="1400" w:type="dxa"/>
            <w:tcMar>
              <w:top w:w="60" w:type="dxa"/>
              <w:left w:w="100" w:type="dxa"/>
              <w:bottom w:w="60" w:type="dxa"/>
              <w:right w:w="100" w:type="dxa"/>
            </w:tcMar>
          </w:tcPr>
          <w:p w14:paraId="4E9B930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w:t>
            </w:r>
          </w:p>
        </w:tc>
        <w:tc>
          <w:tcPr>
            <w:tcW w:w="3400" w:type="dxa"/>
            <w:tcMar>
              <w:top w:w="60" w:type="dxa"/>
              <w:left w:w="100" w:type="dxa"/>
              <w:bottom w:w="60" w:type="dxa"/>
              <w:right w:w="100" w:type="dxa"/>
            </w:tcMar>
          </w:tcPr>
          <w:p w14:paraId="4165651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Departamento de residencia/notificación</w:t>
            </w:r>
          </w:p>
        </w:tc>
        <w:tc>
          <w:tcPr>
            <w:tcW w:w="1800" w:type="dxa"/>
            <w:tcMar>
              <w:top w:w="60" w:type="dxa"/>
              <w:left w:w="100" w:type="dxa"/>
              <w:bottom w:w="60" w:type="dxa"/>
              <w:right w:w="100" w:type="dxa"/>
            </w:tcMar>
          </w:tcPr>
          <w:p w14:paraId="69E3F77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LORETO</w:t>
            </w:r>
          </w:p>
        </w:tc>
      </w:tr>
      <w:tr w14:paraId="19A0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712AD37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provincia</w:t>
            </w:r>
          </w:p>
        </w:tc>
        <w:tc>
          <w:tcPr>
            <w:tcW w:w="1400" w:type="dxa"/>
            <w:tcMar>
              <w:top w:w="60" w:type="dxa"/>
              <w:left w:w="100" w:type="dxa"/>
              <w:bottom w:w="60" w:type="dxa"/>
              <w:right w:w="100" w:type="dxa"/>
            </w:tcMar>
          </w:tcPr>
          <w:p w14:paraId="12FE6E2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w:t>
            </w:r>
          </w:p>
        </w:tc>
        <w:tc>
          <w:tcPr>
            <w:tcW w:w="3400" w:type="dxa"/>
            <w:tcMar>
              <w:top w:w="60" w:type="dxa"/>
              <w:left w:w="100" w:type="dxa"/>
              <w:bottom w:w="60" w:type="dxa"/>
              <w:right w:w="100" w:type="dxa"/>
            </w:tcMar>
          </w:tcPr>
          <w:p w14:paraId="45D5327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Provincia</w:t>
            </w:r>
          </w:p>
        </w:tc>
        <w:tc>
          <w:tcPr>
            <w:tcW w:w="1800" w:type="dxa"/>
            <w:tcMar>
              <w:top w:w="60" w:type="dxa"/>
              <w:left w:w="100" w:type="dxa"/>
              <w:bottom w:w="60" w:type="dxa"/>
              <w:right w:w="100" w:type="dxa"/>
            </w:tcMar>
          </w:tcPr>
          <w:p w14:paraId="1EFE376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MAYNAS</w:t>
            </w:r>
          </w:p>
        </w:tc>
      </w:tr>
      <w:tr w14:paraId="6062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371F0A5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distrito</w:t>
            </w:r>
          </w:p>
        </w:tc>
        <w:tc>
          <w:tcPr>
            <w:tcW w:w="1400" w:type="dxa"/>
            <w:tcMar>
              <w:top w:w="60" w:type="dxa"/>
              <w:left w:w="100" w:type="dxa"/>
              <w:bottom w:w="60" w:type="dxa"/>
              <w:right w:w="100" w:type="dxa"/>
            </w:tcMar>
          </w:tcPr>
          <w:p w14:paraId="3CDCF83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w:t>
            </w:r>
          </w:p>
        </w:tc>
        <w:tc>
          <w:tcPr>
            <w:tcW w:w="3400" w:type="dxa"/>
            <w:tcMar>
              <w:top w:w="60" w:type="dxa"/>
              <w:left w:w="100" w:type="dxa"/>
              <w:bottom w:w="60" w:type="dxa"/>
              <w:right w:w="100" w:type="dxa"/>
            </w:tcMar>
          </w:tcPr>
          <w:p w14:paraId="042BF1F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Distrito</w:t>
            </w:r>
          </w:p>
        </w:tc>
        <w:tc>
          <w:tcPr>
            <w:tcW w:w="1800" w:type="dxa"/>
            <w:tcMar>
              <w:top w:w="60" w:type="dxa"/>
              <w:left w:w="100" w:type="dxa"/>
              <w:bottom w:w="60" w:type="dxa"/>
              <w:right w:w="100" w:type="dxa"/>
            </w:tcMar>
          </w:tcPr>
          <w:p w14:paraId="24EE2DE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IQUITOS</w:t>
            </w:r>
          </w:p>
        </w:tc>
      </w:tr>
      <w:tr w14:paraId="43E4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BD6F81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localidad</w:t>
            </w:r>
          </w:p>
        </w:tc>
        <w:tc>
          <w:tcPr>
            <w:tcW w:w="1400" w:type="dxa"/>
            <w:tcMar>
              <w:top w:w="60" w:type="dxa"/>
              <w:left w:w="100" w:type="dxa"/>
              <w:bottom w:w="60" w:type="dxa"/>
              <w:right w:w="100" w:type="dxa"/>
            </w:tcMar>
          </w:tcPr>
          <w:p w14:paraId="10F79C3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 (libre/código)</w:t>
            </w:r>
          </w:p>
        </w:tc>
        <w:tc>
          <w:tcPr>
            <w:tcW w:w="3400" w:type="dxa"/>
            <w:tcMar>
              <w:top w:w="60" w:type="dxa"/>
              <w:left w:w="100" w:type="dxa"/>
              <w:bottom w:w="60" w:type="dxa"/>
              <w:right w:w="100" w:type="dxa"/>
            </w:tcMar>
          </w:tcPr>
          <w:p w14:paraId="06309D0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Localidad o código de manzana/barrio, formato heterogéneo</w:t>
            </w:r>
          </w:p>
        </w:tc>
        <w:tc>
          <w:tcPr>
            <w:tcW w:w="1800" w:type="dxa"/>
            <w:tcMar>
              <w:top w:w="60" w:type="dxa"/>
              <w:left w:w="100" w:type="dxa"/>
              <w:bottom w:w="60" w:type="dxa"/>
              <w:right w:w="100" w:type="dxa"/>
            </w:tcMar>
          </w:tcPr>
          <w:p w14:paraId="120423F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CARDOZO / 005902</w:t>
            </w:r>
          </w:p>
        </w:tc>
      </w:tr>
      <w:tr w14:paraId="11A6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FC8D5A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enfermedad</w:t>
            </w:r>
          </w:p>
        </w:tc>
        <w:tc>
          <w:tcPr>
            <w:tcW w:w="1400" w:type="dxa"/>
            <w:tcMar>
              <w:top w:w="60" w:type="dxa"/>
              <w:left w:w="100" w:type="dxa"/>
              <w:bottom w:w="60" w:type="dxa"/>
              <w:right w:w="100" w:type="dxa"/>
            </w:tcMar>
          </w:tcPr>
          <w:p w14:paraId="76B9E20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w:t>
            </w:r>
          </w:p>
        </w:tc>
        <w:tc>
          <w:tcPr>
            <w:tcW w:w="3400" w:type="dxa"/>
            <w:tcMar>
              <w:top w:w="60" w:type="dxa"/>
              <w:left w:w="100" w:type="dxa"/>
              <w:bottom w:w="60" w:type="dxa"/>
              <w:right w:w="100" w:type="dxa"/>
            </w:tcMar>
          </w:tcPr>
          <w:p w14:paraId="542014E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Nombre de la forma clínica de dengue</w:t>
            </w:r>
          </w:p>
        </w:tc>
        <w:tc>
          <w:tcPr>
            <w:tcW w:w="1800" w:type="dxa"/>
            <w:tcMar>
              <w:top w:w="60" w:type="dxa"/>
              <w:left w:w="100" w:type="dxa"/>
              <w:bottom w:w="60" w:type="dxa"/>
              <w:right w:w="100" w:type="dxa"/>
            </w:tcMar>
          </w:tcPr>
          <w:p w14:paraId="6DCDF7B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DENGUE GRAVE</w:t>
            </w:r>
          </w:p>
        </w:tc>
      </w:tr>
      <w:tr w14:paraId="5291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DF8205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ano</w:t>
            </w:r>
          </w:p>
        </w:tc>
        <w:tc>
          <w:tcPr>
            <w:tcW w:w="1400" w:type="dxa"/>
            <w:tcMar>
              <w:top w:w="60" w:type="dxa"/>
              <w:left w:w="100" w:type="dxa"/>
              <w:bottom w:w="60" w:type="dxa"/>
              <w:right w:w="100" w:type="dxa"/>
            </w:tcMar>
          </w:tcPr>
          <w:p w14:paraId="22FEA3B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numérico</w:t>
            </w:r>
          </w:p>
        </w:tc>
        <w:tc>
          <w:tcPr>
            <w:tcW w:w="3400" w:type="dxa"/>
            <w:tcMar>
              <w:top w:w="60" w:type="dxa"/>
              <w:left w:w="100" w:type="dxa"/>
              <w:bottom w:w="60" w:type="dxa"/>
              <w:right w:w="100" w:type="dxa"/>
            </w:tcMar>
          </w:tcPr>
          <w:p w14:paraId="1DDAAC9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Año epidemiológico</w:t>
            </w:r>
          </w:p>
        </w:tc>
        <w:tc>
          <w:tcPr>
            <w:tcW w:w="1800" w:type="dxa"/>
            <w:tcMar>
              <w:top w:w="60" w:type="dxa"/>
              <w:left w:w="100" w:type="dxa"/>
              <w:bottom w:w="60" w:type="dxa"/>
              <w:right w:w="100" w:type="dxa"/>
            </w:tcMar>
          </w:tcPr>
          <w:p w14:paraId="691B2CC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2017</w:t>
            </w:r>
          </w:p>
        </w:tc>
      </w:tr>
      <w:tr w14:paraId="7305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373E94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semana</w:t>
            </w:r>
          </w:p>
        </w:tc>
        <w:tc>
          <w:tcPr>
            <w:tcW w:w="1400" w:type="dxa"/>
            <w:tcMar>
              <w:top w:w="60" w:type="dxa"/>
              <w:left w:w="100" w:type="dxa"/>
              <w:bottom w:w="60" w:type="dxa"/>
              <w:right w:w="100" w:type="dxa"/>
            </w:tcMar>
          </w:tcPr>
          <w:p w14:paraId="30C9CA9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numérico</w:t>
            </w:r>
          </w:p>
        </w:tc>
        <w:tc>
          <w:tcPr>
            <w:tcW w:w="3400" w:type="dxa"/>
            <w:tcMar>
              <w:top w:w="60" w:type="dxa"/>
              <w:left w:w="100" w:type="dxa"/>
              <w:bottom w:w="60" w:type="dxa"/>
              <w:right w:w="100" w:type="dxa"/>
            </w:tcMar>
          </w:tcPr>
          <w:p w14:paraId="486F109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Semana epidemiológica (1–53)</w:t>
            </w:r>
          </w:p>
        </w:tc>
        <w:tc>
          <w:tcPr>
            <w:tcW w:w="1800" w:type="dxa"/>
            <w:tcMar>
              <w:top w:w="60" w:type="dxa"/>
              <w:left w:w="100" w:type="dxa"/>
              <w:bottom w:w="60" w:type="dxa"/>
              <w:right w:w="100" w:type="dxa"/>
            </w:tcMar>
          </w:tcPr>
          <w:p w14:paraId="67DBB6E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12</w:t>
            </w:r>
          </w:p>
        </w:tc>
      </w:tr>
      <w:tr w14:paraId="5AF51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356EC3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diagnostic</w:t>
            </w:r>
          </w:p>
        </w:tc>
        <w:tc>
          <w:tcPr>
            <w:tcW w:w="1400" w:type="dxa"/>
            <w:tcMar>
              <w:top w:w="60" w:type="dxa"/>
              <w:left w:w="100" w:type="dxa"/>
              <w:bottom w:w="60" w:type="dxa"/>
              <w:right w:w="100" w:type="dxa"/>
            </w:tcMar>
          </w:tcPr>
          <w:p w14:paraId="78B1F14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w:t>
            </w:r>
          </w:p>
        </w:tc>
        <w:tc>
          <w:tcPr>
            <w:tcW w:w="3400" w:type="dxa"/>
            <w:tcMar>
              <w:top w:w="60" w:type="dxa"/>
              <w:left w:w="100" w:type="dxa"/>
              <w:bottom w:w="60" w:type="dxa"/>
              <w:right w:w="100" w:type="dxa"/>
            </w:tcMar>
          </w:tcPr>
          <w:p w14:paraId="5D82C43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Código CIE-10 (determina 1 a 1 a 'enfermedad')</w:t>
            </w:r>
          </w:p>
        </w:tc>
        <w:tc>
          <w:tcPr>
            <w:tcW w:w="1800" w:type="dxa"/>
            <w:tcMar>
              <w:top w:w="60" w:type="dxa"/>
              <w:left w:w="100" w:type="dxa"/>
              <w:bottom w:w="60" w:type="dxa"/>
              <w:right w:w="100" w:type="dxa"/>
            </w:tcMar>
          </w:tcPr>
          <w:p w14:paraId="7CAEDA2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A97.0</w:t>
            </w:r>
          </w:p>
        </w:tc>
      </w:tr>
      <w:tr w14:paraId="3DD0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6F0072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diresa</w:t>
            </w:r>
          </w:p>
        </w:tc>
        <w:tc>
          <w:tcPr>
            <w:tcW w:w="1400" w:type="dxa"/>
            <w:tcMar>
              <w:top w:w="60" w:type="dxa"/>
              <w:left w:w="100" w:type="dxa"/>
              <w:bottom w:w="60" w:type="dxa"/>
              <w:right w:w="100" w:type="dxa"/>
            </w:tcMar>
          </w:tcPr>
          <w:p w14:paraId="414FC7B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numérico</w:t>
            </w:r>
          </w:p>
        </w:tc>
        <w:tc>
          <w:tcPr>
            <w:tcW w:w="3400" w:type="dxa"/>
            <w:tcMar>
              <w:top w:w="60" w:type="dxa"/>
              <w:left w:w="100" w:type="dxa"/>
              <w:bottom w:w="60" w:type="dxa"/>
              <w:right w:w="100" w:type="dxa"/>
            </w:tcMar>
          </w:tcPr>
          <w:p w14:paraId="2CACF80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Código de Dirección Regional de Salud</w:t>
            </w:r>
          </w:p>
        </w:tc>
        <w:tc>
          <w:tcPr>
            <w:tcW w:w="1800" w:type="dxa"/>
            <w:tcMar>
              <w:top w:w="60" w:type="dxa"/>
              <w:left w:w="100" w:type="dxa"/>
              <w:bottom w:w="60" w:type="dxa"/>
              <w:right w:w="100" w:type="dxa"/>
            </w:tcMar>
          </w:tcPr>
          <w:p w14:paraId="02B3911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13</w:t>
            </w:r>
          </w:p>
        </w:tc>
      </w:tr>
      <w:tr w14:paraId="6C44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1C6235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ubigeo</w:t>
            </w:r>
          </w:p>
        </w:tc>
        <w:tc>
          <w:tcPr>
            <w:tcW w:w="1400" w:type="dxa"/>
            <w:tcMar>
              <w:top w:w="60" w:type="dxa"/>
              <w:left w:w="100" w:type="dxa"/>
              <w:bottom w:w="60" w:type="dxa"/>
              <w:right w:w="100" w:type="dxa"/>
            </w:tcMar>
          </w:tcPr>
          <w:p w14:paraId="7946C2A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 (6 dígitos)</w:t>
            </w:r>
          </w:p>
        </w:tc>
        <w:tc>
          <w:tcPr>
            <w:tcW w:w="3400" w:type="dxa"/>
            <w:tcMar>
              <w:top w:w="60" w:type="dxa"/>
              <w:left w:w="100" w:type="dxa"/>
              <w:bottom w:w="60" w:type="dxa"/>
              <w:right w:w="100" w:type="dxa"/>
            </w:tcMar>
          </w:tcPr>
          <w:p w14:paraId="2AA773A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Código INEI de ubicación geográfica</w:t>
            </w:r>
          </w:p>
        </w:tc>
        <w:tc>
          <w:tcPr>
            <w:tcW w:w="1800" w:type="dxa"/>
            <w:tcMar>
              <w:top w:w="60" w:type="dxa"/>
              <w:left w:w="100" w:type="dxa"/>
              <w:bottom w:w="60" w:type="dxa"/>
              <w:right w:w="100" w:type="dxa"/>
            </w:tcMar>
          </w:tcPr>
          <w:p w14:paraId="750C19B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130101</w:t>
            </w:r>
          </w:p>
        </w:tc>
      </w:tr>
      <w:tr w14:paraId="6BE4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80672F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localcod</w:t>
            </w:r>
          </w:p>
        </w:tc>
        <w:tc>
          <w:tcPr>
            <w:tcW w:w="1400" w:type="dxa"/>
            <w:tcMar>
              <w:top w:w="60" w:type="dxa"/>
              <w:left w:w="100" w:type="dxa"/>
              <w:bottom w:w="60" w:type="dxa"/>
              <w:right w:w="100" w:type="dxa"/>
            </w:tcMar>
          </w:tcPr>
          <w:p w14:paraId="4A75115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w:t>
            </w:r>
          </w:p>
        </w:tc>
        <w:tc>
          <w:tcPr>
            <w:tcW w:w="3400" w:type="dxa"/>
            <w:tcMar>
              <w:top w:w="60" w:type="dxa"/>
              <w:left w:w="100" w:type="dxa"/>
              <w:bottom w:w="60" w:type="dxa"/>
              <w:right w:w="100" w:type="dxa"/>
            </w:tcMar>
          </w:tcPr>
          <w:p w14:paraId="08265B5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Código de localidad, formato mixto num./alfanum.</w:t>
            </w:r>
          </w:p>
        </w:tc>
        <w:tc>
          <w:tcPr>
            <w:tcW w:w="1800" w:type="dxa"/>
            <w:tcMar>
              <w:top w:w="60" w:type="dxa"/>
              <w:left w:w="100" w:type="dxa"/>
              <w:bottom w:w="60" w:type="dxa"/>
              <w:right w:w="100" w:type="dxa"/>
            </w:tcMar>
          </w:tcPr>
          <w:p w14:paraId="428B0FA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010203 / 080910X097</w:t>
            </w:r>
          </w:p>
        </w:tc>
      </w:tr>
      <w:tr w14:paraId="6284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63E63B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edad</w:t>
            </w:r>
          </w:p>
        </w:tc>
        <w:tc>
          <w:tcPr>
            <w:tcW w:w="1400" w:type="dxa"/>
            <w:tcMar>
              <w:top w:w="60" w:type="dxa"/>
              <w:left w:w="100" w:type="dxa"/>
              <w:bottom w:w="60" w:type="dxa"/>
              <w:right w:w="100" w:type="dxa"/>
            </w:tcMar>
          </w:tcPr>
          <w:p w14:paraId="628536F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numérico</w:t>
            </w:r>
          </w:p>
        </w:tc>
        <w:tc>
          <w:tcPr>
            <w:tcW w:w="3400" w:type="dxa"/>
            <w:tcMar>
              <w:top w:w="60" w:type="dxa"/>
              <w:left w:w="100" w:type="dxa"/>
              <w:bottom w:w="60" w:type="dxa"/>
              <w:right w:w="100" w:type="dxa"/>
            </w:tcMar>
          </w:tcPr>
          <w:p w14:paraId="2B9B158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Edad del paciente</w:t>
            </w:r>
          </w:p>
        </w:tc>
        <w:tc>
          <w:tcPr>
            <w:tcW w:w="1800" w:type="dxa"/>
            <w:tcMar>
              <w:top w:w="60" w:type="dxa"/>
              <w:left w:w="100" w:type="dxa"/>
              <w:bottom w:w="60" w:type="dxa"/>
              <w:right w:w="100" w:type="dxa"/>
            </w:tcMar>
          </w:tcPr>
          <w:p w14:paraId="779677F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34</w:t>
            </w:r>
          </w:p>
        </w:tc>
      </w:tr>
      <w:tr w14:paraId="4F93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BA9862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tipo_edad</w:t>
            </w:r>
          </w:p>
        </w:tc>
        <w:tc>
          <w:tcPr>
            <w:tcW w:w="1400" w:type="dxa"/>
            <w:tcMar>
              <w:top w:w="60" w:type="dxa"/>
              <w:left w:w="100" w:type="dxa"/>
              <w:bottom w:w="60" w:type="dxa"/>
              <w:right w:w="100" w:type="dxa"/>
            </w:tcMar>
          </w:tcPr>
          <w:p w14:paraId="018BC62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 (1 car.)</w:t>
            </w:r>
          </w:p>
        </w:tc>
        <w:tc>
          <w:tcPr>
            <w:tcW w:w="3400" w:type="dxa"/>
            <w:tcMar>
              <w:top w:w="60" w:type="dxa"/>
              <w:left w:w="100" w:type="dxa"/>
              <w:bottom w:w="60" w:type="dxa"/>
              <w:right w:w="100" w:type="dxa"/>
            </w:tcMar>
          </w:tcPr>
          <w:p w14:paraId="6A3EA7E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Unidad de la edad: A=años, M=meses, D=días</w:t>
            </w:r>
          </w:p>
        </w:tc>
        <w:tc>
          <w:tcPr>
            <w:tcW w:w="1800" w:type="dxa"/>
            <w:tcMar>
              <w:top w:w="60" w:type="dxa"/>
              <w:left w:w="100" w:type="dxa"/>
              <w:bottom w:w="60" w:type="dxa"/>
              <w:right w:w="100" w:type="dxa"/>
            </w:tcMar>
          </w:tcPr>
          <w:p w14:paraId="00BC36E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w:t>
            </w:r>
          </w:p>
        </w:tc>
      </w:tr>
      <w:tr w14:paraId="53C7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69A821F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sexo</w:t>
            </w:r>
          </w:p>
        </w:tc>
        <w:tc>
          <w:tcPr>
            <w:tcW w:w="1400" w:type="dxa"/>
            <w:tcMar>
              <w:top w:w="60" w:type="dxa"/>
              <w:left w:w="100" w:type="dxa"/>
              <w:bottom w:w="60" w:type="dxa"/>
              <w:right w:w="100" w:type="dxa"/>
            </w:tcMar>
          </w:tcPr>
          <w:p w14:paraId="722D14A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texto (1 car.)</w:t>
            </w:r>
          </w:p>
        </w:tc>
        <w:tc>
          <w:tcPr>
            <w:tcW w:w="3400" w:type="dxa"/>
            <w:tcMar>
              <w:top w:w="60" w:type="dxa"/>
              <w:left w:w="100" w:type="dxa"/>
              <w:bottom w:w="60" w:type="dxa"/>
              <w:right w:w="100" w:type="dxa"/>
            </w:tcMar>
          </w:tcPr>
          <w:p w14:paraId="467EC69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M / F</w:t>
            </w:r>
          </w:p>
        </w:tc>
        <w:tc>
          <w:tcPr>
            <w:tcW w:w="1800" w:type="dxa"/>
            <w:tcMar>
              <w:top w:w="60" w:type="dxa"/>
              <w:left w:w="100" w:type="dxa"/>
              <w:bottom w:w="60" w:type="dxa"/>
              <w:right w:w="100" w:type="dxa"/>
            </w:tcMar>
          </w:tcPr>
          <w:p w14:paraId="0894E95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w:t>
            </w:r>
          </w:p>
        </w:tc>
      </w:tr>
    </w:tbl>
    <w:p w14:paraId="2D6D006F">
      <w:pPr>
        <w:pStyle w:val="3"/>
        <w:spacing w:before="250" w:after="120"/>
        <w:rPr>
          <w:rFonts w:ascii="Arial" w:hAnsi="Arial" w:cs="Arial"/>
          <w:color w:val="000000" w:themeColor="text1"/>
          <w14:textFill>
            <w14:solidFill>
              <w14:schemeClr w14:val="tx1"/>
            </w14:solidFill>
          </w14:textFill>
        </w:rPr>
      </w:pPr>
    </w:p>
    <w:p w14:paraId="0F0E7A78">
      <w:pPr>
        <w:pStyle w:val="3"/>
        <w:spacing w:before="250" w:after="120"/>
        <w:rPr>
          <w:rFonts w:ascii="Arial" w:hAnsi="Arial" w:cs="Arial"/>
          <w:color w:val="000000" w:themeColor="text1"/>
          <w14:textFill>
            <w14:solidFill>
              <w14:schemeClr w14:val="tx1"/>
            </w14:solidFill>
          </w14:textFill>
        </w:rPr>
      </w:pPr>
    </w:p>
    <w:p w14:paraId="0B2346C7">
      <w:pPr>
        <w:pStyle w:val="3"/>
        <w:spacing w:before="250" w:after="120"/>
        <w:rPr>
          <w:rFonts w:ascii="Arial" w:hAnsi="Arial" w:cs="Arial"/>
          <w:color w:val="000000" w:themeColor="text1"/>
          <w14:textFill>
            <w14:solidFill>
              <w14:schemeClr w14:val="tx1"/>
            </w14:solidFill>
          </w14:textFill>
        </w:rPr>
      </w:pPr>
    </w:p>
    <w:p w14:paraId="1BD0B996">
      <w:pPr>
        <w:pStyle w:val="3"/>
        <w:spacing w:before="250" w:after="120"/>
        <w:rPr>
          <w:rFonts w:ascii="Arial" w:hAnsi="Arial" w:cs="Arial"/>
          <w:color w:val="000000" w:themeColor="text1"/>
          <w14:textFill>
            <w14:solidFill>
              <w14:schemeClr w14:val="tx1"/>
            </w14:solidFill>
          </w14:textFill>
        </w:rPr>
      </w:pPr>
    </w:p>
    <w:p w14:paraId="2CA5FC81">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1.3 Tabla de problemas de calidad detectados</w:t>
      </w:r>
    </w:p>
    <w:p w14:paraId="76D4BE5F">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Perfilado ejecutado sobre las 1,029,421 filas originales (Python/pandas), con conteo exacto de registros afectados: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
        <w:gridCol w:w="2904"/>
        <w:gridCol w:w="1699"/>
        <w:gridCol w:w="1058"/>
        <w:gridCol w:w="3539"/>
      </w:tblGrid>
      <w:tr w14:paraId="2369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1F4E79"/>
            <w:tcMar>
              <w:top w:w="60" w:type="dxa"/>
              <w:left w:w="100" w:type="dxa"/>
              <w:bottom w:w="60" w:type="dxa"/>
              <w:right w:w="100" w:type="dxa"/>
            </w:tcMar>
          </w:tcPr>
          <w:p w14:paraId="5A9836B9">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w:t>
            </w:r>
          </w:p>
        </w:tc>
        <w:tc>
          <w:tcPr>
            <w:tcW w:w="3800" w:type="dxa"/>
            <w:shd w:val="clear" w:color="auto" w:fill="1F4E79"/>
            <w:tcMar>
              <w:top w:w="60" w:type="dxa"/>
              <w:left w:w="100" w:type="dxa"/>
              <w:bottom w:w="60" w:type="dxa"/>
              <w:right w:w="100" w:type="dxa"/>
            </w:tcMar>
          </w:tcPr>
          <w:p w14:paraId="1C784CEC">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Problema de calidad</w:t>
            </w:r>
          </w:p>
        </w:tc>
        <w:tc>
          <w:tcPr>
            <w:tcW w:w="1900" w:type="dxa"/>
            <w:shd w:val="clear" w:color="auto" w:fill="1F4E79"/>
            <w:tcMar>
              <w:top w:w="60" w:type="dxa"/>
              <w:left w:w="100" w:type="dxa"/>
              <w:bottom w:w="60" w:type="dxa"/>
              <w:right w:w="100" w:type="dxa"/>
            </w:tcMar>
          </w:tcPr>
          <w:p w14:paraId="4E2BBAEC">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Registros afectados</w:t>
            </w:r>
          </w:p>
        </w:tc>
        <w:tc>
          <w:tcPr>
            <w:tcW w:w="1200" w:type="dxa"/>
            <w:shd w:val="clear" w:color="auto" w:fill="1F4E79"/>
            <w:tcMar>
              <w:top w:w="60" w:type="dxa"/>
              <w:left w:w="100" w:type="dxa"/>
              <w:bottom w:w="60" w:type="dxa"/>
              <w:right w:w="100" w:type="dxa"/>
            </w:tcMar>
          </w:tcPr>
          <w:p w14:paraId="7EAECA9E">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del total</w:t>
            </w:r>
          </w:p>
        </w:tc>
        <w:tc>
          <w:tcPr>
            <w:tcW w:w="1900" w:type="dxa"/>
            <w:shd w:val="clear" w:color="auto" w:fill="1F4E79"/>
            <w:tcMar>
              <w:top w:w="60" w:type="dxa"/>
              <w:left w:w="100" w:type="dxa"/>
              <w:bottom w:w="60" w:type="dxa"/>
              <w:right w:w="100" w:type="dxa"/>
            </w:tcMar>
          </w:tcPr>
          <w:p w14:paraId="12A01C44">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Evidencia</w:t>
            </w:r>
          </w:p>
        </w:tc>
      </w:tr>
      <w:tr w14:paraId="4BF2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tcPr>
          <w:p w14:paraId="1367665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w:t>
            </w:r>
          </w:p>
        </w:tc>
        <w:tc>
          <w:tcPr>
            <w:tcW w:w="3800" w:type="dxa"/>
            <w:tcMar>
              <w:top w:w="60" w:type="dxa"/>
              <w:left w:w="100" w:type="dxa"/>
              <w:bottom w:w="60" w:type="dxa"/>
              <w:right w:w="100" w:type="dxa"/>
            </w:tcMar>
          </w:tcPr>
          <w:p w14:paraId="00CCCBE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Duplicados exactos (las 14 columnas idénticas)</w:t>
            </w:r>
          </w:p>
        </w:tc>
        <w:tc>
          <w:tcPr>
            <w:tcW w:w="1900" w:type="dxa"/>
            <w:tcMar>
              <w:top w:w="60" w:type="dxa"/>
              <w:left w:w="100" w:type="dxa"/>
              <w:bottom w:w="60" w:type="dxa"/>
              <w:right w:w="100" w:type="dxa"/>
            </w:tcMar>
          </w:tcPr>
          <w:p w14:paraId="4BB62EC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152,737</w:t>
            </w:r>
          </w:p>
        </w:tc>
        <w:tc>
          <w:tcPr>
            <w:tcW w:w="1200" w:type="dxa"/>
            <w:tcMar>
              <w:top w:w="60" w:type="dxa"/>
              <w:left w:w="100" w:type="dxa"/>
              <w:bottom w:w="60" w:type="dxa"/>
              <w:right w:w="100" w:type="dxa"/>
            </w:tcMar>
          </w:tcPr>
          <w:p w14:paraId="272DA9C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14.84%</w:t>
            </w:r>
          </w:p>
        </w:tc>
        <w:tc>
          <w:tcPr>
            <w:tcW w:w="1900" w:type="dxa"/>
            <w:tcMar>
              <w:top w:w="60" w:type="dxa"/>
              <w:left w:w="100" w:type="dxa"/>
              <w:bottom w:w="60" w:type="dxa"/>
              <w:right w:w="100" w:type="dxa"/>
            </w:tcMar>
          </w:tcPr>
          <w:p w14:paraId="1DD693D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df.duplicated() sobre todas las columnas</w:t>
            </w:r>
          </w:p>
        </w:tc>
      </w:tr>
      <w:tr w14:paraId="6F7C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tcPr>
          <w:p w14:paraId="41D1816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w:t>
            </w:r>
          </w:p>
        </w:tc>
        <w:tc>
          <w:tcPr>
            <w:tcW w:w="3800" w:type="dxa"/>
            <w:tcMar>
              <w:top w:w="60" w:type="dxa"/>
              <w:left w:w="100" w:type="dxa"/>
              <w:bottom w:w="60" w:type="dxa"/>
              <w:right w:w="100" w:type="dxa"/>
            </w:tcMar>
          </w:tcPr>
          <w:p w14:paraId="1D5D4E3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Cuasi-duplicados por clave natural (mismo caso, solo difiere localidad/localcod en texto libre)</w:t>
            </w:r>
          </w:p>
        </w:tc>
        <w:tc>
          <w:tcPr>
            <w:tcW w:w="1900" w:type="dxa"/>
            <w:tcMar>
              <w:top w:w="60" w:type="dxa"/>
              <w:left w:w="100" w:type="dxa"/>
              <w:bottom w:w="60" w:type="dxa"/>
              <w:right w:w="100" w:type="dxa"/>
            </w:tcMar>
          </w:tcPr>
          <w:p w14:paraId="1F8F587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197,522 (tras quitar exactos)</w:t>
            </w:r>
          </w:p>
        </w:tc>
        <w:tc>
          <w:tcPr>
            <w:tcW w:w="1200" w:type="dxa"/>
            <w:tcMar>
              <w:top w:w="60" w:type="dxa"/>
              <w:left w:w="100" w:type="dxa"/>
              <w:bottom w:w="60" w:type="dxa"/>
              <w:right w:w="100" w:type="dxa"/>
            </w:tcMar>
          </w:tcPr>
          <w:p w14:paraId="5942CDE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22.5%</w:t>
            </w:r>
          </w:p>
        </w:tc>
        <w:tc>
          <w:tcPr>
            <w:tcW w:w="1900" w:type="dxa"/>
            <w:tcMar>
              <w:top w:w="60" w:type="dxa"/>
              <w:left w:w="100" w:type="dxa"/>
              <w:bottom w:w="60" w:type="dxa"/>
              <w:right w:w="100" w:type="dxa"/>
            </w:tcMar>
          </w:tcPr>
          <w:p w14:paraId="72E2525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duplicated() excluyendo localidad/localcod</w:t>
            </w:r>
          </w:p>
        </w:tc>
      </w:tr>
      <w:tr w14:paraId="3B1F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tcPr>
          <w:p w14:paraId="1CD65CD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w:t>
            </w:r>
          </w:p>
        </w:tc>
        <w:tc>
          <w:tcPr>
            <w:tcW w:w="3800" w:type="dxa"/>
            <w:tcMar>
              <w:top w:w="60" w:type="dxa"/>
              <w:left w:w="100" w:type="dxa"/>
              <w:bottom w:w="60" w:type="dxa"/>
              <w:right w:w="100" w:type="dxa"/>
            </w:tcMar>
          </w:tcPr>
          <w:p w14:paraId="66B4677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Valores nulos en 'localidad'</w:t>
            </w:r>
          </w:p>
        </w:tc>
        <w:tc>
          <w:tcPr>
            <w:tcW w:w="1900" w:type="dxa"/>
            <w:tcMar>
              <w:top w:w="60" w:type="dxa"/>
              <w:left w:w="100" w:type="dxa"/>
              <w:bottom w:w="60" w:type="dxa"/>
              <w:right w:w="100" w:type="dxa"/>
            </w:tcMar>
          </w:tcPr>
          <w:p w14:paraId="31F2256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122,598 (98,406 tras dedup)</w:t>
            </w:r>
          </w:p>
        </w:tc>
        <w:tc>
          <w:tcPr>
            <w:tcW w:w="1200" w:type="dxa"/>
            <w:tcMar>
              <w:top w:w="60" w:type="dxa"/>
              <w:left w:w="100" w:type="dxa"/>
              <w:bottom w:w="60" w:type="dxa"/>
              <w:right w:w="100" w:type="dxa"/>
            </w:tcMar>
          </w:tcPr>
          <w:p w14:paraId="319102A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11.9%</w:t>
            </w:r>
          </w:p>
        </w:tc>
        <w:tc>
          <w:tcPr>
            <w:tcW w:w="1900" w:type="dxa"/>
            <w:tcMar>
              <w:top w:w="60" w:type="dxa"/>
              <w:left w:w="100" w:type="dxa"/>
              <w:bottom w:w="60" w:type="dxa"/>
              <w:right w:w="100" w:type="dxa"/>
            </w:tcMar>
          </w:tcPr>
          <w:p w14:paraId="2320C48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isnull().sum()</w:t>
            </w:r>
          </w:p>
        </w:tc>
      </w:tr>
      <w:tr w14:paraId="25BB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tcPr>
          <w:p w14:paraId="3397DE1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4</w:t>
            </w:r>
          </w:p>
        </w:tc>
        <w:tc>
          <w:tcPr>
            <w:tcW w:w="3800" w:type="dxa"/>
            <w:tcMar>
              <w:top w:w="60" w:type="dxa"/>
              <w:left w:w="100" w:type="dxa"/>
              <w:bottom w:w="60" w:type="dxa"/>
              <w:right w:w="100" w:type="dxa"/>
            </w:tcMar>
          </w:tcPr>
          <w:p w14:paraId="6430C68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Valores nulos en 'localcod'</w:t>
            </w:r>
          </w:p>
        </w:tc>
        <w:tc>
          <w:tcPr>
            <w:tcW w:w="1900" w:type="dxa"/>
            <w:tcMar>
              <w:top w:w="60" w:type="dxa"/>
              <w:left w:w="100" w:type="dxa"/>
              <w:bottom w:w="60" w:type="dxa"/>
              <w:right w:w="100" w:type="dxa"/>
            </w:tcMar>
          </w:tcPr>
          <w:p w14:paraId="3E3D8B5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148,641 (121,535 tras dedup)</w:t>
            </w:r>
          </w:p>
        </w:tc>
        <w:tc>
          <w:tcPr>
            <w:tcW w:w="1200" w:type="dxa"/>
            <w:tcMar>
              <w:top w:w="60" w:type="dxa"/>
              <w:left w:w="100" w:type="dxa"/>
              <w:bottom w:w="60" w:type="dxa"/>
              <w:right w:w="100" w:type="dxa"/>
            </w:tcMar>
          </w:tcPr>
          <w:p w14:paraId="5A16DE4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14.4%</w:t>
            </w:r>
          </w:p>
        </w:tc>
        <w:tc>
          <w:tcPr>
            <w:tcW w:w="1900" w:type="dxa"/>
            <w:tcMar>
              <w:top w:w="60" w:type="dxa"/>
              <w:left w:w="100" w:type="dxa"/>
              <w:bottom w:w="60" w:type="dxa"/>
              <w:right w:w="100" w:type="dxa"/>
            </w:tcMar>
          </w:tcPr>
          <w:p w14:paraId="3A59E53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isnull().sum()</w:t>
            </w:r>
          </w:p>
        </w:tc>
      </w:tr>
      <w:tr w14:paraId="7955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tcPr>
          <w:p w14:paraId="1FA8922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5</w:t>
            </w:r>
          </w:p>
        </w:tc>
        <w:tc>
          <w:tcPr>
            <w:tcW w:w="3800" w:type="dxa"/>
            <w:tcMar>
              <w:top w:w="60" w:type="dxa"/>
              <w:left w:w="100" w:type="dxa"/>
              <w:bottom w:w="60" w:type="dxa"/>
              <w:right w:w="100" w:type="dxa"/>
            </w:tcMar>
          </w:tcPr>
          <w:p w14:paraId="20FB84D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Inconsistencia ubigeo → diresa (un mismo ubigeo reporta 2 o 3 códigos DIRESA distintos en distintas filas)</w:t>
            </w:r>
          </w:p>
        </w:tc>
        <w:tc>
          <w:tcPr>
            <w:tcW w:w="1900" w:type="dxa"/>
            <w:tcMar>
              <w:top w:w="60" w:type="dxa"/>
              <w:left w:w="100" w:type="dxa"/>
              <w:bottom w:w="60" w:type="dxa"/>
              <w:right w:w="100" w:type="dxa"/>
            </w:tcMar>
          </w:tcPr>
          <w:p w14:paraId="6C24C99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181,404 filas / 34 de 662 ubigeos</w:t>
            </w:r>
          </w:p>
        </w:tc>
        <w:tc>
          <w:tcPr>
            <w:tcW w:w="1200" w:type="dxa"/>
            <w:tcMar>
              <w:top w:w="60" w:type="dxa"/>
              <w:left w:w="100" w:type="dxa"/>
              <w:bottom w:w="60" w:type="dxa"/>
              <w:right w:w="100" w:type="dxa"/>
            </w:tcMar>
          </w:tcPr>
          <w:p w14:paraId="5A5634E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17.6%</w:t>
            </w:r>
          </w:p>
        </w:tc>
        <w:tc>
          <w:tcPr>
            <w:tcW w:w="1900" w:type="dxa"/>
            <w:tcMar>
              <w:top w:w="60" w:type="dxa"/>
              <w:left w:w="100" w:type="dxa"/>
              <w:bottom w:w="60" w:type="dxa"/>
              <w:right w:w="100" w:type="dxa"/>
            </w:tcMar>
          </w:tcPr>
          <w:p w14:paraId="3838E27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groupby('ubigeo')['diresa'].nunique() &gt; 1</w:t>
            </w:r>
          </w:p>
        </w:tc>
      </w:tr>
      <w:tr w14:paraId="0499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tcPr>
          <w:p w14:paraId="581C899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6</w:t>
            </w:r>
          </w:p>
        </w:tc>
        <w:tc>
          <w:tcPr>
            <w:tcW w:w="3800" w:type="dxa"/>
            <w:tcMar>
              <w:top w:w="60" w:type="dxa"/>
              <w:left w:w="100" w:type="dxa"/>
              <w:bottom w:w="60" w:type="dxa"/>
              <w:right w:w="100" w:type="dxa"/>
            </w:tcMar>
          </w:tcPr>
          <w:p w14:paraId="59D7E30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Outliers de edad incoherentes con tipo_edad='A' (años), incluye errores de digitación extremos (máx. registrado: 71,963,641)</w:t>
            </w:r>
          </w:p>
        </w:tc>
        <w:tc>
          <w:tcPr>
            <w:tcW w:w="1900" w:type="dxa"/>
            <w:tcMar>
              <w:top w:w="60" w:type="dxa"/>
              <w:left w:w="100" w:type="dxa"/>
              <w:bottom w:w="60" w:type="dxa"/>
              <w:right w:w="100" w:type="dxa"/>
            </w:tcMar>
          </w:tcPr>
          <w:p w14:paraId="4A2DC76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12</w:t>
            </w:r>
          </w:p>
        </w:tc>
        <w:tc>
          <w:tcPr>
            <w:tcW w:w="1200" w:type="dxa"/>
            <w:tcMar>
              <w:top w:w="60" w:type="dxa"/>
              <w:left w:w="100" w:type="dxa"/>
              <w:bottom w:w="60" w:type="dxa"/>
              <w:right w:w="100" w:type="dxa"/>
            </w:tcMar>
          </w:tcPr>
          <w:p w14:paraId="5947B34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0.001%</w:t>
            </w:r>
          </w:p>
        </w:tc>
        <w:tc>
          <w:tcPr>
            <w:tcW w:w="1900" w:type="dxa"/>
            <w:tcMar>
              <w:top w:w="60" w:type="dxa"/>
              <w:left w:w="100" w:type="dxa"/>
              <w:bottom w:w="60" w:type="dxa"/>
              <w:right w:w="100" w:type="dxa"/>
            </w:tcMar>
          </w:tcPr>
          <w:p w14:paraId="2EB5841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edad &gt; 120 con tipo_edad='A'</w:t>
            </w:r>
          </w:p>
        </w:tc>
      </w:tr>
      <w:tr w14:paraId="6854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60" w:type="dxa"/>
              <w:left w:w="100" w:type="dxa"/>
              <w:bottom w:w="60" w:type="dxa"/>
              <w:right w:w="100" w:type="dxa"/>
            </w:tcMar>
          </w:tcPr>
          <w:p w14:paraId="203664D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7</w:t>
            </w:r>
          </w:p>
        </w:tc>
        <w:tc>
          <w:tcPr>
            <w:tcW w:w="3800" w:type="dxa"/>
            <w:tcMar>
              <w:top w:w="60" w:type="dxa"/>
              <w:left w:w="100" w:type="dxa"/>
              <w:bottom w:w="60" w:type="dxa"/>
              <w:right w:w="100" w:type="dxa"/>
            </w:tcMar>
          </w:tcPr>
          <w:p w14:paraId="61C7315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Formato heterogéneo de 'localcod' (código numérico puro vs. alfanumérico con sufijo 'X')</w:t>
            </w:r>
          </w:p>
        </w:tc>
        <w:tc>
          <w:tcPr>
            <w:tcW w:w="1900" w:type="dxa"/>
            <w:tcMar>
              <w:top w:w="60" w:type="dxa"/>
              <w:left w:w="100" w:type="dxa"/>
              <w:bottom w:w="60" w:type="dxa"/>
              <w:right w:w="100" w:type="dxa"/>
            </w:tcMar>
          </w:tcPr>
          <w:p w14:paraId="31BCE16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2,434 alfanuméricos vs. 878,346 numéricos</w:t>
            </w:r>
          </w:p>
        </w:tc>
        <w:tc>
          <w:tcPr>
            <w:tcW w:w="1200" w:type="dxa"/>
            <w:tcMar>
              <w:top w:w="60" w:type="dxa"/>
              <w:left w:w="100" w:type="dxa"/>
              <w:bottom w:w="60" w:type="dxa"/>
              <w:right w:w="100" w:type="dxa"/>
            </w:tcMar>
          </w:tcPr>
          <w:p w14:paraId="361EE2A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w:t>
            </w:r>
          </w:p>
        </w:tc>
        <w:tc>
          <w:tcPr>
            <w:tcW w:w="1900" w:type="dxa"/>
            <w:tcMar>
              <w:top w:w="60" w:type="dxa"/>
              <w:left w:w="100" w:type="dxa"/>
              <w:bottom w:w="60" w:type="dxa"/>
              <w:right w:w="100" w:type="dxa"/>
            </w:tcMar>
          </w:tcPr>
          <w:p w14:paraId="59E95AF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regex ^\d+$</w:t>
            </w:r>
          </w:p>
        </w:tc>
      </w:tr>
    </w:tbl>
    <w:p w14:paraId="05E395BA">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1.4 Supuestos declarados</w:t>
      </w:r>
    </w:p>
    <w:p w14:paraId="06F3B074">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Supuesto 1:</w:t>
      </w:r>
      <w:r>
        <w:rPr>
          <w:rFonts w:ascii="Arial" w:hAnsi="Arial" w:cs="Arial"/>
          <w:color w:val="000000" w:themeColor="text1"/>
          <w14:textFill>
            <w14:solidFill>
              <w14:schemeClr w14:val="tx1"/>
            </w14:solidFill>
          </w14:textFill>
        </w:rPr>
        <w:t xml:space="preserve"> Unicidad de caso: el dataset fuente no trae un identificador único de caso (id_paciente / id_caso). Se asume que cada fila representa un evento de notificación independiente y que la clave primaria del modelo debe ser un identificador sustituto (surrogate key), NO una clave natural compuesta. Impacto en el diseño: obliga a introducir id_caso IDENTITY en la tabla de hechos, y hace que la 2FN se satisfaga de forma trivial (ver Sección 3.3), decisión que debe quedar explícita en el informe de normalización.</w:t>
      </w:r>
    </w:p>
    <w:p w14:paraId="4DC5083D">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Supuesto 2: </w:t>
      </w:r>
      <w:r>
        <w:rPr>
          <w:rFonts w:ascii="Arial" w:hAnsi="Arial" w:cs="Arial"/>
          <w:color w:val="000000" w:themeColor="text1"/>
          <w14:textFill>
            <w14:solidFill>
              <w14:schemeClr w14:val="tx1"/>
            </w14:solidFill>
          </w14:textFill>
        </w:rPr>
        <w:t>La DIRESA correcta de un caso es una propiedad del ubigeo (distrito), no un dato variable por notificación. El 17.6% de inconsistencias ubigeo→diresa detectadas se interpreta como error de captura en el sistema origen, no como una redefinición administrativa real de límites DIRESA en el período 2000–2024. Impacto: se define una regla de negocio de corrección determinística (moda de diresa por ubigeo) aplicada en el ETL, en vez de descartar los 181,404 registros afectados.</w:t>
      </w:r>
    </w:p>
    <w:p w14:paraId="74D445C3">
      <w:pPr>
        <w:spacing w:after="80"/>
        <w:rPr>
          <w:rFonts w:ascii="Arial" w:hAnsi="Arial" w:cs="Arial"/>
          <w:color w:val="000000" w:themeColor="text1"/>
          <w14:textFill>
            <w14:solidFill>
              <w14:schemeClr w14:val="tx1"/>
            </w14:solidFill>
          </w14:textFill>
        </w:rPr>
      </w:pPr>
    </w:p>
    <w:p w14:paraId="099BACDA">
      <w:pPr>
        <w:spacing w:after="80"/>
        <w:rPr>
          <w:rFonts w:ascii="Arial" w:hAnsi="Arial" w:cs="Arial"/>
          <w:color w:val="000000" w:themeColor="text1"/>
          <w14:textFill>
            <w14:solidFill>
              <w14:schemeClr w14:val="tx1"/>
            </w14:solidFill>
          </w14:textFill>
        </w:rPr>
      </w:pPr>
    </w:p>
    <w:p w14:paraId="0178C4EE">
      <w:pPr>
        <w:spacing w:after="80"/>
        <w:rPr>
          <w:rFonts w:ascii="Arial" w:hAnsi="Arial" w:cs="Arial"/>
          <w:color w:val="000000" w:themeColor="text1"/>
          <w14:textFill>
            <w14:solidFill>
              <w14:schemeClr w14:val="tx1"/>
            </w14:solidFill>
          </w14:textFill>
        </w:rPr>
      </w:pPr>
    </w:p>
    <w:p w14:paraId="1AD9EB8C">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Supuesto 3:</w:t>
      </w:r>
      <w:r>
        <w:rPr>
          <w:rFonts w:ascii="Arial" w:hAnsi="Arial" w:cs="Arial"/>
          <w:color w:val="000000" w:themeColor="text1"/>
          <w14:textFill>
            <w14:solidFill>
              <w14:schemeClr w14:val="tx1"/>
            </w14:solidFill>
          </w14:textFill>
        </w:rPr>
        <w:t xml:space="preserve">  Los registros con edad imposible para su tipo_edad (12 casos) son errores de digitación (dígitos de más), no valores válidos. Impacto: se anula solo el atributo edad (se preserva el caso epidemiológico completo: ubicación, semana, diagnóstico), evitando perder señal de vigilancia por un solo atributo corrupto; se deja trazabilidad en Log_ExcepcionesETL para auditoría, conforme al requisito de la Ley N.° 29733 de dejar registro de toda corrección sobre datos gestionados.</w:t>
      </w:r>
    </w:p>
    <w:p w14:paraId="352E161A">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Supuesto 4:</w:t>
      </w:r>
      <w:r>
        <w:rPr>
          <w:rFonts w:ascii="Arial" w:hAnsi="Arial" w:cs="Arial"/>
          <w:color w:val="000000" w:themeColor="text1"/>
          <w14:textFill>
            <w14:solidFill>
              <w14:schemeClr w14:val="tx1"/>
            </w14:solidFill>
          </w14:textFill>
        </w:rPr>
        <w:t xml:space="preserve"> Los 197,522 casos que solo difieren en el texto libre de localidad/localcod no se eliminan automáticamente (a diferencia de los duplicados exactos), porque localidad es un campo de texto libre no estandarizado y dos notificadores pueden describir el mismo caso con distinta redacción, o pueden ser efectivamente dos pacientes distintos en la misma semana/edad/sexo. Impacto: se marcan con flag_posible_duplicado=1 para revisión analítica en el Bloque 3, en vez de arriesgar pérdida de casos reales de un evento de salud pública.</w:t>
      </w:r>
    </w:p>
    <w:p w14:paraId="4412BEC8">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1.5 Requerimientos funcionales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
        <w:gridCol w:w="4053"/>
        <w:gridCol w:w="4572"/>
      </w:tblGrid>
      <w:tr w14:paraId="67FA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60" w:type="dxa"/>
              <w:left w:w="100" w:type="dxa"/>
              <w:bottom w:w="60" w:type="dxa"/>
              <w:right w:w="100" w:type="dxa"/>
            </w:tcMar>
          </w:tcPr>
          <w:p w14:paraId="1E2DE89B">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w:t>
            </w:r>
          </w:p>
        </w:tc>
        <w:tc>
          <w:tcPr>
            <w:tcW w:w="3900" w:type="dxa"/>
            <w:shd w:val="clear" w:color="auto" w:fill="1F4E79"/>
            <w:tcMar>
              <w:top w:w="60" w:type="dxa"/>
              <w:left w:w="100" w:type="dxa"/>
              <w:bottom w:w="60" w:type="dxa"/>
              <w:right w:w="100" w:type="dxa"/>
            </w:tcMar>
          </w:tcPr>
          <w:p w14:paraId="62415600">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Requerimiento funcional</w:t>
            </w:r>
          </w:p>
        </w:tc>
        <w:tc>
          <w:tcPr>
            <w:tcW w:w="4400" w:type="dxa"/>
            <w:shd w:val="clear" w:color="auto" w:fill="1F4E79"/>
            <w:tcMar>
              <w:top w:w="60" w:type="dxa"/>
              <w:left w:w="100" w:type="dxa"/>
              <w:bottom w:w="60" w:type="dxa"/>
              <w:right w:w="100" w:type="dxa"/>
            </w:tcMar>
          </w:tcPr>
          <w:p w14:paraId="7F8D3A14">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Criterio de éxito verificable</w:t>
            </w:r>
          </w:p>
        </w:tc>
      </w:tr>
      <w:tr w14:paraId="1D7E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7E5207C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RF-01</w:t>
            </w:r>
          </w:p>
        </w:tc>
        <w:tc>
          <w:tcPr>
            <w:tcW w:w="3900" w:type="dxa"/>
            <w:tcMar>
              <w:top w:w="60" w:type="dxa"/>
              <w:left w:w="100" w:type="dxa"/>
              <w:bottom w:w="60" w:type="dxa"/>
              <w:right w:w="100" w:type="dxa"/>
            </w:tcMar>
          </w:tcPr>
          <w:p w14:paraId="2C01B75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sistema debe automatizar la ingesta y validación de nuevas cargas de datos de vigilancia sin intervención manual fila por fila.</w:t>
            </w:r>
          </w:p>
        </w:tc>
        <w:tc>
          <w:tcPr>
            <w:tcW w:w="4400" w:type="dxa"/>
            <w:tcMar>
              <w:top w:w="60" w:type="dxa"/>
              <w:left w:w="100" w:type="dxa"/>
              <w:bottom w:w="60" w:type="dxa"/>
              <w:right w:w="100" w:type="dxa"/>
            </w:tcMar>
          </w:tcPr>
          <w:p w14:paraId="58E327E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sp_ValidarStaging y sp_CargarCasoVigilancia procesan un lote de N filas y retornan conteo de válidas/rechazadas/cargadas; 0 filas requieren edición manual previa.</w:t>
            </w:r>
          </w:p>
        </w:tc>
      </w:tr>
      <w:tr w14:paraId="61E3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15E4BDF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RF-02</w:t>
            </w:r>
          </w:p>
        </w:tc>
        <w:tc>
          <w:tcPr>
            <w:tcW w:w="3900" w:type="dxa"/>
            <w:tcMar>
              <w:top w:w="60" w:type="dxa"/>
              <w:left w:w="100" w:type="dxa"/>
              <w:bottom w:w="60" w:type="dxa"/>
              <w:right w:w="100" w:type="dxa"/>
            </w:tcMar>
          </w:tcPr>
          <w:p w14:paraId="0359103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sistema debe registrar auditoría de todo INSERT/UPDATE/DELETE sobre los casos de vigilancia (Art. 11, Ley N.° 29733).</w:t>
            </w:r>
          </w:p>
        </w:tc>
        <w:tc>
          <w:tcPr>
            <w:tcW w:w="4400" w:type="dxa"/>
            <w:tcMar>
              <w:top w:w="60" w:type="dxa"/>
              <w:left w:w="100" w:type="dxa"/>
              <w:bottom w:w="60" w:type="dxa"/>
              <w:right w:w="100" w:type="dxa"/>
            </w:tcMar>
          </w:tcPr>
          <w:p w14:paraId="0ACFD32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Por cada operación DML sobre CasoVigilancia existe ≥1 fila correspondiente en Log_Auditoria con usuario, fecha/hora y valor anterior/nuevo en formato JSON.</w:t>
            </w:r>
          </w:p>
        </w:tc>
      </w:tr>
      <w:tr w14:paraId="628F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7CFB70E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RF-03</w:t>
            </w:r>
          </w:p>
        </w:tc>
        <w:tc>
          <w:tcPr>
            <w:tcW w:w="3900" w:type="dxa"/>
            <w:tcMar>
              <w:top w:w="60" w:type="dxa"/>
              <w:left w:w="100" w:type="dxa"/>
              <w:bottom w:w="60" w:type="dxa"/>
              <w:right w:w="100" w:type="dxa"/>
            </w:tcMar>
          </w:tcPr>
          <w:p w14:paraId="55285AB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modelo de datos debe eliminar la redundancia geográfica y de diagnóstico presente en el archivo plano original.</w:t>
            </w:r>
          </w:p>
        </w:tc>
        <w:tc>
          <w:tcPr>
            <w:tcW w:w="4400" w:type="dxa"/>
            <w:tcMar>
              <w:top w:w="60" w:type="dxa"/>
              <w:left w:w="100" w:type="dxa"/>
              <w:bottom w:w="60" w:type="dxa"/>
              <w:right w:w="100" w:type="dxa"/>
            </w:tcMar>
          </w:tcPr>
          <w:p w14:paraId="082DDD4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esquema resultante está en 3FN: ninguna tabla del modelo (Ubicacion, Localidad, Enfermedad, CasoVigilancia) repite un atributo derivable de otra clave dentro de la misma fila.</w:t>
            </w:r>
          </w:p>
        </w:tc>
      </w:tr>
      <w:tr w14:paraId="53D4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3C36212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RF-04</w:t>
            </w:r>
          </w:p>
        </w:tc>
        <w:tc>
          <w:tcPr>
            <w:tcW w:w="3900" w:type="dxa"/>
            <w:tcMar>
              <w:top w:w="60" w:type="dxa"/>
              <w:left w:w="100" w:type="dxa"/>
              <w:bottom w:w="60" w:type="dxa"/>
              <w:right w:w="100" w:type="dxa"/>
            </w:tcMar>
          </w:tcPr>
          <w:p w14:paraId="03A190D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equipo directivo debe poder obtener indicadores de cobertura/carga por provincia y grupo etario sin consultas SQL manuales (insumo para el Bloque 3 de BI).</w:t>
            </w:r>
          </w:p>
        </w:tc>
        <w:tc>
          <w:tcPr>
            <w:tcW w:w="4400" w:type="dxa"/>
            <w:tcMar>
              <w:top w:w="60" w:type="dxa"/>
              <w:left w:w="100" w:type="dxa"/>
              <w:bottom w:w="60" w:type="dxa"/>
              <w:right w:w="100" w:type="dxa"/>
            </w:tcMar>
          </w:tcPr>
          <w:p w14:paraId="683EFF4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fn_ClasificarGrupoEtario clasifica el 100% de los casos con edad no nula en uno de 5 grupos etarios estándar, reutilizable desde el futuro dashboard.</w:t>
            </w:r>
          </w:p>
        </w:tc>
      </w:tr>
    </w:tbl>
    <w:p w14:paraId="2449C047">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PROCESO ETL DE LIMPIEZA (previo a la normalización)</w:t>
      </w:r>
    </w:p>
    <w:p w14:paraId="3C621F23">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Ejecutado en Python/pandas sobre el archivo fuente completo (1,029,421 filas) antes de diseñar el modelo normalizado, de modo que las tablas 3FN se pueblen con datos consistentes. Script: etl_limpieza.py. Resultados: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4884"/>
        <w:gridCol w:w="1559"/>
      </w:tblGrid>
      <w:tr w14:paraId="1EDE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4E79"/>
            <w:tcMar>
              <w:top w:w="60" w:type="dxa"/>
              <w:left w:w="100" w:type="dxa"/>
              <w:bottom w:w="60" w:type="dxa"/>
              <w:right w:w="100" w:type="dxa"/>
            </w:tcMar>
          </w:tcPr>
          <w:p w14:paraId="1B515629">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Regla ETL</w:t>
            </w:r>
          </w:p>
        </w:tc>
        <w:tc>
          <w:tcPr>
            <w:tcW w:w="4700" w:type="dxa"/>
            <w:shd w:val="clear" w:color="auto" w:fill="1F4E79"/>
            <w:tcMar>
              <w:top w:w="60" w:type="dxa"/>
              <w:left w:w="100" w:type="dxa"/>
              <w:bottom w:w="60" w:type="dxa"/>
              <w:right w:w="100" w:type="dxa"/>
            </w:tcMar>
          </w:tcPr>
          <w:p w14:paraId="1A633192">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Justificación</w:t>
            </w:r>
          </w:p>
        </w:tc>
        <w:tc>
          <w:tcPr>
            <w:tcW w:w="1500" w:type="dxa"/>
            <w:shd w:val="clear" w:color="auto" w:fill="1F4E79"/>
            <w:tcMar>
              <w:top w:w="60" w:type="dxa"/>
              <w:left w:w="100" w:type="dxa"/>
              <w:bottom w:w="60" w:type="dxa"/>
              <w:right w:w="100" w:type="dxa"/>
            </w:tcMar>
          </w:tcPr>
          <w:p w14:paraId="6A717D3C">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Filas afectadas</w:t>
            </w:r>
          </w:p>
        </w:tc>
      </w:tr>
      <w:tr w14:paraId="1B74D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5199D0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R1. Eliminar duplicados exactos</w:t>
            </w:r>
          </w:p>
        </w:tc>
        <w:tc>
          <w:tcPr>
            <w:tcW w:w="4700" w:type="dxa"/>
            <w:tcMar>
              <w:top w:w="60" w:type="dxa"/>
              <w:left w:w="100" w:type="dxa"/>
              <w:bottom w:w="60" w:type="dxa"/>
              <w:right w:w="100" w:type="dxa"/>
            </w:tcMar>
          </w:tcPr>
          <w:p w14:paraId="52AB2E3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Recargas idénticas del mismo evento sin valor analítico adicional</w:t>
            </w:r>
          </w:p>
        </w:tc>
        <w:tc>
          <w:tcPr>
            <w:tcW w:w="1500" w:type="dxa"/>
            <w:tcMar>
              <w:top w:w="60" w:type="dxa"/>
              <w:left w:w="100" w:type="dxa"/>
              <w:bottom w:w="60" w:type="dxa"/>
              <w:right w:w="100" w:type="dxa"/>
            </w:tcMar>
          </w:tcPr>
          <w:p w14:paraId="0C184DF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152,737 eliminadas</w:t>
            </w:r>
          </w:p>
        </w:tc>
      </w:tr>
      <w:tr w14:paraId="04C0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DB2874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R2. Marcar (no eliminar) cuasi-duplicados por clave natural</w:t>
            </w:r>
          </w:p>
        </w:tc>
        <w:tc>
          <w:tcPr>
            <w:tcW w:w="4700" w:type="dxa"/>
            <w:tcMar>
              <w:top w:w="60" w:type="dxa"/>
              <w:left w:w="100" w:type="dxa"/>
              <w:bottom w:w="60" w:type="dxa"/>
              <w:right w:w="100" w:type="dxa"/>
            </w:tcMar>
          </w:tcPr>
          <w:p w14:paraId="74FCD6C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Evitar pérdida de casos reales de salud pública por coincidencia en campo de texto libre</w:t>
            </w:r>
          </w:p>
        </w:tc>
        <w:tc>
          <w:tcPr>
            <w:tcW w:w="1500" w:type="dxa"/>
            <w:tcMar>
              <w:top w:w="60" w:type="dxa"/>
              <w:left w:w="100" w:type="dxa"/>
              <w:bottom w:w="60" w:type="dxa"/>
              <w:right w:w="100" w:type="dxa"/>
            </w:tcMar>
          </w:tcPr>
          <w:p w14:paraId="22C899C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197,522 marcadas para revisión</w:t>
            </w:r>
          </w:p>
        </w:tc>
      </w:tr>
      <w:tr w14:paraId="68A51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BDAEDE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R3. Estandarizar nulos en localidad/localcod</w:t>
            </w:r>
          </w:p>
        </w:tc>
        <w:tc>
          <w:tcPr>
            <w:tcW w:w="4700" w:type="dxa"/>
            <w:tcMar>
              <w:top w:w="60" w:type="dxa"/>
              <w:left w:w="100" w:type="dxa"/>
              <w:bottom w:w="60" w:type="dxa"/>
              <w:right w:w="100" w:type="dxa"/>
            </w:tcMar>
          </w:tcPr>
          <w:p w14:paraId="48E5891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Explicitar el vacío ('NO ESPECIFICADO' / 'NE') en vez de dejar NULL ambiguo</w:t>
            </w:r>
          </w:p>
        </w:tc>
        <w:tc>
          <w:tcPr>
            <w:tcW w:w="1500" w:type="dxa"/>
            <w:tcMar>
              <w:top w:w="60" w:type="dxa"/>
              <w:left w:w="100" w:type="dxa"/>
              <w:bottom w:w="60" w:type="dxa"/>
              <w:right w:w="100" w:type="dxa"/>
            </w:tcMar>
          </w:tcPr>
          <w:p w14:paraId="28CA016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98,406 / 121,535</w:t>
            </w:r>
          </w:p>
        </w:tc>
      </w:tr>
      <w:tr w14:paraId="5AC7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185149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R4. Clasificar formato de localcod</w:t>
            </w:r>
          </w:p>
        </w:tc>
        <w:tc>
          <w:tcPr>
            <w:tcW w:w="4700" w:type="dxa"/>
            <w:tcMar>
              <w:top w:w="60" w:type="dxa"/>
              <w:left w:w="100" w:type="dxa"/>
              <w:bottom w:w="60" w:type="dxa"/>
              <w:right w:w="100" w:type="dxa"/>
            </w:tcMar>
          </w:tcPr>
          <w:p w14:paraId="09740BA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Trazabilidad de calidad sin alterar el valor original</w:t>
            </w:r>
          </w:p>
        </w:tc>
        <w:tc>
          <w:tcPr>
            <w:tcW w:w="1500" w:type="dxa"/>
            <w:tcMar>
              <w:top w:w="60" w:type="dxa"/>
              <w:left w:w="100" w:type="dxa"/>
              <w:bottom w:w="60" w:type="dxa"/>
              <w:right w:w="100" w:type="dxa"/>
            </w:tcMar>
          </w:tcPr>
          <w:p w14:paraId="43EF9F8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2,424 alfanuméricos</w:t>
            </w:r>
          </w:p>
        </w:tc>
      </w:tr>
      <w:tr w14:paraId="51CA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3246C55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R5. Corregir diresa por moda de ubigeo</w:t>
            </w:r>
          </w:p>
        </w:tc>
        <w:tc>
          <w:tcPr>
            <w:tcW w:w="4700" w:type="dxa"/>
            <w:tcMar>
              <w:top w:w="60" w:type="dxa"/>
              <w:left w:w="100" w:type="dxa"/>
              <w:bottom w:w="60" w:type="dxa"/>
              <w:right w:w="100" w:type="dxa"/>
            </w:tcMar>
          </w:tcPr>
          <w:p w14:paraId="600C9BF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Un ubigeo pertenece a una sola DIRESA; se resuelve la inconsistencia con la asignación más frecuente observada</w:t>
            </w:r>
          </w:p>
        </w:tc>
        <w:tc>
          <w:tcPr>
            <w:tcW w:w="1500" w:type="dxa"/>
            <w:tcMar>
              <w:top w:w="60" w:type="dxa"/>
              <w:left w:w="100" w:type="dxa"/>
              <w:bottom w:w="60" w:type="dxa"/>
              <w:right w:w="100" w:type="dxa"/>
            </w:tcMar>
          </w:tcPr>
          <w:p w14:paraId="5EC8A0B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10,741 corregidas</w:t>
            </w:r>
          </w:p>
        </w:tc>
      </w:tr>
      <w:tr w14:paraId="55CD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32A780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R6. Anular edad físicamente imposible</w:t>
            </w:r>
          </w:p>
        </w:tc>
        <w:tc>
          <w:tcPr>
            <w:tcW w:w="4700" w:type="dxa"/>
            <w:tcMar>
              <w:top w:w="60" w:type="dxa"/>
              <w:left w:w="100" w:type="dxa"/>
              <w:bottom w:w="60" w:type="dxa"/>
              <w:right w:w="100" w:type="dxa"/>
            </w:tcMar>
          </w:tcPr>
          <w:p w14:paraId="1F4BC4B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Preservar el caso epidemiológico anulando solo el atributo corrupto</w:t>
            </w:r>
          </w:p>
        </w:tc>
        <w:tc>
          <w:tcPr>
            <w:tcW w:w="1500" w:type="dxa"/>
            <w:tcMar>
              <w:top w:w="60" w:type="dxa"/>
              <w:left w:w="100" w:type="dxa"/>
              <w:bottom w:w="60" w:type="dxa"/>
              <w:right w:w="100" w:type="dxa"/>
            </w:tcMar>
          </w:tcPr>
          <w:p w14:paraId="38C76DD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12 anuladas</w:t>
            </w:r>
          </w:p>
        </w:tc>
      </w:tr>
      <w:tr w14:paraId="46E8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491371E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R7. Validar dominios cerrados (sexo, tipo_edad, diagnostic)</w:t>
            </w:r>
          </w:p>
        </w:tc>
        <w:tc>
          <w:tcPr>
            <w:tcW w:w="4700" w:type="dxa"/>
            <w:tcMar>
              <w:top w:w="60" w:type="dxa"/>
              <w:left w:w="100" w:type="dxa"/>
              <w:bottom w:w="60" w:type="dxa"/>
              <w:right w:w="100" w:type="dxa"/>
            </w:tcMar>
          </w:tcPr>
          <w:p w14:paraId="0A05E23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Verificación de integridad referencial previa a la carga</w:t>
            </w:r>
          </w:p>
        </w:tc>
        <w:tc>
          <w:tcPr>
            <w:tcW w:w="1500" w:type="dxa"/>
            <w:tcMar>
              <w:top w:w="60" w:type="dxa"/>
              <w:left w:w="100" w:type="dxa"/>
              <w:bottom w:w="60" w:type="dxa"/>
              <w:right w:w="100" w:type="dxa"/>
            </w:tcMar>
          </w:tcPr>
          <w:p w14:paraId="1EC356E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0 fuera de dominio (dataset limpio en este eje)</w:t>
            </w:r>
          </w:p>
        </w:tc>
      </w:tr>
    </w:tbl>
    <w:p w14:paraId="6CA1103D">
      <w:pPr>
        <w:spacing w:after="12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Resultado neto: 1,029,421 filas de origen → 876,684 filas en el dataset de trabajo (dataset_limpio_etapa1.csv), con 10,753 correcciones documentadas en log_excepciones_etl.csv para trazabilidad y auditoría posterior.</w:t>
      </w:r>
    </w:p>
    <w:p w14:paraId="79F8D437">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NORMALIZACIÓN: DE LA TABLA PLANA (0FN) A 3FN</w:t>
      </w:r>
    </w:p>
    <w:p w14:paraId="59F23D16">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3.1 Punto de partida — dependencias funcionales identificadas</w:t>
      </w:r>
    </w:p>
    <w:p w14:paraId="3D1E5F9E">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La tabla fuente es una única relación no normalizada con 14 atributos. El análisis de dependencias funcionales sobre los datos reales (no solo el nombre de las columnas) determinó:</w:t>
      </w:r>
    </w:p>
    <w:p w14:paraId="5146F615">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ubigeo → departamento, provincia, distrito  (confirmado: 0 ubigeos con nombres inconsistentes sobre 662 valores distintos).</w:t>
      </w:r>
    </w:p>
    <w:p w14:paraId="2A5B5A9F">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ubigeo → diresa  (dependencia funcional válida SOLO después de aplicar la regla de corrección R5 del ETL; en la fuente cruda esta dependencia se viola en 34 de 662 ubigeos).</w:t>
      </w:r>
    </w:p>
    <w:p w14:paraId="0DB05B2F">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diagnostic ↔ enfermedad  (dependencia funcional 1 a 1 confirmada sobre los 3 valores CIE-10 presentes: A97.0/A97.1/A97.2).</w:t>
      </w:r>
    </w:p>
    <w:p w14:paraId="41A6D03F">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ubigeo → {localidad}  es una relación 1:N, no una dependencia funcional 1:1 (promedio de 21.2 localidades distintas por ubigeo, máximo 646).</w:t>
      </w:r>
    </w:p>
    <w:p w14:paraId="378FE73D">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No existe atributo alguno en el archivo fuente que identifique de forma única una fila (ver Supuesto 1) — condición que se resuelve en 1FN con una clave sustituta.</w:t>
      </w:r>
    </w:p>
    <w:p w14:paraId="26A6EDA6">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3.2 Primera Forma Normal (1FN)</w:t>
      </w:r>
    </w:p>
    <w:p w14:paraId="6CF7AEA7">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Regla: valores atómicos, sin grupos repetitivos, y clave primaria definida.</w:t>
      </w:r>
    </w:p>
    <w:p w14:paraId="74F42318">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Diagnóstico: los 14 campos originales ya son atómicos (no hay listas ni campos multivaluados dentro de una celda). La única violación de 1FN es la AUSENCIA de clave primaria verificada (el 'caso' no tiene id propio en el archivo fuente).</w:t>
      </w:r>
    </w:p>
    <w:p w14:paraId="54F3353F">
      <w:pPr>
        <w:spacing w:after="12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Acción: se agrega una clave sustituta id_caso (IDENTITY) sobre la tabla de trabajo íntegra. Resultado 1FN:</w:t>
      </w:r>
    </w:p>
    <w:p w14:paraId="114E9086">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CasoVigilancia_1FN (id_caso PK, departamento, provincia, distrito, localidad, localcod, enfermedad, ano, semana, diagnostic, diresa, ubigeo, edad, tipo_edad, sexo) - 15 columnas, todas atómicas, con PK definida. Sigue conteniendo redundancia (departamento/provincia/distrito se repiten en cada una de las filas que comparten ubigeo; enfermedad se repite en cada fila con el mismo diagnostic).</w:t>
      </w:r>
    </w:p>
    <w:p w14:paraId="52E6B6FA">
      <w:pPr>
        <w:spacing w:after="120"/>
        <w:rPr>
          <w:rFonts w:ascii="Arial" w:hAnsi="Arial" w:cs="Arial"/>
          <w:color w:val="000000" w:themeColor="text1"/>
          <w14:textFill>
            <w14:solidFill>
              <w14:schemeClr w14:val="tx1"/>
            </w14:solidFill>
          </w14:textFill>
        </w:rPr>
      </w:pPr>
    </w:p>
    <w:p w14:paraId="2AF82DBF">
      <w:pPr>
        <w:spacing w:after="120"/>
        <w:rPr>
          <w:rFonts w:ascii="Arial" w:hAnsi="Arial" w:cs="Arial"/>
          <w:color w:val="000000" w:themeColor="text1"/>
          <w14:textFill>
            <w14:solidFill>
              <w14:schemeClr w14:val="tx1"/>
            </w14:solidFill>
          </w14:textFill>
        </w:rPr>
      </w:pPr>
    </w:p>
    <w:p w14:paraId="29C391A9">
      <w:pPr>
        <w:spacing w:after="120"/>
        <w:rPr>
          <w:rFonts w:ascii="Arial" w:hAnsi="Arial" w:cs="Arial"/>
          <w:color w:val="000000" w:themeColor="text1"/>
          <w14:textFill>
            <w14:solidFill>
              <w14:schemeClr w14:val="tx1"/>
            </w14:solidFill>
          </w14:textFill>
        </w:rPr>
      </w:pPr>
    </w:p>
    <w:p w14:paraId="0E0B27F8">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3.3 Segunda Forma Normal (2FN)</w:t>
      </w:r>
    </w:p>
    <w:p w14:paraId="5D090CEA">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Regla: estar en 1FN y que todo atributo no clave dependa de la CLAVE COMPLETA (sin dependencias parciales de parte de una clave compuesta).</w:t>
      </w:r>
    </w:p>
    <w:p w14:paraId="3F415336">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Diagnóstico: al haberse definido en 1FN una clave primaria de una sola columna (id_caso, sustituta), no existe una clave compuesta de la cual pueda depender parcialmente ningún atributo. Por definición, una dependencia parcial requiere una clave con 2 o más columnas — condición que no se da aquí.</w:t>
      </w:r>
    </w:p>
    <w:p w14:paraId="48220F2A">
      <w:pPr>
        <w:spacing w:after="12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Conclusión: 2FN se satisface de forma automática/trivial en cuanto se resolvió 1FN con la clave sustituta (Supuesto 1). No se requiere ninguna descomposición adicional en este paso; la redundancia real del modelo se resuelve en 3FN.</w:t>
      </w:r>
    </w:p>
    <w:p w14:paraId="5DACA236">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3.4 Tercera Forma Normal (3FN)</w:t>
      </w:r>
    </w:p>
    <w:p w14:paraId="42D7D74C">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Regla: estar en 2FN y que ningún atributo no clave dependa TRANSITIVAMENTE de la clave primaria (es decir, que dependa de otro atributo no clave en vez de depender directamente de id_caso).</w:t>
      </w:r>
    </w:p>
    <w:p w14:paraId="6D6B44BD">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Dependencias transitivas detectadas en CasoVigilancia_1FN:</w:t>
      </w:r>
    </w:p>
    <w:p w14:paraId="47390776">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id_caso → ubigeo → departamento, provincia, distrito, diresa   (transitiva: estos 4 atributos dependen de ubigeo, no directamente de id_caso) → se extrae Ubicacion.</w:t>
      </w:r>
    </w:p>
    <w:p w14:paraId="71E01CFF">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id_caso → diagnostic → enfermedad_nombre   (transitiva) → se extrae Enfermedad.</w:t>
      </w:r>
    </w:p>
    <w:p w14:paraId="3DC54864">
      <w:pPr>
        <w:pStyle w:val="20"/>
        <w:numPr>
          <w:ilvl w:val="0"/>
          <w:numId w:val="1"/>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id_caso → ubigeo → {localidad, localcod}   (localidad/localcod dependen de la combinación ubigeo+localidad, no de id_caso directamente; relación 1:N) → se extrae Localidad como hija de Ubicacion.</w:t>
      </w:r>
    </w:p>
    <w:p w14:paraId="5476F194">
      <w:pPr>
        <w:spacing w:after="12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Modelo resultante en 3FN (ver script 02_schema_normalizado_3NF.sql):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0"/>
        <w:gridCol w:w="2390"/>
        <w:gridCol w:w="3533"/>
        <w:gridCol w:w="1767"/>
      </w:tblGrid>
      <w:tr w14:paraId="0991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1F4E79"/>
            <w:tcMar>
              <w:top w:w="60" w:type="dxa"/>
              <w:left w:w="100" w:type="dxa"/>
              <w:bottom w:w="60" w:type="dxa"/>
              <w:right w:w="100" w:type="dxa"/>
            </w:tcMar>
          </w:tcPr>
          <w:p w14:paraId="721E9F04">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Tabla</w:t>
            </w:r>
          </w:p>
        </w:tc>
        <w:tc>
          <w:tcPr>
            <w:tcW w:w="2300" w:type="dxa"/>
            <w:shd w:val="clear" w:color="auto" w:fill="1F4E79"/>
            <w:tcMar>
              <w:top w:w="60" w:type="dxa"/>
              <w:left w:w="100" w:type="dxa"/>
              <w:bottom w:w="60" w:type="dxa"/>
              <w:right w:w="100" w:type="dxa"/>
            </w:tcMar>
          </w:tcPr>
          <w:p w14:paraId="1BC75E02">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Clave primaria</w:t>
            </w:r>
          </w:p>
        </w:tc>
        <w:tc>
          <w:tcPr>
            <w:tcW w:w="3400" w:type="dxa"/>
            <w:shd w:val="clear" w:color="auto" w:fill="1F4E79"/>
            <w:tcMar>
              <w:top w:w="60" w:type="dxa"/>
              <w:left w:w="100" w:type="dxa"/>
              <w:bottom w:w="60" w:type="dxa"/>
              <w:right w:w="100" w:type="dxa"/>
            </w:tcMar>
          </w:tcPr>
          <w:p w14:paraId="4A6E2873">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Atributos no clave</w:t>
            </w:r>
          </w:p>
        </w:tc>
        <w:tc>
          <w:tcPr>
            <w:tcW w:w="1700" w:type="dxa"/>
            <w:shd w:val="clear" w:color="auto" w:fill="1F4E79"/>
            <w:tcMar>
              <w:top w:w="60" w:type="dxa"/>
              <w:left w:w="100" w:type="dxa"/>
              <w:bottom w:w="60" w:type="dxa"/>
              <w:right w:w="100" w:type="dxa"/>
            </w:tcMar>
          </w:tcPr>
          <w:p w14:paraId="7F12A6AE">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Dependencia</w:t>
            </w:r>
          </w:p>
        </w:tc>
      </w:tr>
      <w:tr w14:paraId="333A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7FA00C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Ubicacion</w:t>
            </w:r>
          </w:p>
        </w:tc>
        <w:tc>
          <w:tcPr>
            <w:tcW w:w="2300" w:type="dxa"/>
            <w:tcMar>
              <w:top w:w="60" w:type="dxa"/>
              <w:left w:w="100" w:type="dxa"/>
              <w:bottom w:w="60" w:type="dxa"/>
              <w:right w:w="100" w:type="dxa"/>
            </w:tcMar>
          </w:tcPr>
          <w:p w14:paraId="3CFC881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ubigeo</w:t>
            </w:r>
          </w:p>
        </w:tc>
        <w:tc>
          <w:tcPr>
            <w:tcW w:w="3400" w:type="dxa"/>
            <w:tcMar>
              <w:top w:w="60" w:type="dxa"/>
              <w:left w:w="100" w:type="dxa"/>
              <w:bottom w:w="60" w:type="dxa"/>
              <w:right w:w="100" w:type="dxa"/>
            </w:tcMar>
          </w:tcPr>
          <w:p w14:paraId="3EFDC43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departamento, provincia, distrito, diresa</w:t>
            </w:r>
          </w:p>
        </w:tc>
        <w:tc>
          <w:tcPr>
            <w:tcW w:w="1700" w:type="dxa"/>
            <w:tcMar>
              <w:top w:w="60" w:type="dxa"/>
              <w:left w:w="100" w:type="dxa"/>
              <w:bottom w:w="60" w:type="dxa"/>
              <w:right w:w="100" w:type="dxa"/>
            </w:tcMar>
          </w:tcPr>
          <w:p w14:paraId="285DD82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Todos dependen única y directamente de ubigeo</w:t>
            </w:r>
          </w:p>
        </w:tc>
      </w:tr>
      <w:tr w14:paraId="2975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64E9DBF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Localidad</w:t>
            </w:r>
          </w:p>
        </w:tc>
        <w:tc>
          <w:tcPr>
            <w:tcW w:w="2300" w:type="dxa"/>
            <w:tcMar>
              <w:top w:w="60" w:type="dxa"/>
              <w:left w:w="100" w:type="dxa"/>
              <w:bottom w:w="60" w:type="dxa"/>
              <w:right w:w="100" w:type="dxa"/>
            </w:tcMar>
          </w:tcPr>
          <w:p w14:paraId="7AA8927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id_localidad (sustituta)</w:t>
            </w:r>
          </w:p>
        </w:tc>
        <w:tc>
          <w:tcPr>
            <w:tcW w:w="3400" w:type="dxa"/>
            <w:tcMar>
              <w:top w:w="60" w:type="dxa"/>
              <w:left w:w="100" w:type="dxa"/>
              <w:bottom w:w="60" w:type="dxa"/>
              <w:right w:w="100" w:type="dxa"/>
            </w:tcMar>
          </w:tcPr>
          <w:p w14:paraId="30086D4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ubigeo (FK), localidad_nombre, localcod, tipo_localcod</w:t>
            </w:r>
          </w:p>
        </w:tc>
        <w:tc>
          <w:tcPr>
            <w:tcW w:w="1700" w:type="dxa"/>
            <w:tcMar>
              <w:top w:w="60" w:type="dxa"/>
              <w:left w:w="100" w:type="dxa"/>
              <w:bottom w:w="60" w:type="dxa"/>
              <w:right w:w="100" w:type="dxa"/>
            </w:tcMar>
          </w:tcPr>
          <w:p w14:paraId="4E54E22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1:N respecto de Ubicacion</w:t>
            </w:r>
          </w:p>
        </w:tc>
      </w:tr>
      <w:tr w14:paraId="41F2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CAD609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Enfermedad</w:t>
            </w:r>
          </w:p>
        </w:tc>
        <w:tc>
          <w:tcPr>
            <w:tcW w:w="2300" w:type="dxa"/>
            <w:tcMar>
              <w:top w:w="60" w:type="dxa"/>
              <w:left w:w="100" w:type="dxa"/>
              <w:bottom w:w="60" w:type="dxa"/>
              <w:right w:w="100" w:type="dxa"/>
            </w:tcMar>
          </w:tcPr>
          <w:p w14:paraId="125FEED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diagnostic</w:t>
            </w:r>
          </w:p>
        </w:tc>
        <w:tc>
          <w:tcPr>
            <w:tcW w:w="3400" w:type="dxa"/>
            <w:tcMar>
              <w:top w:w="60" w:type="dxa"/>
              <w:left w:w="100" w:type="dxa"/>
              <w:bottom w:w="60" w:type="dxa"/>
              <w:right w:w="100" w:type="dxa"/>
            </w:tcMar>
          </w:tcPr>
          <w:p w14:paraId="055A10A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enfermedad_nombre</w:t>
            </w:r>
          </w:p>
        </w:tc>
        <w:tc>
          <w:tcPr>
            <w:tcW w:w="1700" w:type="dxa"/>
            <w:tcMar>
              <w:top w:w="60" w:type="dxa"/>
              <w:left w:w="100" w:type="dxa"/>
              <w:bottom w:w="60" w:type="dxa"/>
              <w:right w:w="100" w:type="dxa"/>
            </w:tcMar>
          </w:tcPr>
          <w:p w14:paraId="6B3DEE7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Dependencia 1 a 1 confirmada</w:t>
            </w:r>
          </w:p>
        </w:tc>
      </w:tr>
      <w:tr w14:paraId="3276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D0A309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CasoVigilancia</w:t>
            </w:r>
          </w:p>
        </w:tc>
        <w:tc>
          <w:tcPr>
            <w:tcW w:w="2300" w:type="dxa"/>
            <w:tcMar>
              <w:top w:w="60" w:type="dxa"/>
              <w:left w:w="100" w:type="dxa"/>
              <w:bottom w:w="60" w:type="dxa"/>
              <w:right w:w="100" w:type="dxa"/>
            </w:tcMar>
          </w:tcPr>
          <w:p w14:paraId="5AF735B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id_caso (sustituta)</w:t>
            </w:r>
          </w:p>
        </w:tc>
        <w:tc>
          <w:tcPr>
            <w:tcW w:w="3400" w:type="dxa"/>
            <w:tcMar>
              <w:top w:w="60" w:type="dxa"/>
              <w:left w:w="100" w:type="dxa"/>
              <w:bottom w:w="60" w:type="dxa"/>
              <w:right w:w="100" w:type="dxa"/>
            </w:tcMar>
          </w:tcPr>
          <w:p w14:paraId="58D3DEE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ubigeo (FK), id_localidad (FK), diagnostic (FK), ano, semana, edad, tipo_edad, sexo, flag_posible_duplicado</w:t>
            </w:r>
          </w:p>
        </w:tc>
        <w:tc>
          <w:tcPr>
            <w:tcW w:w="1700" w:type="dxa"/>
            <w:tcMar>
              <w:top w:w="60" w:type="dxa"/>
              <w:left w:w="100" w:type="dxa"/>
              <w:bottom w:w="60" w:type="dxa"/>
              <w:right w:w="100" w:type="dxa"/>
            </w:tcMar>
          </w:tcPr>
          <w:p w14:paraId="531A492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Todos dependen única, directa y no transitivamente de id_caso</w:t>
            </w:r>
          </w:p>
        </w:tc>
      </w:tr>
    </w:tbl>
    <w:p w14:paraId="0681A863">
      <w:pPr>
        <w:spacing w:after="120"/>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Con esta descomposición, ningún dato geográfico o de diagnóstico se repite físicamente por cada caso: la tabla de hechos CasoVigilancia solo referencia (FK) a Ubicacion, Localidad y Enfermedad, eliminando la redundancia observada en el archivo plano original y dejando el modelo listo para el Paso 2 (procedimientos, triggers y función sobre este esquema).</w:t>
      </w:r>
    </w:p>
    <w:p w14:paraId="68F2F462">
      <w:pPr>
        <w:pStyle w:val="2"/>
        <w:spacing w:before="300" w:after="150"/>
        <w:rPr>
          <w:rFonts w:ascii="Arial" w:hAnsi="Arial" w:cs="Arial"/>
          <w:color w:val="000000" w:themeColor="text1"/>
          <w14:textFill>
            <w14:solidFill>
              <w14:schemeClr w14:val="tx1"/>
            </w14:solidFill>
          </w14:textFill>
        </w:rPr>
      </w:pPr>
    </w:p>
    <w:p w14:paraId="3DD5DBAF">
      <w:pPr>
        <w:pStyle w:val="2"/>
        <w:spacing w:before="300" w:after="150"/>
        <w:rPr>
          <w:rFonts w:ascii="Arial" w:hAnsi="Arial" w:cs="Arial"/>
          <w:color w:val="000000" w:themeColor="text1"/>
          <w14:textFill>
            <w14:solidFill>
              <w14:schemeClr w14:val="tx1"/>
            </w14:solidFill>
          </w14:textFill>
        </w:rPr>
      </w:pPr>
    </w:p>
    <w:p w14:paraId="51D62D50">
      <w:pPr>
        <w:pStyle w:val="2"/>
        <w:spacing w:before="300" w:after="150"/>
        <w:rPr>
          <w:rFonts w:ascii="Arial" w:hAnsi="Arial" w:cs="Arial"/>
          <w:color w:val="000000" w:themeColor="text1"/>
          <w14:textFill>
            <w14:solidFill>
              <w14:schemeClr w14:val="tx1"/>
            </w14:solidFill>
          </w14:textFill>
        </w:rPr>
      </w:pPr>
    </w:p>
    <w:p w14:paraId="5465152A">
      <w:pPr>
        <w:rPr>
          <w:rFonts w:ascii="Arial" w:hAnsi="Arial" w:cs="Arial"/>
          <w:b/>
          <w:bCs/>
          <w:color w:val="000000" w:themeColor="text1"/>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Paso 2: Objetos de automatización en SQL Server (documentación completa)</w:t>
      </w:r>
    </w:p>
    <w:p w14:paraId="44E9DE86">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1. Alcance y objetos construidos</w:t>
      </w:r>
    </w:p>
    <w:p w14:paraId="5B0A9498">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Sobre el modelo 3FN del Paso 1 (Ubicacion, Localidad, Enfermedad, CasoVigilancia) se construyeron 5 objetos de automatización en SQL Server: 1 función escalar, 2 triggers y 2 procedimientos almacenados. Los 5 se ejecutan desde 03_paso2_procedimientos_triggers_funcion.sql y se prueban con 04_script_pruebas.sql.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2"/>
        <w:gridCol w:w="2698"/>
        <w:gridCol w:w="3790"/>
      </w:tblGrid>
      <w:tr w14:paraId="0779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4E79"/>
            <w:tcMar>
              <w:top w:w="60" w:type="dxa"/>
              <w:left w:w="100" w:type="dxa"/>
              <w:bottom w:w="60" w:type="dxa"/>
              <w:right w:w="100" w:type="dxa"/>
            </w:tcMar>
          </w:tcPr>
          <w:p w14:paraId="3FF363DC">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Objeto</w:t>
            </w:r>
          </w:p>
        </w:tc>
        <w:tc>
          <w:tcPr>
            <w:tcW w:w="2500" w:type="dxa"/>
            <w:shd w:val="clear" w:color="auto" w:fill="1F4E79"/>
            <w:tcMar>
              <w:top w:w="60" w:type="dxa"/>
              <w:left w:w="100" w:type="dxa"/>
              <w:bottom w:w="60" w:type="dxa"/>
              <w:right w:w="100" w:type="dxa"/>
            </w:tcMar>
          </w:tcPr>
          <w:p w14:paraId="774AC430">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Tipo</w:t>
            </w:r>
          </w:p>
        </w:tc>
        <w:tc>
          <w:tcPr>
            <w:tcW w:w="3700" w:type="dxa"/>
            <w:shd w:val="clear" w:color="auto" w:fill="1F4E79"/>
            <w:tcMar>
              <w:top w:w="60" w:type="dxa"/>
              <w:left w:w="100" w:type="dxa"/>
              <w:bottom w:w="60" w:type="dxa"/>
              <w:right w:w="100" w:type="dxa"/>
            </w:tcMar>
          </w:tcPr>
          <w:p w14:paraId="0A555A67">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Propósito en una línea</w:t>
            </w:r>
          </w:p>
        </w:tc>
      </w:tr>
      <w:tr w14:paraId="7940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B0842E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fn_ClasificarGrupoEtario</w:t>
            </w:r>
          </w:p>
        </w:tc>
        <w:tc>
          <w:tcPr>
            <w:tcW w:w="2500" w:type="dxa"/>
            <w:tcMar>
              <w:top w:w="60" w:type="dxa"/>
              <w:left w:w="100" w:type="dxa"/>
              <w:bottom w:w="60" w:type="dxa"/>
              <w:right w:w="100" w:type="dxa"/>
            </w:tcMar>
          </w:tcPr>
          <w:p w14:paraId="36FBC34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Función escalar</w:t>
            </w:r>
          </w:p>
        </w:tc>
        <w:tc>
          <w:tcPr>
            <w:tcW w:w="3700" w:type="dxa"/>
            <w:tcMar>
              <w:top w:w="60" w:type="dxa"/>
              <w:left w:w="100" w:type="dxa"/>
              <w:bottom w:w="60" w:type="dxa"/>
              <w:right w:w="100" w:type="dxa"/>
            </w:tcMar>
          </w:tcPr>
          <w:p w14:paraId="737F648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Normaliza edad+tipo_edad a un grupo etario estándar, reutilizable en reportes/BI</w:t>
            </w:r>
          </w:p>
        </w:tc>
      </w:tr>
      <w:tr w14:paraId="5E0E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7774B0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trg_CasoVigilancia_Integridad</w:t>
            </w:r>
          </w:p>
        </w:tc>
        <w:tc>
          <w:tcPr>
            <w:tcW w:w="2500" w:type="dxa"/>
            <w:tcMar>
              <w:top w:w="60" w:type="dxa"/>
              <w:left w:w="100" w:type="dxa"/>
              <w:bottom w:w="60" w:type="dxa"/>
              <w:right w:w="100" w:type="dxa"/>
            </w:tcMar>
          </w:tcPr>
          <w:p w14:paraId="26869D9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Trigger INSTEAD OF INSERT</w:t>
            </w:r>
          </w:p>
        </w:tc>
        <w:tc>
          <w:tcPr>
            <w:tcW w:w="3700" w:type="dxa"/>
            <w:tcMar>
              <w:top w:w="60" w:type="dxa"/>
              <w:left w:w="100" w:type="dxa"/>
              <w:bottom w:w="60" w:type="dxa"/>
              <w:right w:w="100" w:type="dxa"/>
            </w:tcMar>
          </w:tcPr>
          <w:p w14:paraId="1557A2D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Rechaza inserciones con combinación edad/tipo_edad físicamente imposible</w:t>
            </w:r>
          </w:p>
        </w:tc>
      </w:tr>
      <w:tr w14:paraId="1F3D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5ED0BC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trg_CasoVigilancia_Auditoria</w:t>
            </w:r>
          </w:p>
        </w:tc>
        <w:tc>
          <w:tcPr>
            <w:tcW w:w="2500" w:type="dxa"/>
            <w:tcMar>
              <w:top w:w="60" w:type="dxa"/>
              <w:left w:w="100" w:type="dxa"/>
              <w:bottom w:w="60" w:type="dxa"/>
              <w:right w:w="100" w:type="dxa"/>
            </w:tcMar>
          </w:tcPr>
          <w:p w14:paraId="21E8AD9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Trigger AFTER INSERT/UPDATE/DELETE</w:t>
            </w:r>
          </w:p>
        </w:tc>
        <w:tc>
          <w:tcPr>
            <w:tcW w:w="3700" w:type="dxa"/>
            <w:tcMar>
              <w:top w:w="60" w:type="dxa"/>
              <w:left w:w="100" w:type="dxa"/>
              <w:bottom w:w="60" w:type="dxa"/>
              <w:right w:w="100" w:type="dxa"/>
            </w:tcMar>
          </w:tcPr>
          <w:p w14:paraId="7657BEB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Registra quién, qué y cuándo se modificó (Art. 9 Ley 29733)</w:t>
            </w:r>
          </w:p>
        </w:tc>
      </w:tr>
      <w:tr w14:paraId="2C0D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7F85F2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sp_ValidarStaging</w:t>
            </w:r>
          </w:p>
        </w:tc>
        <w:tc>
          <w:tcPr>
            <w:tcW w:w="2500" w:type="dxa"/>
            <w:tcMar>
              <w:top w:w="60" w:type="dxa"/>
              <w:left w:w="100" w:type="dxa"/>
              <w:bottom w:w="60" w:type="dxa"/>
              <w:right w:w="100" w:type="dxa"/>
            </w:tcMar>
          </w:tcPr>
          <w:p w14:paraId="5E66DAB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Procedimiento almacenado</w:t>
            </w:r>
          </w:p>
        </w:tc>
        <w:tc>
          <w:tcPr>
            <w:tcW w:w="3700" w:type="dxa"/>
            <w:tcMar>
              <w:top w:w="60" w:type="dxa"/>
              <w:left w:w="100" w:type="dxa"/>
              <w:bottom w:w="60" w:type="dxa"/>
              <w:right w:w="100" w:type="dxa"/>
            </w:tcMar>
          </w:tcPr>
          <w:p w14:paraId="2AE19B3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Valida dominios/tipos en staging antes de tocar el modelo 3FN</w:t>
            </w:r>
          </w:p>
        </w:tc>
      </w:tr>
      <w:tr w14:paraId="0856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120B504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sp_CargarCasoVigilancia</w:t>
            </w:r>
          </w:p>
        </w:tc>
        <w:tc>
          <w:tcPr>
            <w:tcW w:w="2500" w:type="dxa"/>
            <w:tcMar>
              <w:top w:w="60" w:type="dxa"/>
              <w:left w:w="100" w:type="dxa"/>
              <w:bottom w:w="60" w:type="dxa"/>
              <w:right w:w="100" w:type="dxa"/>
            </w:tcMar>
          </w:tcPr>
          <w:p w14:paraId="5714A3B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Procedimiento almacenado</w:t>
            </w:r>
          </w:p>
        </w:tc>
        <w:tc>
          <w:tcPr>
            <w:tcW w:w="3700" w:type="dxa"/>
            <w:tcMar>
              <w:top w:w="60" w:type="dxa"/>
              <w:left w:w="100" w:type="dxa"/>
              <w:bottom w:w="60" w:type="dxa"/>
              <w:right w:w="100" w:type="dxa"/>
            </w:tcMar>
          </w:tcPr>
          <w:p w14:paraId="4DD8919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Hace upsert de dimensiones y carga el hecho CasoVigilancia</w:t>
            </w:r>
          </w:p>
        </w:tc>
      </w:tr>
    </w:tbl>
    <w:p w14:paraId="73FA303A">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2. Función escalar: fn_ClasificarGrupoEtario</w:t>
      </w:r>
    </w:p>
    <w:p w14:paraId="6019204C">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Parámetros: @edad SMALLINT, @tipo_edad CHAR(1) ('A'=años, 'M'=meses, 'D'=días). Retorna VARCHAR(20).</w:t>
      </w:r>
    </w:p>
    <w:p w14:paraId="3EF8EDEF">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Comportamiento: convierte la edad a años decimales según la unidad, y clasifica en LACTANTE (&lt;1), NINO (&lt;12), ADOLESCENTE (&lt;18), ADULTO (&lt;60) o ADULTO_MAYOR (≥60).</w:t>
      </w:r>
    </w:p>
    <w:p w14:paraId="6ECCB9FF">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Comportamiento ante excepciones: si @edad o @tipo_edad son NULL, o si @tipo_edad no es una de las 3 unidades esperadas, retorna el valor centinela 'NO_CLASIFICADO' en vez de fallar — una función escalar no puede propagar un TRY/CATCH bloqueante hacia quien la invoca dentro de un SELECT masivo, así que se documenta el centinela como comportamiento esperado.</w:t>
      </w:r>
    </w:p>
    <w:p w14:paraId="3F08531D">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Reutilización: se invoca tanto desde el script de pruebas (04) para anotar el grupo etario de cada caso cargado, como (previsto) desde el futuro dashboard del Bloque 3.</w:t>
      </w:r>
    </w:p>
    <w:p w14:paraId="3D695388">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3. Trigger de integridad: trg_CasoVigilancia_Integridad</w:t>
      </w:r>
    </w:p>
    <w:p w14:paraId="0CB653A3">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Tipo: INSTEAD OF INSERT sobre CasoVigilancia.</w:t>
      </w:r>
    </w:p>
    <w:p w14:paraId="49B355C7">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Por qué INSTEAD OF y no un CHECK constraint: un CHECK solo puede expresar una condición sobre la fila que se está insertando, evaluada con las reglas de comparación estándar; aquí la regla depende de la COMBINACIÓN de dos columnas (edad y tipo_edad) con distintos umbrales según la unidad (120 años, 1200 meses, 43800 días) y además se necesita dejar un registro en Log_ExcepcionesETL antes de rechazar -un CHECK no puede escribir en otra tabla. Alternativa descartada: usar solo un CHECK (edad &lt;= 43800) uniforme. Se descartó con 2 criterios: (1) expresividad - un CHECK único no puede variar el umbral según tipo_edad sin una expresión CASE dentro del propio CHECK, que SQL Server permite pero que no puede loguear la excepción; (2) trazabilidad - el trigger inserta en Log_ExcepcionesETL antes de lanzar el error, dejando evidencia auditable de qué se rechazó y por qué, cosa que un CHECK constraint no puede hacer.</w:t>
      </w:r>
    </w:p>
    <w:p w14:paraId="7FEE8AA8">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Comportamiento: si CUALQUIER fila del lote insertado viola la regla, se registra la excepción y se aborta el INSERT completo con THROW 51000 - es decir, rechaza el lote entero, no solo la fila mala (ver Sección 6, caso de prueba T005).</w:t>
      </w:r>
    </w:p>
    <w:p w14:paraId="7D4A474A">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4. Trigger de auditoría: trg_CasoVigilancia_Auditoria</w:t>
      </w:r>
    </w:p>
    <w:p w14:paraId="259DD041">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Tipo: AFTER INSERT, UPDATE, DELETE sobre CasoVigilancia.</w:t>
      </w:r>
    </w:p>
    <w:p w14:paraId="324B1685">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Comportamiento: por cada operación, inserta en Log_Auditoria la tabla afectada, la operación, el id_caso, el usuario de base de datos (SUSER_SNAME() vía el default de la tabla) y — serializados en JSON — el valor anterior y/o nuevo de la fila completa.</w:t>
      </w:r>
    </w:p>
    <w:p w14:paraId="05ABBC0B">
      <w:pPr>
        <w:shd w:val="clear" w:color="auto" w:fill="F2F2F2"/>
        <w:spacing w:after="120"/>
        <w:rPr>
          <w:rFonts w:ascii="Arial" w:hAnsi="Arial" w:cs="Arial"/>
          <w:color w:val="000000" w:themeColor="text1"/>
          <w14:textFill>
            <w14:solidFill>
              <w14:schemeClr w14:val="tx1"/>
            </w14:solidFill>
          </w14:textFill>
        </w:rPr>
      </w:pPr>
      <w:r>
        <w:rPr>
          <w:rFonts w:ascii="Arial" w:hAnsi="Arial" w:eastAsia="Consolas" w:cs="Arial"/>
          <w:color w:val="000000" w:themeColor="text1"/>
          <w:sz w:val="18"/>
          <w:szCs w:val="18"/>
          <w14:textFill>
            <w14:solidFill>
              <w14:schemeClr w14:val="tx1"/>
            </w14:solidFill>
          </w14:textFill>
        </w:rPr>
        <w:t>(SELECT dd.* FROM deleted  dd WHERE dd.id_caso = i.id_caso FOR JSON AUTO) (SELECT ii.* FROM inserted ii WHERE ii.id_caso = i.id_caso FOR JSON AUTO)</w:t>
      </w:r>
    </w:p>
    <w:p w14:paraId="2859AFAA">
      <w:pPr>
        <w:spacing w:after="120"/>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t>Nota de depuración real: la primera versión de este trigger usaba (SELECT d.* FOR JSON AUTO) directamente, apoyándose solo en el alias de la consulta externa, y SQL Server la rechazó con el error 13600 ('FOR JSON AUTO requires at least one table for generating JSON objects'). La causa es que FOR JSON AUTO necesita su propia cláusula FROM dentro de la subconsulta; no basta con arrastrar un alias externo. La corrección - documentada arriba - vuelve a referenciar las tablas virtuales inserted/deleted (disponibles en todo el cuerpo del trigger) y las correlaciona por id_caso.</w:t>
      </w:r>
    </w:p>
    <w:p w14:paraId="13B4D30B">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Como el INSERT real ahora ocurre DENTRO del trigger INSTEAD OF de integridad (Sección 3), este trigger AFTER se dispara sobre esa inserción interna: la cadena completa queda auditada igual, sin duplicar lógica de negocio en dos lugares.</w:t>
      </w:r>
    </w:p>
    <w:p w14:paraId="1B110F03">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5. Procedimientos almacenados</w:t>
      </w:r>
    </w:p>
    <w:p w14:paraId="78799A89">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5.1 sp_ValidarStaging</w:t>
      </w:r>
    </w:p>
    <w:p w14:paraId="6C2A7FAA">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Envuelve la validación de dominios (sexo, tipo_edad, diagnostic contra el catálogo Enfermedad, ano, semana 1-53, ubigeo de 6 caracteres) en una transacción con TRY/CATCH y SAVE TRANSACTION. Marca cada fila de Staging_CasoVigilancia como VALIDO o RECHAZADO, y deja evidencia de cada rechazo en Log_ExcepcionesETL con la regla 'VALIDACION_DOMINIO'. Ante una excepción no controlada, hace ROLLBACK de toda la transacción y también registra el error en el log antes de relanzarlo (THROW).</w:t>
      </w:r>
    </w:p>
    <w:p w14:paraId="35708D60">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5.2 sp_CargarCasoVigilancia</w:t>
      </w:r>
    </w:p>
    <w:p w14:paraId="6BE37AD8">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Toma las filas VALIDO de staging y, en una única transacción con un SAVE TRANSACTION por cada dimensión (Ubicacion, Localidad, hecho), hace upsert de las dimensiones (INSERT ... WHERE NOT EXISTS) y luego inserta en CasoVigilancia — lo que dispara ambos triggers. Si el INSERT al hecho falla (p. ej. por el trigger de integridad), se hace ROLLBACK de la transacción completa y se registra el error en Log_ExcepcionesETL.</w:t>
      </w:r>
    </w:p>
    <w:p w14:paraId="3F783EA3">
      <w:pPr>
        <w:pStyle w:val="2"/>
        <w:spacing w:before="300" w:after="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6. Justificación de diseño (alternativas descartadas)</w:t>
      </w:r>
    </w:p>
    <w:p w14:paraId="0307BC20">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6.1 Lógica en base de datos vs. lógica en aplicación externa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4"/>
        <w:gridCol w:w="3661"/>
        <w:gridCol w:w="3255"/>
      </w:tblGrid>
      <w:tr w14:paraId="5F67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4E79"/>
            <w:tcMar>
              <w:top w:w="60" w:type="dxa"/>
              <w:left w:w="100" w:type="dxa"/>
              <w:bottom w:w="60" w:type="dxa"/>
              <w:right w:w="100" w:type="dxa"/>
            </w:tcMar>
          </w:tcPr>
          <w:p w14:paraId="5AC8C0FC">
            <w:pPr>
              <w:rPr>
                <w:rFonts w:ascii="Arial" w:hAnsi="Arial" w:cs="Arial"/>
                <w:color w:val="000000" w:themeColor="text1"/>
                <w:sz w:val="16"/>
                <w:szCs w:val="16"/>
                <w14:textFill>
                  <w14:solidFill>
                    <w14:schemeClr w14:val="tx1"/>
                  </w14:solidFill>
                </w14:textFill>
              </w:rPr>
            </w:pPr>
            <w:r>
              <w:rPr>
                <w:rFonts w:ascii="Arial" w:hAnsi="Arial" w:cs="Arial"/>
                <w:b/>
                <w:bCs/>
                <w:color w:val="000000" w:themeColor="text1"/>
                <w:sz w:val="16"/>
                <w:szCs w:val="16"/>
                <w14:textFill>
                  <w14:solidFill>
                    <w14:schemeClr w14:val="tx1"/>
                  </w14:solidFill>
                </w14:textFill>
              </w:rPr>
              <w:t>Criterio técnico</w:t>
            </w:r>
          </w:p>
        </w:tc>
        <w:tc>
          <w:tcPr>
            <w:tcW w:w="3600" w:type="dxa"/>
            <w:shd w:val="clear" w:color="auto" w:fill="1F4E79"/>
            <w:tcMar>
              <w:top w:w="60" w:type="dxa"/>
              <w:left w:w="100" w:type="dxa"/>
              <w:bottom w:w="60" w:type="dxa"/>
              <w:right w:w="100" w:type="dxa"/>
            </w:tcMar>
          </w:tcPr>
          <w:p w14:paraId="62A06794">
            <w:pPr>
              <w:rPr>
                <w:rFonts w:ascii="Arial" w:hAnsi="Arial" w:cs="Arial"/>
                <w:color w:val="000000" w:themeColor="text1"/>
                <w:sz w:val="16"/>
                <w:szCs w:val="16"/>
                <w14:textFill>
                  <w14:solidFill>
                    <w14:schemeClr w14:val="tx1"/>
                  </w14:solidFill>
                </w14:textFill>
              </w:rPr>
            </w:pPr>
            <w:r>
              <w:rPr>
                <w:rFonts w:ascii="Arial" w:hAnsi="Arial" w:cs="Arial"/>
                <w:b/>
                <w:bCs/>
                <w:color w:val="000000" w:themeColor="text1"/>
                <w:sz w:val="16"/>
                <w:szCs w:val="16"/>
                <w14:textFill>
                  <w14:solidFill>
                    <w14:schemeClr w14:val="tx1"/>
                  </w14:solidFill>
                </w14:textFill>
              </w:rPr>
              <w:t>Elegida: procedimientos en SQL Server</w:t>
            </w:r>
          </w:p>
        </w:tc>
        <w:tc>
          <w:tcPr>
            <w:tcW w:w="3200" w:type="dxa"/>
            <w:shd w:val="clear" w:color="auto" w:fill="1F4E79"/>
            <w:tcMar>
              <w:top w:w="60" w:type="dxa"/>
              <w:left w:w="100" w:type="dxa"/>
              <w:bottom w:w="60" w:type="dxa"/>
              <w:right w:w="100" w:type="dxa"/>
            </w:tcMar>
          </w:tcPr>
          <w:p w14:paraId="3EB2760D">
            <w:pPr>
              <w:rPr>
                <w:rFonts w:ascii="Arial" w:hAnsi="Arial" w:cs="Arial"/>
                <w:color w:val="000000" w:themeColor="text1"/>
                <w:sz w:val="16"/>
                <w:szCs w:val="16"/>
                <w14:textFill>
                  <w14:solidFill>
                    <w14:schemeClr w14:val="tx1"/>
                  </w14:solidFill>
                </w14:textFill>
              </w:rPr>
            </w:pPr>
            <w:r>
              <w:rPr>
                <w:rFonts w:ascii="Arial" w:hAnsi="Arial" w:cs="Arial"/>
                <w:b/>
                <w:bCs/>
                <w:color w:val="000000" w:themeColor="text1"/>
                <w:sz w:val="16"/>
                <w:szCs w:val="16"/>
                <w14:textFill>
                  <w14:solidFill>
                    <w14:schemeClr w14:val="tx1"/>
                  </w14:solidFill>
                </w14:textFill>
              </w:rPr>
              <w:t>Descartada: ETL externo (app/Python)</w:t>
            </w:r>
          </w:p>
        </w:tc>
      </w:tr>
      <w:tr w14:paraId="3773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7D8FE8C">
            <w:pPr>
              <w:rPr>
                <w:rFonts w:ascii="Arial" w:hAnsi="Arial" w:cs="Arial"/>
                <w:color w:val="000000" w:themeColor="text1"/>
                <w:sz w:val="16"/>
                <w:szCs w:val="16"/>
                <w14:textFill>
                  <w14:solidFill>
                    <w14:schemeClr w14:val="tx1"/>
                  </w14:solidFill>
                </w14:textFill>
              </w:rPr>
            </w:pPr>
            <w:r>
              <w:rPr>
                <w:rFonts w:ascii="Arial" w:hAnsi="Arial" w:cs="Arial"/>
                <w:color w:val="000000" w:themeColor="text1"/>
                <w:sz w:val="16"/>
                <w:szCs w:val="16"/>
                <w14:textFill>
                  <w14:solidFill>
                    <w14:schemeClr w14:val="tx1"/>
                  </w14:solidFill>
                </w14:textFill>
              </w:rPr>
              <w:t>Atomicidad transaccional</w:t>
            </w:r>
          </w:p>
        </w:tc>
        <w:tc>
          <w:tcPr>
            <w:tcW w:w="3600" w:type="dxa"/>
            <w:tcMar>
              <w:top w:w="60" w:type="dxa"/>
              <w:left w:w="100" w:type="dxa"/>
              <w:bottom w:w="60" w:type="dxa"/>
              <w:right w:w="100" w:type="dxa"/>
            </w:tcMar>
          </w:tcPr>
          <w:p w14:paraId="4AA9F9F4">
            <w:pPr>
              <w:rPr>
                <w:rFonts w:ascii="Arial" w:hAnsi="Arial" w:cs="Arial"/>
                <w:color w:val="000000" w:themeColor="text1"/>
                <w:sz w:val="16"/>
                <w:szCs w:val="16"/>
                <w14:textFill>
                  <w14:solidFill>
                    <w14:schemeClr w14:val="tx1"/>
                  </w14:solidFill>
                </w14:textFill>
              </w:rPr>
            </w:pPr>
            <w:r>
              <w:rPr>
                <w:rFonts w:ascii="Arial" w:hAnsi="Arial" w:cs="Arial"/>
                <w:color w:val="000000" w:themeColor="text1"/>
                <w:sz w:val="16"/>
                <w:szCs w:val="16"/>
                <w14:textFill>
                  <w14:solidFill>
                    <w14:schemeClr w14:val="tx1"/>
                  </w14:solidFill>
                </w14:textFill>
              </w:rPr>
              <w:t>COMMIT/ROLLBACK/SAVEPOINT nativos; una falla revierte exactamente hasta el punto de control</w:t>
            </w:r>
          </w:p>
        </w:tc>
        <w:tc>
          <w:tcPr>
            <w:tcW w:w="3200" w:type="dxa"/>
            <w:tcMar>
              <w:top w:w="60" w:type="dxa"/>
              <w:left w:w="100" w:type="dxa"/>
              <w:bottom w:w="60" w:type="dxa"/>
              <w:right w:w="100" w:type="dxa"/>
            </w:tcMar>
          </w:tcPr>
          <w:p w14:paraId="75E6EF36">
            <w:pPr>
              <w:rPr>
                <w:rFonts w:ascii="Arial" w:hAnsi="Arial" w:cs="Arial"/>
                <w:color w:val="000000" w:themeColor="text1"/>
                <w:sz w:val="16"/>
                <w:szCs w:val="16"/>
                <w14:textFill>
                  <w14:solidFill>
                    <w14:schemeClr w14:val="tx1"/>
                  </w14:solidFill>
                </w14:textFill>
              </w:rPr>
            </w:pPr>
            <w:r>
              <w:rPr>
                <w:rFonts w:ascii="Arial" w:hAnsi="Arial" w:cs="Arial"/>
                <w:color w:val="000000" w:themeColor="text1"/>
                <w:sz w:val="16"/>
                <w:szCs w:val="16"/>
                <w14:textFill>
                  <w14:solidFill>
                    <w14:schemeClr w14:val="tx1"/>
                  </w14:solidFill>
                </w14:textFill>
              </w:rPr>
              <w:t>Riesgo de estados intermedios si la app se interrumpe a mitad de la carga</w:t>
            </w:r>
          </w:p>
        </w:tc>
      </w:tr>
      <w:tr w14:paraId="14B9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49FB07C">
            <w:pPr>
              <w:rPr>
                <w:rFonts w:ascii="Arial" w:hAnsi="Arial" w:cs="Arial"/>
                <w:color w:val="000000" w:themeColor="text1"/>
                <w:sz w:val="16"/>
                <w:szCs w:val="16"/>
                <w14:textFill>
                  <w14:solidFill>
                    <w14:schemeClr w14:val="tx1"/>
                  </w14:solidFill>
                </w14:textFill>
              </w:rPr>
            </w:pPr>
            <w:r>
              <w:rPr>
                <w:rFonts w:ascii="Arial" w:hAnsi="Arial" w:cs="Arial"/>
                <w:color w:val="000000" w:themeColor="text1"/>
                <w:sz w:val="16"/>
                <w:szCs w:val="16"/>
                <w14:textFill>
                  <w14:solidFill>
                    <w14:schemeClr w14:val="tx1"/>
                  </w14:solidFill>
                </w14:textFill>
              </w:rPr>
              <w:t>Rendimiento / movimiento de datos</w:t>
            </w:r>
          </w:p>
        </w:tc>
        <w:tc>
          <w:tcPr>
            <w:tcW w:w="3600" w:type="dxa"/>
            <w:tcMar>
              <w:top w:w="60" w:type="dxa"/>
              <w:left w:w="100" w:type="dxa"/>
              <w:bottom w:w="60" w:type="dxa"/>
              <w:right w:w="100" w:type="dxa"/>
            </w:tcMar>
          </w:tcPr>
          <w:p w14:paraId="2D427B96">
            <w:pPr>
              <w:rPr>
                <w:rFonts w:ascii="Arial" w:hAnsi="Arial" w:cs="Arial"/>
                <w:color w:val="000000" w:themeColor="text1"/>
                <w:sz w:val="16"/>
                <w:szCs w:val="16"/>
                <w14:textFill>
                  <w14:solidFill>
                    <w14:schemeClr w14:val="tx1"/>
                  </w14:solidFill>
                </w14:textFill>
              </w:rPr>
            </w:pPr>
            <w:r>
              <w:rPr>
                <w:rFonts w:ascii="Arial" w:hAnsi="Arial" w:cs="Arial"/>
                <w:color w:val="000000" w:themeColor="text1"/>
                <w:sz w:val="16"/>
                <w:szCs w:val="16"/>
                <w14:textFill>
                  <w14:solidFill>
                    <w14:schemeClr w14:val="tx1"/>
                  </w14:solidFill>
                </w14:textFill>
              </w:rPr>
              <w:t>Procesamiento junto a los 876k+ registros, sin round-trip de red por fila</w:t>
            </w:r>
          </w:p>
        </w:tc>
        <w:tc>
          <w:tcPr>
            <w:tcW w:w="3200" w:type="dxa"/>
            <w:tcMar>
              <w:top w:w="60" w:type="dxa"/>
              <w:left w:w="100" w:type="dxa"/>
              <w:bottom w:w="60" w:type="dxa"/>
              <w:right w:w="100" w:type="dxa"/>
            </w:tcMar>
          </w:tcPr>
          <w:p w14:paraId="6A8BEAC1">
            <w:pPr>
              <w:rPr>
                <w:rFonts w:ascii="Arial" w:hAnsi="Arial" w:cs="Arial"/>
                <w:color w:val="000000" w:themeColor="text1"/>
                <w:sz w:val="16"/>
                <w:szCs w:val="16"/>
                <w14:textFill>
                  <w14:solidFill>
                    <w14:schemeClr w14:val="tx1"/>
                  </w14:solidFill>
                </w14:textFill>
              </w:rPr>
            </w:pPr>
            <w:r>
              <w:rPr>
                <w:rFonts w:ascii="Arial" w:hAnsi="Arial" w:cs="Arial"/>
                <w:color w:val="000000" w:themeColor="text1"/>
                <w:sz w:val="16"/>
                <w:szCs w:val="16"/>
                <w14:textFill>
                  <w14:solidFill>
                    <w14:schemeClr w14:val="tx1"/>
                  </w14:solidFill>
                </w14:textFill>
              </w:rPr>
              <w:t>Tráfico de red app↔BD proporcional al volumen de filas</w:t>
            </w:r>
          </w:p>
        </w:tc>
      </w:tr>
    </w:tbl>
    <w:p w14:paraId="376C3F7A">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6.2 Trigger INSTEAD OF vs. CHECK constraint (regla edad/tipo_edad)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4"/>
        <w:gridCol w:w="3661"/>
        <w:gridCol w:w="3255"/>
      </w:tblGrid>
      <w:tr w14:paraId="1AC7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4E79"/>
            <w:tcMar>
              <w:top w:w="60" w:type="dxa"/>
              <w:left w:w="100" w:type="dxa"/>
              <w:bottom w:w="60" w:type="dxa"/>
              <w:right w:w="100" w:type="dxa"/>
            </w:tcMar>
          </w:tcPr>
          <w:p w14:paraId="4ECBF1C1">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Criterio técnico</w:t>
            </w:r>
          </w:p>
        </w:tc>
        <w:tc>
          <w:tcPr>
            <w:tcW w:w="3600" w:type="dxa"/>
            <w:shd w:val="clear" w:color="auto" w:fill="1F4E79"/>
            <w:tcMar>
              <w:top w:w="60" w:type="dxa"/>
              <w:left w:w="100" w:type="dxa"/>
              <w:bottom w:w="60" w:type="dxa"/>
              <w:right w:w="100" w:type="dxa"/>
            </w:tcMar>
          </w:tcPr>
          <w:p w14:paraId="01064911">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Elegida: trigger INSTEAD OF</w:t>
            </w:r>
          </w:p>
        </w:tc>
        <w:tc>
          <w:tcPr>
            <w:tcW w:w="3200" w:type="dxa"/>
            <w:shd w:val="clear" w:color="auto" w:fill="1F4E79"/>
            <w:tcMar>
              <w:top w:w="60" w:type="dxa"/>
              <w:left w:w="100" w:type="dxa"/>
              <w:bottom w:w="60" w:type="dxa"/>
              <w:right w:w="100" w:type="dxa"/>
            </w:tcMar>
          </w:tcPr>
          <w:p w14:paraId="692DBD62">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Descartada: CHECK constraint</w:t>
            </w:r>
          </w:p>
        </w:tc>
      </w:tr>
      <w:tr w14:paraId="7384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67DE2B1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Expresividad de la regla</w:t>
            </w:r>
          </w:p>
        </w:tc>
        <w:tc>
          <w:tcPr>
            <w:tcW w:w="3600" w:type="dxa"/>
            <w:tcMar>
              <w:top w:w="60" w:type="dxa"/>
              <w:left w:w="100" w:type="dxa"/>
              <w:bottom w:w="60" w:type="dxa"/>
              <w:right w:w="100" w:type="dxa"/>
            </w:tcMar>
          </w:tcPr>
          <w:p w14:paraId="5126F36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Umbral distinto por unidad (A/M/D) con lógica arbitraria en T-SQL</w:t>
            </w:r>
          </w:p>
        </w:tc>
        <w:tc>
          <w:tcPr>
            <w:tcW w:w="3200" w:type="dxa"/>
            <w:tcMar>
              <w:top w:w="60" w:type="dxa"/>
              <w:left w:w="100" w:type="dxa"/>
              <w:bottom w:w="60" w:type="dxa"/>
              <w:right w:w="100" w:type="dxa"/>
            </w:tcMar>
          </w:tcPr>
          <w:p w14:paraId="5E54BA8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Requiere una expresión CASE difícil de mantener dentro del propio CHECK</w:t>
            </w:r>
          </w:p>
        </w:tc>
      </w:tr>
      <w:tr w14:paraId="0A03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3319D50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Trazabilidad</w:t>
            </w:r>
          </w:p>
        </w:tc>
        <w:tc>
          <w:tcPr>
            <w:tcW w:w="3600" w:type="dxa"/>
            <w:tcMar>
              <w:top w:w="60" w:type="dxa"/>
              <w:left w:w="100" w:type="dxa"/>
              <w:bottom w:w="60" w:type="dxa"/>
              <w:right w:w="100" w:type="dxa"/>
            </w:tcMar>
          </w:tcPr>
          <w:p w14:paraId="010E4F5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Inserta en Log_ExcepcionesETL antes de rechazar (evidencia auditable)</w:t>
            </w:r>
          </w:p>
        </w:tc>
        <w:tc>
          <w:tcPr>
            <w:tcW w:w="3200" w:type="dxa"/>
            <w:tcMar>
              <w:top w:w="60" w:type="dxa"/>
              <w:left w:w="100" w:type="dxa"/>
              <w:bottom w:w="60" w:type="dxa"/>
              <w:right w:w="100" w:type="dxa"/>
            </w:tcMar>
          </w:tcPr>
          <w:p w14:paraId="1D05FE9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No puede escribir en otra tabla al fallar</w:t>
            </w:r>
          </w:p>
        </w:tc>
      </w:tr>
    </w:tbl>
    <w:p w14:paraId="4E987182">
      <w:pPr>
        <w:pStyle w:val="2"/>
        <w:spacing w:before="300" w:after="15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7. Evidencia de pruebas (04_script_pruebas.sql)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4"/>
        <w:gridCol w:w="3870"/>
        <w:gridCol w:w="4666"/>
      </w:tblGrid>
      <w:tr w14:paraId="0035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shd w:val="clear" w:color="auto" w:fill="1F4E79"/>
            <w:tcMar>
              <w:top w:w="60" w:type="dxa"/>
              <w:left w:w="100" w:type="dxa"/>
              <w:bottom w:w="60" w:type="dxa"/>
              <w:right w:w="100" w:type="dxa"/>
            </w:tcMar>
          </w:tcPr>
          <w:p w14:paraId="49476CF8">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Caso</w:t>
            </w:r>
          </w:p>
        </w:tc>
        <w:tc>
          <w:tcPr>
            <w:tcW w:w="3400" w:type="dxa"/>
            <w:shd w:val="clear" w:color="auto" w:fill="1F4E79"/>
            <w:tcMar>
              <w:top w:w="60" w:type="dxa"/>
              <w:left w:w="100" w:type="dxa"/>
              <w:bottom w:w="60" w:type="dxa"/>
              <w:right w:w="100" w:type="dxa"/>
            </w:tcMar>
          </w:tcPr>
          <w:p w14:paraId="542C3511">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Dato de entrada</w:t>
            </w:r>
          </w:p>
        </w:tc>
        <w:tc>
          <w:tcPr>
            <w:tcW w:w="4100" w:type="dxa"/>
            <w:shd w:val="clear" w:color="auto" w:fill="1F4E79"/>
            <w:tcMar>
              <w:top w:w="60" w:type="dxa"/>
              <w:left w:w="100" w:type="dxa"/>
              <w:bottom w:w="60" w:type="dxa"/>
              <w:right w:w="100" w:type="dxa"/>
            </w:tcMar>
          </w:tcPr>
          <w:p w14:paraId="3EFCB840">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Resultado esperado</w:t>
            </w:r>
          </w:p>
        </w:tc>
      </w:tr>
      <w:tr w14:paraId="4EA8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14C0C5D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T001</w:t>
            </w:r>
          </w:p>
        </w:tc>
        <w:tc>
          <w:tcPr>
            <w:tcW w:w="3400" w:type="dxa"/>
            <w:tcMar>
              <w:top w:w="60" w:type="dxa"/>
              <w:left w:w="100" w:type="dxa"/>
              <w:bottom w:w="60" w:type="dxa"/>
              <w:right w:w="100" w:type="dxa"/>
            </w:tcMar>
          </w:tcPr>
          <w:p w14:paraId="4273AD5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Caso válido, La Esperanza, edad 34 años</w:t>
            </w:r>
          </w:p>
        </w:tc>
        <w:tc>
          <w:tcPr>
            <w:tcW w:w="4100" w:type="dxa"/>
            <w:tcMar>
              <w:top w:w="60" w:type="dxa"/>
              <w:left w:w="100" w:type="dxa"/>
              <w:bottom w:w="60" w:type="dxa"/>
              <w:right w:w="100" w:type="dxa"/>
            </w:tcMar>
          </w:tcPr>
          <w:p w14:paraId="6ACCD23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VALIDO -&gt; cargado a CasoVigilancia; INSERT queda en Log_Auditoria</w:t>
            </w:r>
          </w:p>
        </w:tc>
      </w:tr>
      <w:tr w14:paraId="3DD9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3D29C3B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T002</w:t>
            </w:r>
          </w:p>
        </w:tc>
        <w:tc>
          <w:tcPr>
            <w:tcW w:w="3400" w:type="dxa"/>
            <w:tcMar>
              <w:top w:w="60" w:type="dxa"/>
              <w:left w:w="100" w:type="dxa"/>
              <w:bottom w:w="60" w:type="dxa"/>
              <w:right w:w="100" w:type="dxa"/>
            </w:tcMar>
          </w:tcPr>
          <w:p w14:paraId="0647064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Caso válido, localidad NULL</w:t>
            </w:r>
          </w:p>
        </w:tc>
        <w:tc>
          <w:tcPr>
            <w:tcW w:w="4100" w:type="dxa"/>
            <w:tcMar>
              <w:top w:w="60" w:type="dxa"/>
              <w:left w:w="100" w:type="dxa"/>
              <w:bottom w:w="60" w:type="dxa"/>
              <w:right w:w="100" w:type="dxa"/>
            </w:tcMar>
          </w:tcPr>
          <w:p w14:paraId="6DC8726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localidad_nombre = 'NO ESPECIFICADO' por default</w:t>
            </w:r>
          </w:p>
        </w:tc>
      </w:tr>
      <w:tr w14:paraId="1DB2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4CD3E4C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T003</w:t>
            </w:r>
          </w:p>
        </w:tc>
        <w:tc>
          <w:tcPr>
            <w:tcW w:w="3400" w:type="dxa"/>
            <w:tcMar>
              <w:top w:w="60" w:type="dxa"/>
              <w:left w:w="100" w:type="dxa"/>
              <w:bottom w:w="60" w:type="dxa"/>
              <w:right w:w="100" w:type="dxa"/>
            </w:tcMar>
          </w:tcPr>
          <w:p w14:paraId="77FB8A9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sexo = 'X' (fuera de dominio)</w:t>
            </w:r>
          </w:p>
        </w:tc>
        <w:tc>
          <w:tcPr>
            <w:tcW w:w="4100" w:type="dxa"/>
            <w:tcMar>
              <w:top w:w="60" w:type="dxa"/>
              <w:left w:w="100" w:type="dxa"/>
              <w:bottom w:w="60" w:type="dxa"/>
              <w:right w:w="100" w:type="dxa"/>
            </w:tcMar>
          </w:tcPr>
          <w:p w14:paraId="0800B1D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RECHAZADO en sp_ValidarStaging; fila en Log_ExcepcionesETL</w:t>
            </w:r>
          </w:p>
        </w:tc>
      </w:tr>
      <w:tr w14:paraId="3345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6E6083A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T004</w:t>
            </w:r>
          </w:p>
        </w:tc>
        <w:tc>
          <w:tcPr>
            <w:tcW w:w="3400" w:type="dxa"/>
            <w:tcMar>
              <w:top w:w="60" w:type="dxa"/>
              <w:left w:w="100" w:type="dxa"/>
              <w:bottom w:w="60" w:type="dxa"/>
              <w:right w:w="100" w:type="dxa"/>
            </w:tcMar>
          </w:tcPr>
          <w:p w14:paraId="07A81E2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semana = 60 (fuera de 1-53)</w:t>
            </w:r>
          </w:p>
        </w:tc>
        <w:tc>
          <w:tcPr>
            <w:tcW w:w="4100" w:type="dxa"/>
            <w:tcMar>
              <w:top w:w="60" w:type="dxa"/>
              <w:left w:w="100" w:type="dxa"/>
              <w:bottom w:w="60" w:type="dxa"/>
              <w:right w:w="100" w:type="dxa"/>
            </w:tcMar>
          </w:tcPr>
          <w:p w14:paraId="5799685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RECHAZADO en sp_ValidarStaging</w:t>
            </w:r>
          </w:p>
        </w:tc>
      </w:tr>
      <w:tr w14:paraId="377C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7F354DF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T005</w:t>
            </w:r>
          </w:p>
        </w:tc>
        <w:tc>
          <w:tcPr>
            <w:tcW w:w="3400" w:type="dxa"/>
            <w:tcMar>
              <w:top w:w="60" w:type="dxa"/>
              <w:left w:w="100" w:type="dxa"/>
              <w:bottom w:w="60" w:type="dxa"/>
              <w:right w:w="100" w:type="dxa"/>
            </w:tcMar>
          </w:tcPr>
          <w:p w14:paraId="3AFD82A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tipo_edad='A', edad=150</w:t>
            </w:r>
          </w:p>
        </w:tc>
        <w:tc>
          <w:tcPr>
            <w:tcW w:w="4100" w:type="dxa"/>
            <w:tcMar>
              <w:top w:w="60" w:type="dxa"/>
              <w:left w:w="100" w:type="dxa"/>
              <w:bottom w:w="60" w:type="dxa"/>
              <w:right w:w="100" w:type="dxa"/>
            </w:tcMar>
          </w:tcPr>
          <w:p w14:paraId="2A8B27A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Pasa la validación de dominio, pero el trigger de integridad rechaza TODO el lote de sp_CargarCasoVigilancia; se reintenta sin T005 y T001/T002 sí se cargan</w:t>
            </w:r>
          </w:p>
        </w:tc>
      </w:tr>
    </w:tbl>
    <w:p w14:paraId="4ED11E35">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Un UPDATE de prueba sobre T001 (cambio de edad) confirma que trg_CasoVigilancia_Auditoria también registra operaciones UPDATE con valor_anterior y valor_nuevo en JSON, no solo INSERT.</w:t>
      </w:r>
    </w:p>
    <w:p w14:paraId="1F76B0A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br w:type="page"/>
      </w:r>
    </w:p>
    <w:p w14:paraId="2ACDD94B">
      <w:pPr>
        <w:spacing w:after="400"/>
        <w:rPr>
          <w:rFonts w:ascii="Arial" w:hAnsi="Arial" w:cs="Arial"/>
          <w:color w:val="000000" w:themeColor="text1"/>
          <w14:textFill>
            <w14:solidFill>
              <w14:schemeClr w14:val="tx1"/>
            </w14:solidFill>
          </w14:textFill>
        </w:rPr>
      </w:pPr>
      <w:r>
        <w:rPr>
          <w:rFonts w:ascii="Arial" w:hAnsi="Arial" w:cs="Arial"/>
          <w:i/>
          <w:iCs/>
          <w:color w:val="000000" w:themeColor="text1"/>
          <w:sz w:val="22"/>
          <w:szCs w:val="22"/>
          <w14:textFill>
            <w14:solidFill>
              <w14:schemeClr w14:val="tx1"/>
            </w14:solidFill>
          </w14:textFill>
        </w:rPr>
        <w:t>Paso 3: Seguridad, cumplimiento normativo y rendimiento</w:t>
      </w:r>
    </w:p>
    <w:p w14:paraId="3615E9FD">
      <w:pPr>
        <w:pStyle w:val="2"/>
        <w:spacing w:before="300" w:after="15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 Roles de base de datos y segregación de privilegios</w:t>
      </w:r>
    </w:p>
    <w:p w14:paraId="01BE5D4A">
      <w:pPr>
        <w:spacing w:after="120"/>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t>Fundamento: Ley N.° 29733, Art. 9 (Principio de Seguridad — medidas técnicas, organizativas y legales) y Art. 3 (los datos de salud son datos sensibles, sujetos a protección especial). ISO/IEC 27001, Anexo A.9 (Control de acceso, mínimo privilegio y segregación de funciones). Nota: el enunciado del curso referencia el 'artículo 11'; en el texto vigente de la Ley N.° 29733 el precepto sustantivo sobre medidas de seguridad es el Artículo 9 — este informe cita el artículo correcto para no inducir a error en la sustentación.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0"/>
        <w:gridCol w:w="4049"/>
        <w:gridCol w:w="3341"/>
      </w:tblGrid>
      <w:tr w14:paraId="2E41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4E79"/>
            <w:tcMar>
              <w:top w:w="60" w:type="dxa"/>
              <w:left w:w="100" w:type="dxa"/>
              <w:bottom w:w="60" w:type="dxa"/>
              <w:right w:w="100" w:type="dxa"/>
            </w:tcMar>
          </w:tcPr>
          <w:p w14:paraId="7F0D9335">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Rol</w:t>
            </w:r>
          </w:p>
        </w:tc>
        <w:tc>
          <w:tcPr>
            <w:tcW w:w="3800" w:type="dxa"/>
            <w:shd w:val="clear" w:color="auto" w:fill="1F4E79"/>
            <w:tcMar>
              <w:top w:w="60" w:type="dxa"/>
              <w:left w:w="100" w:type="dxa"/>
              <w:bottom w:w="60" w:type="dxa"/>
              <w:right w:w="100" w:type="dxa"/>
            </w:tcMar>
          </w:tcPr>
          <w:p w14:paraId="46D5425B">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Permisos otorgados</w:t>
            </w:r>
          </w:p>
        </w:tc>
        <w:tc>
          <w:tcPr>
            <w:tcW w:w="3200" w:type="dxa"/>
            <w:shd w:val="clear" w:color="auto" w:fill="1F4E79"/>
            <w:tcMar>
              <w:top w:w="60" w:type="dxa"/>
              <w:left w:w="100" w:type="dxa"/>
              <w:bottom w:w="60" w:type="dxa"/>
              <w:right w:w="100" w:type="dxa"/>
            </w:tcMar>
          </w:tcPr>
          <w:p w14:paraId="7E5F6F67">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Permisos denegados explícitamente</w:t>
            </w:r>
          </w:p>
        </w:tc>
      </w:tr>
      <w:tr w14:paraId="6C08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29A9588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rol_administrador_bd</w:t>
            </w:r>
          </w:p>
        </w:tc>
        <w:tc>
          <w:tcPr>
            <w:tcW w:w="3800" w:type="dxa"/>
            <w:tcMar>
              <w:top w:w="60" w:type="dxa"/>
              <w:left w:w="100" w:type="dxa"/>
              <w:bottom w:w="60" w:type="dxa"/>
              <w:right w:w="100" w:type="dxa"/>
            </w:tcMar>
          </w:tcPr>
          <w:p w14:paraId="60B6A98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SELECT/INSERT/UPDATE/DELETE sobre el esquema dbo; ALTER; CREATE TABLE/PROCEDURE/FUNCTION/VIEW; BACKUP DATABASE/LOG</w:t>
            </w:r>
          </w:p>
        </w:tc>
        <w:tc>
          <w:tcPr>
            <w:tcW w:w="3200" w:type="dxa"/>
            <w:tcMar>
              <w:top w:w="60" w:type="dxa"/>
              <w:left w:w="100" w:type="dxa"/>
              <w:bottom w:w="60" w:type="dxa"/>
              <w:right w:w="100" w:type="dxa"/>
            </w:tcMar>
          </w:tcPr>
          <w:p w14:paraId="5A939D5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INSERT/UPDATE/DELETE sobre Log_Auditoria y Log_ExcepcionesETL (no puede alterar el rastro de auditoría)</w:t>
            </w:r>
          </w:p>
        </w:tc>
      </w:tr>
      <w:tr w14:paraId="123F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1A65240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rol_analista_datos</w:t>
            </w:r>
          </w:p>
        </w:tc>
        <w:tc>
          <w:tcPr>
            <w:tcW w:w="3800" w:type="dxa"/>
            <w:tcMar>
              <w:top w:w="60" w:type="dxa"/>
              <w:left w:w="100" w:type="dxa"/>
              <w:bottom w:w="60" w:type="dxa"/>
              <w:right w:w="100" w:type="dxa"/>
            </w:tcMar>
          </w:tcPr>
          <w:p w14:paraId="3522E1D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SELECT sobre Ubicacion, Localidad, Enfermedad, CasoVigilancia; EXECUTE sobre fn_ClasificarGrupoEtario</w:t>
            </w:r>
          </w:p>
        </w:tc>
        <w:tc>
          <w:tcPr>
            <w:tcW w:w="3200" w:type="dxa"/>
            <w:tcMar>
              <w:top w:w="60" w:type="dxa"/>
              <w:left w:w="100" w:type="dxa"/>
              <w:bottom w:w="60" w:type="dxa"/>
              <w:right w:w="100" w:type="dxa"/>
            </w:tcMar>
          </w:tcPr>
          <w:p w14:paraId="163F3779">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SELECT sobre Staging_CasoVigilancia, Log_Auditoria, Log_ExcepcionesETL; toda escritura (INSERT/UPDATE/DELETE)</w:t>
            </w:r>
          </w:p>
        </w:tc>
      </w:tr>
      <w:tr w14:paraId="3535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362EB85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rol_auditor</w:t>
            </w:r>
          </w:p>
        </w:tc>
        <w:tc>
          <w:tcPr>
            <w:tcW w:w="3800" w:type="dxa"/>
            <w:tcMar>
              <w:top w:w="60" w:type="dxa"/>
              <w:left w:w="100" w:type="dxa"/>
              <w:bottom w:w="60" w:type="dxa"/>
              <w:right w:w="100" w:type="dxa"/>
            </w:tcMar>
          </w:tcPr>
          <w:p w14:paraId="3963613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SELECT sobre Log_Auditoria y Log_ExcepcionesETL; VIEW DEFINITION sobre el esquema (revisar código de SP/triggers)</w:t>
            </w:r>
          </w:p>
        </w:tc>
        <w:tc>
          <w:tcPr>
            <w:tcW w:w="3200" w:type="dxa"/>
            <w:tcMar>
              <w:top w:w="60" w:type="dxa"/>
              <w:left w:w="100" w:type="dxa"/>
              <w:bottom w:w="60" w:type="dxa"/>
              <w:right w:w="100" w:type="dxa"/>
            </w:tcMar>
          </w:tcPr>
          <w:p w14:paraId="3494380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SELECT sobre CasoVigilancia y Staging_CasoVigilancia; toda escritura</w:t>
            </w:r>
          </w:p>
        </w:tc>
      </w:tr>
    </w:tbl>
    <w:p w14:paraId="6DE6F558">
      <w:pPr>
        <w:pStyle w:val="3"/>
        <w:spacing w:before="250"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Justificación de la segregación</w:t>
      </w:r>
    </w:p>
    <w:p w14:paraId="505F20FC">
      <w:pPr>
        <w:pStyle w:val="20"/>
        <w:numPr>
          <w:ilvl w:val="0"/>
          <w:numId w:val="2"/>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administrador puede operar el esquema y los datos, pero no puede modificar ni borrar su propio rastro de auditoría: evita que una única cuenta comprometida (o un abuso interno) pueda alterar datos Y encubrirlo — separación de funciones exigida por ISO 27001 A.9.2/A.9.4.</w:t>
      </w:r>
    </w:p>
    <w:p w14:paraId="6C8152AA">
      <w:pPr>
        <w:pStyle w:val="20"/>
        <w:numPr>
          <w:ilvl w:val="0"/>
          <w:numId w:val="2"/>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analista de datos accede solo a datos ya validados (3FN), nunca al staging crudo ni a los logs: aplica el principio de minimización — no necesita saber quién modificó qué para producir un reporte epidemiológico.</w:t>
      </w:r>
    </w:p>
    <w:p w14:paraId="384D2BE9">
      <w:pPr>
        <w:pStyle w:val="20"/>
        <w:numPr>
          <w:ilvl w:val="0"/>
          <w:numId w:val="2"/>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auditor ve el rastro de auditoría y la definición de los objetos (para confirmar que existen los controles), pero NO los datos clínicos de los pacientes: reduce la superficie de exposición de datos sensibles de salud a quien solo debe fiscalizar el control, no consultar historiales de casos.</w:t>
      </w:r>
    </w:p>
    <w:p w14:paraId="03AEC71E">
      <w:pPr>
        <w:spacing w:after="80"/>
        <w:rPr>
          <w:rFonts w:ascii="Arial" w:hAnsi="Arial" w:cs="Arial"/>
          <w:color w:val="000000" w:themeColor="text1"/>
          <w14:textFill>
            <w14:solidFill>
              <w14:schemeClr w14:val="tx1"/>
            </w14:solidFill>
          </w14:textFill>
        </w:rPr>
      </w:pPr>
    </w:p>
    <w:p w14:paraId="3188915A">
      <w:pPr>
        <w:spacing w:after="80"/>
        <w:rPr>
          <w:rFonts w:ascii="Arial" w:hAnsi="Arial" w:cs="Arial"/>
          <w:color w:val="000000" w:themeColor="text1"/>
          <w14:textFill>
            <w14:solidFill>
              <w14:schemeClr w14:val="tx1"/>
            </w14:solidFill>
          </w14:textFill>
        </w:rPr>
      </w:pPr>
    </w:p>
    <w:p w14:paraId="423376A6">
      <w:pPr>
        <w:spacing w:after="80"/>
        <w:rPr>
          <w:rFonts w:ascii="Arial" w:hAnsi="Arial" w:cs="Arial"/>
          <w:color w:val="000000" w:themeColor="text1"/>
          <w14:textFill>
            <w14:solidFill>
              <w14:schemeClr w14:val="tx1"/>
            </w14:solidFill>
          </w14:textFill>
        </w:rPr>
      </w:pPr>
    </w:p>
    <w:p w14:paraId="14BD4B8C">
      <w:pPr>
        <w:spacing w:after="80"/>
        <w:rPr>
          <w:rFonts w:ascii="Arial" w:hAnsi="Arial" w:cs="Arial"/>
          <w:color w:val="000000" w:themeColor="text1"/>
          <w14:textFill>
            <w14:solidFill>
              <w14:schemeClr w14:val="tx1"/>
            </w14:solidFill>
          </w14:textFill>
        </w:rPr>
      </w:pPr>
    </w:p>
    <w:p w14:paraId="74624B53">
      <w:pPr>
        <w:spacing w:after="80"/>
        <w:rPr>
          <w:rFonts w:ascii="Arial" w:hAnsi="Arial" w:cs="Arial"/>
          <w:color w:val="000000" w:themeColor="text1"/>
          <w14:textFill>
            <w14:solidFill>
              <w14:schemeClr w14:val="tx1"/>
            </w14:solidFill>
          </w14:textFill>
        </w:rPr>
      </w:pPr>
    </w:p>
    <w:p w14:paraId="2098526A">
      <w:pPr>
        <w:spacing w:after="80"/>
        <w:rPr>
          <w:rFonts w:ascii="Arial" w:hAnsi="Arial" w:cs="Arial"/>
          <w:color w:val="000000" w:themeColor="text1"/>
          <w14:textFill>
            <w14:solidFill>
              <w14:schemeClr w14:val="tx1"/>
            </w14:solidFill>
          </w14:textFill>
        </w:rPr>
      </w:pPr>
    </w:p>
    <w:p w14:paraId="6CB85982">
      <w:pPr>
        <w:spacing w:after="80"/>
        <w:rPr>
          <w:rFonts w:ascii="Arial" w:hAnsi="Arial" w:cs="Arial"/>
          <w:color w:val="000000" w:themeColor="text1"/>
          <w14:textFill>
            <w14:solidFill>
              <w14:schemeClr w14:val="tx1"/>
            </w14:solidFill>
          </w14:textFill>
        </w:rPr>
      </w:pPr>
    </w:p>
    <w:p w14:paraId="25FAD992">
      <w:pPr>
        <w:spacing w:after="80"/>
        <w:rPr>
          <w:rFonts w:ascii="Arial" w:hAnsi="Arial" w:cs="Arial"/>
          <w:color w:val="000000" w:themeColor="text1"/>
          <w14:textFill>
            <w14:solidFill>
              <w14:schemeClr w14:val="tx1"/>
            </w14:solidFill>
          </w14:textFill>
        </w:rPr>
      </w:pPr>
    </w:p>
    <w:p w14:paraId="080A8E01">
      <w:pPr>
        <w:spacing w:after="80"/>
        <w:rPr>
          <w:rFonts w:ascii="Arial" w:hAnsi="Arial" w:cs="Arial"/>
          <w:color w:val="000000" w:themeColor="text1"/>
          <w14:textFill>
            <w14:solidFill>
              <w14:schemeClr w14:val="tx1"/>
            </w14:solidFill>
          </w14:textFill>
        </w:rPr>
      </w:pPr>
    </w:p>
    <w:p w14:paraId="039A4FB5">
      <w:pPr>
        <w:pStyle w:val="2"/>
        <w:spacing w:before="300" w:after="15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 Política de respaldo</w:t>
      </w:r>
    </w:p>
    <w:p w14:paraId="51F07FDC">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Estrategia: FULL semanal + DIFFERENTIAL diaria + LOG cada 1 hora (recovery model FULL), sobre el mínimo de FULL+DIFFERENTIAL de la consigna. Ver script 08_paso3_backup_restore.sql (incluye el respaldo y un restore probado a una base de datos alterna, con verificación de conteos post-restauración).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1"/>
        <w:gridCol w:w="3612"/>
        <w:gridCol w:w="3187"/>
      </w:tblGrid>
      <w:tr w14:paraId="052C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4E79"/>
            <w:tcMar>
              <w:top w:w="60" w:type="dxa"/>
              <w:left w:w="100" w:type="dxa"/>
              <w:bottom w:w="60" w:type="dxa"/>
              <w:right w:w="100" w:type="dxa"/>
            </w:tcMar>
          </w:tcPr>
          <w:p w14:paraId="1266021A">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Criterio técnico</w:t>
            </w:r>
          </w:p>
        </w:tc>
        <w:tc>
          <w:tcPr>
            <w:tcW w:w="3400" w:type="dxa"/>
            <w:shd w:val="clear" w:color="auto" w:fill="1F4E79"/>
            <w:tcMar>
              <w:top w:w="60" w:type="dxa"/>
              <w:left w:w="100" w:type="dxa"/>
              <w:bottom w:w="60" w:type="dxa"/>
              <w:right w:w="100" w:type="dxa"/>
            </w:tcMar>
          </w:tcPr>
          <w:p w14:paraId="6E6B577D">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FULL + DIFFERENTIAL (mínimo consigna)</w:t>
            </w:r>
          </w:p>
        </w:tc>
        <w:tc>
          <w:tcPr>
            <w:tcW w:w="3000" w:type="dxa"/>
            <w:shd w:val="clear" w:color="auto" w:fill="1F4E79"/>
            <w:tcMar>
              <w:top w:w="60" w:type="dxa"/>
              <w:left w:w="100" w:type="dxa"/>
              <w:bottom w:w="60" w:type="dxa"/>
              <w:right w:w="100" w:type="dxa"/>
            </w:tcMar>
          </w:tcPr>
          <w:p w14:paraId="27085185">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FULL + DIFFERENTIAL + LOG (elegido)</w:t>
            </w:r>
          </w:p>
        </w:tc>
      </w:tr>
      <w:tr w14:paraId="26DC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8C4367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RPO (pérdida máxima tolerable)</w:t>
            </w:r>
          </w:p>
        </w:tc>
        <w:tc>
          <w:tcPr>
            <w:tcW w:w="3400" w:type="dxa"/>
            <w:tcMar>
              <w:top w:w="60" w:type="dxa"/>
              <w:left w:w="100" w:type="dxa"/>
              <w:bottom w:w="60" w:type="dxa"/>
              <w:right w:w="100" w:type="dxa"/>
            </w:tcMar>
          </w:tcPr>
          <w:p w14:paraId="6A69B0C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Hasta 24 h si el diferencial diario falla antes del siguiente ciclo</w:t>
            </w:r>
          </w:p>
        </w:tc>
        <w:tc>
          <w:tcPr>
            <w:tcW w:w="3000" w:type="dxa"/>
            <w:tcMar>
              <w:top w:w="60" w:type="dxa"/>
              <w:left w:w="100" w:type="dxa"/>
              <w:bottom w:w="60" w:type="dxa"/>
              <w:right w:w="100" w:type="dxa"/>
            </w:tcMar>
          </w:tcPr>
          <w:p w14:paraId="73AF4AF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 h: cada notificación de caso queda protegida dentro de la hora</w:t>
            </w:r>
          </w:p>
        </w:tc>
      </w:tr>
      <w:tr w14:paraId="6969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477460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RTO / cadena de restauración</w:t>
            </w:r>
          </w:p>
        </w:tc>
        <w:tc>
          <w:tcPr>
            <w:tcW w:w="3400" w:type="dxa"/>
            <w:tcMar>
              <w:top w:w="60" w:type="dxa"/>
              <w:left w:w="100" w:type="dxa"/>
              <w:bottom w:w="60" w:type="dxa"/>
              <w:right w:w="100" w:type="dxa"/>
            </w:tcMar>
          </w:tcPr>
          <w:p w14:paraId="1EC76C8B">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FULL + 1 diferencial</w:t>
            </w:r>
          </w:p>
        </w:tc>
        <w:tc>
          <w:tcPr>
            <w:tcW w:w="3000" w:type="dxa"/>
            <w:tcMar>
              <w:top w:w="60" w:type="dxa"/>
              <w:left w:w="100" w:type="dxa"/>
              <w:bottom w:w="60" w:type="dxa"/>
              <w:right w:w="100" w:type="dxa"/>
            </w:tcMar>
          </w:tcPr>
          <w:p w14:paraId="639BC1DF">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FULL + 1 diferencial + logs posteriores; tiempo acotado sin importar cuánto crezca el volumen histórico</w:t>
            </w:r>
          </w:p>
        </w:tc>
      </w:tr>
    </w:tbl>
    <w:p w14:paraId="0EE3AB71">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El restore se probó (no solo se documentó) restaurando a una base de datos alterna DIRESA_LaLibertad_Dengue_RESTORE_TEST y comparando el conteo de filas de CasoVigilancia, Ubicacion y Log_Auditoria contra producción — evidencia de que la cadena FULL→DIFFERENTIAL→LOG es recuperable de punta a punta.</w:t>
      </w:r>
    </w:p>
    <w:p w14:paraId="4F34D1C9">
      <w:pPr>
        <w:pStyle w:val="2"/>
        <w:spacing w:before="300" w:after="15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 Plan de ejecución e indexación</w:t>
      </w:r>
    </w:p>
    <w:p w14:paraId="3860EDA7">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Consulta crítica: reporte de morbilidad por provincia y semana epidemiológica (insumo del KPI 'carga de morbilidad' pedido por el director regional; se ejecuta cada refresco del dashboard del Bloque 3). Script: 09_paso3_plan_ejecucion_indice.sql.</w:t>
      </w:r>
    </w:p>
    <w:p w14:paraId="7989ED24">
      <w:pPr>
        <w:spacing w:after="12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Índice creado: IX_CasoVigilancia_Ano (ano) INCLUDE (ubigeo, diagnostic, semana) — cubre el filtro WHERE ano=@x y evita el Key Lookup a la tabla base para las columnas usadas en el resto de la consulta.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8"/>
        <w:gridCol w:w="3186"/>
        <w:gridCol w:w="3186"/>
      </w:tblGrid>
      <w:tr w14:paraId="2737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4E79"/>
            <w:tcMar>
              <w:top w:w="60" w:type="dxa"/>
              <w:left w:w="100" w:type="dxa"/>
              <w:bottom w:w="60" w:type="dxa"/>
              <w:right w:w="100" w:type="dxa"/>
            </w:tcMar>
          </w:tcPr>
          <w:p w14:paraId="3B5B773D">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Métrica</w:t>
            </w:r>
          </w:p>
        </w:tc>
        <w:tc>
          <w:tcPr>
            <w:tcW w:w="3200" w:type="dxa"/>
            <w:shd w:val="clear" w:color="auto" w:fill="1F4E79"/>
            <w:tcMar>
              <w:top w:w="60" w:type="dxa"/>
              <w:left w:w="100" w:type="dxa"/>
              <w:bottom w:w="60" w:type="dxa"/>
              <w:right w:w="100" w:type="dxa"/>
            </w:tcMar>
          </w:tcPr>
          <w:p w14:paraId="3EFA2E0F">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Antes (sin índice)</w:t>
            </w:r>
          </w:p>
        </w:tc>
        <w:tc>
          <w:tcPr>
            <w:tcW w:w="3200" w:type="dxa"/>
            <w:shd w:val="clear" w:color="auto" w:fill="1F4E79"/>
            <w:tcMar>
              <w:top w:w="60" w:type="dxa"/>
              <w:left w:w="100" w:type="dxa"/>
              <w:bottom w:w="60" w:type="dxa"/>
              <w:right w:w="100" w:type="dxa"/>
            </w:tcMar>
          </w:tcPr>
          <w:p w14:paraId="1EC5D98E">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Después (con índice)</w:t>
            </w:r>
          </w:p>
        </w:tc>
      </w:tr>
      <w:tr w14:paraId="0BBD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27129B0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Operador dominante sobre CasoVigilancia</w:t>
            </w:r>
          </w:p>
        </w:tc>
        <w:tc>
          <w:tcPr>
            <w:tcW w:w="3200" w:type="dxa"/>
            <w:tcMar>
              <w:top w:w="60" w:type="dxa"/>
              <w:left w:w="100" w:type="dxa"/>
              <w:bottom w:w="60" w:type="dxa"/>
              <w:right w:w="100" w:type="dxa"/>
            </w:tcMar>
          </w:tcPr>
          <w:p w14:paraId="0FD103D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Clustered Index Scan</w:t>
            </w:r>
          </w:p>
        </w:tc>
        <w:tc>
          <w:tcPr>
            <w:tcW w:w="3200" w:type="dxa"/>
            <w:tcMar>
              <w:top w:w="60" w:type="dxa"/>
              <w:left w:w="100" w:type="dxa"/>
              <w:bottom w:w="60" w:type="dxa"/>
              <w:right w:w="100" w:type="dxa"/>
            </w:tcMar>
          </w:tcPr>
          <w:p w14:paraId="608C91A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Index Seek</w:t>
            </w:r>
          </w:p>
        </w:tc>
      </w:tr>
      <w:tr w14:paraId="3219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6D1D3BA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Logical reads (CasoVigilancia)</w:t>
            </w:r>
          </w:p>
        </w:tc>
        <w:tc>
          <w:tcPr>
            <w:tcW w:w="3200" w:type="dxa"/>
            <w:tcMar>
              <w:top w:w="60" w:type="dxa"/>
              <w:left w:w="100" w:type="dxa"/>
              <w:bottom w:w="60" w:type="dxa"/>
              <w:right w:w="100" w:type="dxa"/>
            </w:tcMar>
          </w:tcPr>
          <w:p w14:paraId="15858EF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completar con SET STATISTICS IO</w:t>
            </w:r>
          </w:p>
        </w:tc>
        <w:tc>
          <w:tcPr>
            <w:tcW w:w="3200" w:type="dxa"/>
            <w:tcMar>
              <w:top w:w="60" w:type="dxa"/>
              <w:left w:w="100" w:type="dxa"/>
              <w:bottom w:w="60" w:type="dxa"/>
              <w:right w:w="100" w:type="dxa"/>
            </w:tcMar>
          </w:tcPr>
          <w:p w14:paraId="3FC98C57">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completar con SET STATISTICS IO</w:t>
            </w:r>
          </w:p>
        </w:tc>
      </w:tr>
      <w:tr w14:paraId="7729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223999EC">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CPU time / Elapsed time</w:t>
            </w:r>
          </w:p>
        </w:tc>
        <w:tc>
          <w:tcPr>
            <w:tcW w:w="3200" w:type="dxa"/>
            <w:tcMar>
              <w:top w:w="60" w:type="dxa"/>
              <w:left w:w="100" w:type="dxa"/>
              <w:bottom w:w="60" w:type="dxa"/>
              <w:right w:w="100" w:type="dxa"/>
            </w:tcMar>
          </w:tcPr>
          <w:p w14:paraId="16D2BBB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completar con SET STATISTICS TIME</w:t>
            </w:r>
          </w:p>
        </w:tc>
        <w:tc>
          <w:tcPr>
            <w:tcW w:w="3200" w:type="dxa"/>
            <w:tcMar>
              <w:top w:w="60" w:type="dxa"/>
              <w:left w:w="100" w:type="dxa"/>
              <w:bottom w:w="60" w:type="dxa"/>
              <w:right w:w="100" w:type="dxa"/>
            </w:tcMar>
          </w:tcPr>
          <w:p w14:paraId="2D78322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completar con SET STATISTICS TIME</w:t>
            </w:r>
          </w:p>
        </w:tc>
      </w:tr>
    </w:tbl>
    <w:p w14:paraId="133494DA">
      <w:pPr>
        <w:spacing w:after="120"/>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w:t>Completar esta tabla con los valores reales que reporte SSMS al ejecutar 09_paso3_plan_ejecucion_indice.sql en el entorno del curso (los valores dependen del hardware/instancia y deben citarse tal como se observen, no estimarse).</w:t>
      </w:r>
    </w:p>
    <w:p w14:paraId="633F2DC2">
      <w:pPr>
        <w:pStyle w:val="2"/>
        <w:spacing w:before="300" w:after="15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4. Lista de verificación de cumplimiento normativo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1"/>
        <w:gridCol w:w="2345"/>
        <w:gridCol w:w="2951"/>
        <w:gridCol w:w="1493"/>
      </w:tblGrid>
      <w:tr w14:paraId="344C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4E79"/>
            <w:tcMar>
              <w:top w:w="60" w:type="dxa"/>
              <w:left w:w="100" w:type="dxa"/>
              <w:bottom w:w="60" w:type="dxa"/>
              <w:right w:w="100" w:type="dxa"/>
            </w:tcMar>
          </w:tcPr>
          <w:p w14:paraId="09CB5F05">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Requisito</w:t>
            </w:r>
          </w:p>
        </w:tc>
        <w:tc>
          <w:tcPr>
            <w:tcW w:w="2200" w:type="dxa"/>
            <w:shd w:val="clear" w:color="auto" w:fill="1F4E79"/>
            <w:tcMar>
              <w:top w:w="60" w:type="dxa"/>
              <w:left w:w="100" w:type="dxa"/>
              <w:bottom w:w="60" w:type="dxa"/>
              <w:right w:w="100" w:type="dxa"/>
            </w:tcMar>
          </w:tcPr>
          <w:p w14:paraId="5A08F9BD">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Norma / Control</w:t>
            </w:r>
          </w:p>
        </w:tc>
        <w:tc>
          <w:tcPr>
            <w:tcW w:w="2600" w:type="dxa"/>
            <w:shd w:val="clear" w:color="auto" w:fill="1F4E79"/>
            <w:tcMar>
              <w:top w:w="60" w:type="dxa"/>
              <w:left w:w="100" w:type="dxa"/>
              <w:bottom w:w="60" w:type="dxa"/>
              <w:right w:w="100" w:type="dxa"/>
            </w:tcMar>
          </w:tcPr>
          <w:p w14:paraId="2561A6F9">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Evidencia en el proyecto</w:t>
            </w:r>
          </w:p>
        </w:tc>
        <w:tc>
          <w:tcPr>
            <w:tcW w:w="1400" w:type="dxa"/>
            <w:shd w:val="clear" w:color="auto" w:fill="1F4E79"/>
            <w:tcMar>
              <w:top w:w="60" w:type="dxa"/>
              <w:left w:w="100" w:type="dxa"/>
              <w:bottom w:w="60" w:type="dxa"/>
              <w:right w:w="100" w:type="dxa"/>
            </w:tcMar>
          </w:tcPr>
          <w:p w14:paraId="2E4F53BC">
            <w:pPr>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Estado</w:t>
            </w:r>
          </w:p>
        </w:tc>
      </w:tr>
      <w:tr w14:paraId="3341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648441E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Datos de salud como dato sensible</w:t>
            </w:r>
          </w:p>
        </w:tc>
        <w:tc>
          <w:tcPr>
            <w:tcW w:w="2200" w:type="dxa"/>
            <w:tcMar>
              <w:top w:w="60" w:type="dxa"/>
              <w:left w:w="100" w:type="dxa"/>
              <w:bottom w:w="60" w:type="dxa"/>
              <w:right w:w="100" w:type="dxa"/>
            </w:tcMar>
          </w:tcPr>
          <w:p w14:paraId="40E1122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Ley 29733, Art. 3 y Art. 2 núm. 5</w:t>
            </w:r>
          </w:p>
        </w:tc>
        <w:tc>
          <w:tcPr>
            <w:tcW w:w="2600" w:type="dxa"/>
            <w:tcMar>
              <w:top w:w="60" w:type="dxa"/>
              <w:left w:w="100" w:type="dxa"/>
              <w:bottom w:w="60" w:type="dxa"/>
              <w:right w:w="100" w:type="dxa"/>
            </w:tcMar>
          </w:tcPr>
          <w:p w14:paraId="15818CAD">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Modelo trata CasoVigilancia como información de salud; acceso restringido por rol</w:t>
            </w:r>
          </w:p>
        </w:tc>
        <w:tc>
          <w:tcPr>
            <w:tcW w:w="1400" w:type="dxa"/>
            <w:tcMar>
              <w:top w:w="60" w:type="dxa"/>
              <w:left w:w="100" w:type="dxa"/>
              <w:bottom w:w="60" w:type="dxa"/>
              <w:right w:w="100" w:type="dxa"/>
            </w:tcMar>
          </w:tcPr>
          <w:p w14:paraId="25FE9906">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Cumplido</w:t>
            </w:r>
          </w:p>
        </w:tc>
      </w:tr>
      <w:tr w14:paraId="05DB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68B2DD2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Medidas técnicas y organizativas de seguridad</w:t>
            </w:r>
          </w:p>
        </w:tc>
        <w:tc>
          <w:tcPr>
            <w:tcW w:w="2200" w:type="dxa"/>
            <w:tcMar>
              <w:top w:w="60" w:type="dxa"/>
              <w:left w:w="100" w:type="dxa"/>
              <w:bottom w:w="60" w:type="dxa"/>
              <w:right w:w="100" w:type="dxa"/>
            </w:tcMar>
          </w:tcPr>
          <w:p w14:paraId="30DB7EE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Ley 29733, Art. 9 (Principio de Seguridad)</w:t>
            </w:r>
          </w:p>
        </w:tc>
        <w:tc>
          <w:tcPr>
            <w:tcW w:w="2600" w:type="dxa"/>
            <w:tcMar>
              <w:top w:w="60" w:type="dxa"/>
              <w:left w:w="100" w:type="dxa"/>
              <w:bottom w:w="60" w:type="dxa"/>
              <w:right w:w="100" w:type="dxa"/>
            </w:tcMar>
          </w:tcPr>
          <w:p w14:paraId="6F9F69C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Roles diferenciados, triggers de auditoría/integridad, backup FULL+DIFF+LOG</w:t>
            </w:r>
          </w:p>
        </w:tc>
        <w:tc>
          <w:tcPr>
            <w:tcW w:w="1400" w:type="dxa"/>
            <w:tcMar>
              <w:top w:w="60" w:type="dxa"/>
              <w:left w:w="100" w:type="dxa"/>
              <w:bottom w:w="60" w:type="dxa"/>
              <w:right w:w="100" w:type="dxa"/>
            </w:tcMar>
          </w:tcPr>
          <w:p w14:paraId="51AA1B03">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Cumplido</w:t>
            </w:r>
          </w:p>
        </w:tc>
      </w:tr>
      <w:tr w14:paraId="3450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412492A2">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Registro y trazabilidad de accesos/cambios</w:t>
            </w:r>
          </w:p>
        </w:tc>
        <w:tc>
          <w:tcPr>
            <w:tcW w:w="2200" w:type="dxa"/>
            <w:tcMar>
              <w:top w:w="60" w:type="dxa"/>
              <w:left w:w="100" w:type="dxa"/>
              <w:bottom w:w="60" w:type="dxa"/>
              <w:right w:w="100" w:type="dxa"/>
            </w:tcMar>
          </w:tcPr>
          <w:p w14:paraId="331A331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ISO 27001 Anexo A.12.4 (Logging and monitoring)</w:t>
            </w:r>
          </w:p>
        </w:tc>
        <w:tc>
          <w:tcPr>
            <w:tcW w:w="2600" w:type="dxa"/>
            <w:tcMar>
              <w:top w:w="60" w:type="dxa"/>
              <w:left w:w="100" w:type="dxa"/>
              <w:bottom w:w="60" w:type="dxa"/>
              <w:right w:w="100" w:type="dxa"/>
            </w:tcMar>
          </w:tcPr>
          <w:p w14:paraId="0F268B7E">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trg_CasoVigilancia_Auditoria registra usuario, fecha/hora y valores anterior/nuevo en JSON</w:t>
            </w:r>
          </w:p>
        </w:tc>
        <w:tc>
          <w:tcPr>
            <w:tcW w:w="1400" w:type="dxa"/>
            <w:tcMar>
              <w:top w:w="60" w:type="dxa"/>
              <w:left w:w="100" w:type="dxa"/>
              <w:bottom w:w="60" w:type="dxa"/>
              <w:right w:w="100" w:type="dxa"/>
            </w:tcMar>
          </w:tcPr>
          <w:p w14:paraId="54C2129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Cumplido</w:t>
            </w:r>
          </w:p>
        </w:tc>
      </w:tr>
      <w:tr w14:paraId="14B2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CDC998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Control de acceso por mínimo privilegio</w:t>
            </w:r>
          </w:p>
        </w:tc>
        <w:tc>
          <w:tcPr>
            <w:tcW w:w="2200" w:type="dxa"/>
            <w:tcMar>
              <w:top w:w="60" w:type="dxa"/>
              <w:left w:w="100" w:type="dxa"/>
              <w:bottom w:w="60" w:type="dxa"/>
              <w:right w:w="100" w:type="dxa"/>
            </w:tcMar>
          </w:tcPr>
          <w:p w14:paraId="05FABC6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ISO 27001 Anexo A.9.2/A.9.4</w:t>
            </w:r>
          </w:p>
        </w:tc>
        <w:tc>
          <w:tcPr>
            <w:tcW w:w="2600" w:type="dxa"/>
            <w:tcMar>
              <w:top w:w="60" w:type="dxa"/>
              <w:left w:w="100" w:type="dxa"/>
              <w:bottom w:w="60" w:type="dxa"/>
              <w:right w:w="100" w:type="dxa"/>
            </w:tcMar>
          </w:tcPr>
          <w:p w14:paraId="7F1A14D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 roles con permisos no solapados en lo sensible (Sección 1)</w:t>
            </w:r>
          </w:p>
        </w:tc>
        <w:tc>
          <w:tcPr>
            <w:tcW w:w="1400" w:type="dxa"/>
            <w:tcMar>
              <w:top w:w="60" w:type="dxa"/>
              <w:left w:w="100" w:type="dxa"/>
              <w:bottom w:w="60" w:type="dxa"/>
              <w:right w:w="100" w:type="dxa"/>
            </w:tcMar>
          </w:tcPr>
          <w:p w14:paraId="269DF451">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Cumplido</w:t>
            </w:r>
          </w:p>
        </w:tc>
      </w:tr>
      <w:tr w14:paraId="1F3A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1EC2BA5A">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Continuidad y recuperación ante incidentes</w:t>
            </w:r>
          </w:p>
        </w:tc>
        <w:tc>
          <w:tcPr>
            <w:tcW w:w="2200" w:type="dxa"/>
            <w:tcMar>
              <w:top w:w="60" w:type="dxa"/>
              <w:left w:w="100" w:type="dxa"/>
              <w:bottom w:w="60" w:type="dxa"/>
              <w:right w:w="100" w:type="dxa"/>
            </w:tcMar>
          </w:tcPr>
          <w:p w14:paraId="2F73C120">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ISO 27001 Anexo A.12.3 (Backup)</w:t>
            </w:r>
          </w:p>
        </w:tc>
        <w:tc>
          <w:tcPr>
            <w:tcW w:w="2600" w:type="dxa"/>
            <w:tcMar>
              <w:top w:w="60" w:type="dxa"/>
              <w:left w:w="100" w:type="dxa"/>
              <w:bottom w:w="60" w:type="dxa"/>
              <w:right w:w="100" w:type="dxa"/>
            </w:tcMar>
          </w:tcPr>
          <w:p w14:paraId="06C4A578">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Política FULL+DIFFERENTIAL+LOG con restore probado (Sección 2)</w:t>
            </w:r>
          </w:p>
        </w:tc>
        <w:tc>
          <w:tcPr>
            <w:tcW w:w="1400" w:type="dxa"/>
            <w:tcMar>
              <w:top w:w="60" w:type="dxa"/>
              <w:left w:w="100" w:type="dxa"/>
              <w:bottom w:w="60" w:type="dxa"/>
              <w:right w:w="100" w:type="dxa"/>
            </w:tcMar>
          </w:tcPr>
          <w:p w14:paraId="410CB2F4">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Cumplido</w:t>
            </w:r>
          </w:p>
        </w:tc>
      </w:tr>
    </w:tbl>
    <w:p w14:paraId="0FA9C175">
      <w:pPr>
        <w:pStyle w:val="2"/>
        <w:spacing w:before="300" w:after="15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5. Consecuencias de las decisiones de seguridad sobre pacientes y personal de salud</w:t>
      </w:r>
    </w:p>
    <w:p w14:paraId="7E6F5F0C">
      <w:pPr>
        <w:pStyle w:val="20"/>
        <w:numPr>
          <w:ilvl w:val="0"/>
          <w:numId w:val="2"/>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Confidencialidad del paciente: al restringir el acceso de lectura de CasoVigilancia únicamente al rol de analista (y no al auditor ni a cualquier cuenta con acceso al servidor), se reduce el riesgo de que un caso de dengue de una persona identificable (localidad + edad + sexo + semana pueden acotar a un individuo en localidades pequeñas) circule más allá de quien necesita analizarlo para la vigilancia epidemiológica — mitiga el riesgo de estigmatización que la propia Ley 29733 reconoce para datos de salud.</w:t>
      </w:r>
    </w:p>
    <w:p w14:paraId="119E3C62">
      <w:pPr>
        <w:pStyle w:val="20"/>
        <w:numPr>
          <w:ilvl w:val="0"/>
          <w:numId w:val="2"/>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Confianza y disposición a notificar: si el personal de salud de los 312 establecimientos sabe que cada carga/corrección queda auditada (quién, qué y cuándo) en vez de perderse en ediciones manuales no rastreables, aumenta la confiabilidad de la cadena de custodia del dato — lo que sostiene decisiones regionales (p. ej., alertas de brote) sobre información con trazabilidad verificable en vez de reportes que nadie puede auditar si se cuestionan.</w:t>
      </w:r>
    </w:p>
    <w:p w14:paraId="7E7F3A2A">
      <w:pPr>
        <w:pStyle w:val="20"/>
        <w:numPr>
          <w:ilvl w:val="0"/>
          <w:numId w:val="2"/>
        </w:numPr>
        <w:spacing w:after="80"/>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Continuidad del servicio ante incidentes: la política de respaldo con RPO de ~1 hora limita cuánta información de vigilancia se perdería ante una falla (borrado accidental, corrupción, ransomware); para una enfermedad de transmisión vectorial con potencial de brote, perder un día completo de notificaciones (escenario del mínimo FULL+DIFFERENTIAL) podría retrasar la detección de un aumento de casos graves en una provincia.</w:t>
      </w:r>
    </w:p>
    <w:p w14:paraId="631AB834">
      <w:pPr>
        <w:spacing w:after="80"/>
        <w:rPr>
          <w:rFonts w:ascii="Arial" w:hAnsi="Arial" w:cs="Arial"/>
          <w:color w:val="000000" w:themeColor="text1"/>
          <w14:textFill>
            <w14:solidFill>
              <w14:schemeClr w14:val="tx1"/>
            </w14:solidFill>
          </w14:textFill>
        </w:rPr>
      </w:pPr>
    </w:p>
    <w:p w14:paraId="7126552B">
      <w:pPr>
        <w:spacing w:after="80"/>
        <w:rPr>
          <w:rFonts w:ascii="Arial" w:hAnsi="Arial" w:cs="Arial"/>
          <w:color w:val="000000" w:themeColor="text1"/>
          <w14:textFill>
            <w14:solidFill>
              <w14:schemeClr w14:val="tx1"/>
            </w14:solidFill>
          </w14:textFill>
        </w:rPr>
      </w:pPr>
    </w:p>
    <w:p w14:paraId="602499B2">
      <w:pPr>
        <w:spacing w:after="80"/>
        <w:rPr>
          <w:rFonts w:ascii="Arial" w:hAnsi="Arial" w:cs="Arial"/>
          <w:color w:val="000000" w:themeColor="text1"/>
          <w14:textFill>
            <w14:solidFill>
              <w14:schemeClr w14:val="tx1"/>
            </w14:solidFill>
          </w14:textFill>
        </w:rPr>
      </w:pPr>
    </w:p>
    <w:p w14:paraId="00054A8C">
      <w:pPr>
        <w:spacing w:after="80"/>
        <w:rPr>
          <w:rFonts w:ascii="Arial" w:hAnsi="Arial" w:cs="Arial"/>
          <w:color w:val="000000" w:themeColor="text1"/>
          <w14:textFill>
            <w14:solidFill>
              <w14:schemeClr w14:val="tx1"/>
            </w14:solidFill>
          </w14:textFill>
        </w:rPr>
      </w:pPr>
    </w:p>
    <w:p w14:paraId="745DC4C8">
      <w:pPr>
        <w:spacing w:after="80"/>
        <w:rPr>
          <w:rFonts w:ascii="Arial" w:hAnsi="Arial" w:cs="Arial"/>
          <w:color w:val="000000" w:themeColor="text1"/>
          <w14:textFill>
            <w14:solidFill>
              <w14:schemeClr w14:val="tx1"/>
            </w14:solidFill>
          </w14:textFill>
        </w:rPr>
      </w:pPr>
    </w:p>
    <w:p w14:paraId="45784C84">
      <w:pPr>
        <w:spacing w:after="80"/>
        <w:rPr>
          <w:rFonts w:ascii="Arial" w:hAnsi="Arial" w:cs="Arial"/>
          <w:color w:val="000000" w:themeColor="text1" w:themeTint="FF"/>
          <w14:textFill>
            <w14:solidFill>
              <w14:schemeClr w14:val="tx1">
                <w14:lumMod w14:val="100000"/>
                <w14:lumOff w14:val="0"/>
              </w14:schemeClr>
            </w14:solidFill>
          </w14:textFill>
        </w:rPr>
      </w:pPr>
    </w:p>
    <w:p w14:paraId="01B2B104">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cs="Arial"/>
          <w:i/>
          <w:iCs/>
          <w:color w:val="000000" w:themeColor="text1"/>
          <w:sz w:val="22"/>
          <w:szCs w:val="22"/>
          <w14:textFill>
            <w14:solidFill>
              <w14:schemeClr w14:val="tx1"/>
            </w14:solidFill>
          </w14:textFill>
        </w:rPr>
        <w:t xml:space="preserve">Paso 4: </w:t>
      </w:r>
      <w:r>
        <w:rPr>
          <w:rFonts w:ascii="Arial" w:hAnsi="Arial" w:eastAsia="Arial" w:cs="Arial"/>
          <w:color w:val="000000" w:themeColor="text1"/>
          <w:sz w:val="22"/>
          <w:szCs w:val="22"/>
          <w:lang w:val="es"/>
          <w14:textFill>
            <w14:solidFill>
              <w14:schemeClr w14:val="tx1"/>
            </w14:solidFill>
          </w14:textFill>
        </w:rPr>
        <w:t>Exploración del paradigma NoSQL y decisión de integración</w:t>
      </w:r>
    </w:p>
    <w:p w14:paraId="416461D8">
      <w:pPr>
        <w:spacing w:line="276" w:lineRule="auto"/>
        <w:rPr>
          <w:rFonts w:ascii="Arial" w:hAnsi="Arial" w:eastAsia="Arial" w:cs="Arial"/>
          <w:color w:val="000000" w:themeColor="text1"/>
          <w:sz w:val="22"/>
          <w:szCs w:val="22"/>
          <w:lang w:val="es"/>
          <w14:textFill>
            <w14:solidFill>
              <w14:schemeClr w14:val="tx1"/>
            </w14:solidFill>
          </w14:textFill>
        </w:rPr>
      </w:pPr>
    </w:p>
    <w:p w14:paraId="430A789B">
      <w:pPr>
        <w:spacing w:after="240"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Como parte de la exploración del paradigma NoSQL, se ha implementado una base de datos documental utilizando MongoDB. A diferencia del modelo relacional normalizado (3FN) construido en SQL Server, en esta fase se aplicó el principio de desnormalización. La información del dataset de Vigilancia Epidemiológica de Dengue del MINSA ha sido modelada agrupando lógicamente los datos del paciente, su ubicación geográfica y el diagnóstico clínico dentro de un único documento BSON. Este enfoque elimina la necesidad de relacionar múltiples tablas, optimizando la latencia para operaciones de lectura analítica.</w:t>
      </w:r>
    </w:p>
    <w:p w14:paraId="03C1A3AF">
      <w:pPr>
        <w:spacing w:after="240"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A continuación, se documenta la creación de la colección y la ejecución de las operaciones CRUD (Create, Read, Update, Delete) obligatorias:</w:t>
      </w:r>
    </w:p>
    <w:p w14:paraId="36B12E17">
      <w:pPr>
        <w:spacing w:before="240" w:after="40" w:line="276" w:lineRule="auto"/>
        <w:outlineLvl w:val="3"/>
        <w:rPr>
          <w:rFonts w:ascii="Arial" w:hAnsi="Arial" w:eastAsia="Arial" w:cs="Arial"/>
          <w:b/>
          <w:bCs/>
          <w:color w:val="000000" w:themeColor="text1"/>
          <w:sz w:val="22"/>
          <w:szCs w:val="22"/>
          <w:lang w:val="es"/>
          <w14:textFill>
            <w14:solidFill>
              <w14:schemeClr w14:val="tx1"/>
            </w14:solidFill>
          </w14:textFill>
        </w:rPr>
      </w:pPr>
      <w:bookmarkStart w:id="0" w:name="_k4pvp88hijpd" w:colFirst="0" w:colLast="0"/>
      <w:bookmarkEnd w:id="0"/>
      <w:r>
        <w:rPr>
          <w:rFonts w:ascii="Arial" w:hAnsi="Arial" w:eastAsia="Arial" w:cs="Arial"/>
          <w:b/>
          <w:bCs/>
          <w:color w:val="000000" w:themeColor="text1"/>
          <w:sz w:val="22"/>
          <w:szCs w:val="22"/>
          <w:lang w:val="es"/>
          <w14:textFill>
            <w14:solidFill>
              <w14:schemeClr w14:val="tx1"/>
            </w14:solidFill>
          </w14:textFill>
        </w:rPr>
        <w:t>1. Preparación del Entorno y Creación de Colección</w:t>
      </w:r>
    </w:p>
    <w:p w14:paraId="46420711">
      <w:pPr>
        <w:spacing w:before="240" w:after="240"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Para iniciar el entorno, se definió la base de datos de trabajo y se creó la colección principal </w:t>
      </w:r>
      <w:r>
        <w:rPr>
          <w:rFonts w:ascii="Arial" w:hAnsi="Arial" w:eastAsia="Roboto Mono" w:cs="Arial"/>
          <w:color w:val="000000" w:themeColor="text1" w:themeTint="FF"/>
          <w:sz w:val="22"/>
          <w:szCs w:val="22"/>
          <w:lang w:val="es-ES"/>
          <w14:textFill>
            <w14:solidFill>
              <w14:schemeClr w14:val="tx1">
                <w14:lumMod w14:val="100000"/>
                <w14:lumOff w14:val="0"/>
              </w14:schemeClr>
            </w14:solidFill>
          </w14:textFill>
        </w:rPr>
        <w:t>casos_vigilancia_dengue</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 que almacenará los documentos semiestructurados.</w:t>
      </w:r>
    </w:p>
    <w:tbl>
      <w:tblPr>
        <w:tblStyle w:val="9"/>
        <w:tblW w:w="0" w:type="auto"/>
        <w:tblInd w:w="0" w:type="dxa"/>
        <w:tblLayout w:type="fixed"/>
        <w:tblCellMar>
          <w:top w:w="0" w:type="dxa"/>
          <w:left w:w="108" w:type="dxa"/>
          <w:bottom w:w="0" w:type="dxa"/>
          <w:right w:w="108" w:type="dxa"/>
        </w:tblCellMar>
      </w:tblPr>
      <w:tblGrid>
        <w:gridCol w:w="9029"/>
      </w:tblGrid>
      <w:tr w14:paraId="58761306">
        <w:tblPrEx>
          <w:tblCellMar>
            <w:top w:w="0" w:type="dxa"/>
            <w:left w:w="108" w:type="dxa"/>
            <w:bottom w:w="0" w:type="dxa"/>
            <w:right w:w="108" w:type="dxa"/>
          </w:tblCellMar>
        </w:tblPrEx>
        <w:trPr>
          <w:trHeight w:val="757" w:hRule="atLeast"/>
        </w:trPr>
        <w:tc>
          <w:tcPr>
            <w:tcW w:w="9029" w:type="dxa"/>
            <w:shd w:val="clear" w:color="auto" w:fill="FFFFFF"/>
            <w:tcMar>
              <w:top w:w="100" w:type="dxa"/>
              <w:left w:w="100" w:type="dxa"/>
              <w:bottom w:w="100" w:type="dxa"/>
              <w:right w:w="100" w:type="dxa"/>
            </w:tcMar>
          </w:tcPr>
          <w:p w14:paraId="6E15E16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Consolas" w:cs="Arial"/>
                <w:color w:val="000000" w:themeColor="text1"/>
                <w:sz w:val="22"/>
                <w:szCs w:val="22"/>
                <w:highlight w:val="white"/>
                <w:lang w:val="es"/>
                <w14:textFill>
                  <w14:solidFill>
                    <w14:schemeClr w14:val="tx1"/>
                  </w14:solidFill>
                </w14:textFill>
              </w:rPr>
              <w:t>use DIRESA_LaLibertad_Dengue_NoSQL;</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db.createCollection("casos_vigilancia_dengue");</w:t>
            </w:r>
          </w:p>
        </w:tc>
      </w:tr>
    </w:tbl>
    <w:p w14:paraId="44C4B3E8">
      <w:pPr>
        <w:spacing w:before="240" w:after="240"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drawing>
          <wp:anchor distT="114300" distB="114300" distL="114300" distR="114300" simplePos="0" relativeHeight="251660288" behindDoc="0" locked="0" layoutInCell="1" allowOverlap="1">
            <wp:simplePos x="0" y="0"/>
            <wp:positionH relativeFrom="page">
              <wp:posOffset>1774825</wp:posOffset>
            </wp:positionH>
            <wp:positionV relativeFrom="page">
              <wp:posOffset>4875530</wp:posOffset>
            </wp:positionV>
            <wp:extent cx="4010025" cy="1390650"/>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6"/>
                    <a:srcRect/>
                    <a:stretch>
                      <a:fillRect/>
                    </a:stretch>
                  </pic:blipFill>
                  <pic:spPr>
                    <a:xfrm>
                      <a:off x="0" y="0"/>
                      <a:ext cx="4010025" cy="1390650"/>
                    </a:xfrm>
                    <a:prstGeom prst="rect">
                      <a:avLst/>
                    </a:prstGeom>
                  </pic:spPr>
                </pic:pic>
              </a:graphicData>
            </a:graphic>
          </wp:anchor>
        </w:drawing>
      </w:r>
    </w:p>
    <w:p w14:paraId="4936A63E">
      <w:pPr>
        <w:spacing w:after="240" w:line="276" w:lineRule="auto"/>
        <w:rPr>
          <w:rFonts w:ascii="Arial" w:hAnsi="Arial" w:eastAsia="Arial" w:cs="Arial"/>
          <w:color w:val="000000" w:themeColor="text1"/>
          <w:sz w:val="22"/>
          <w:szCs w:val="22"/>
          <w:lang w:val="es"/>
          <w14:textFill>
            <w14:solidFill>
              <w14:schemeClr w14:val="tx1"/>
            </w14:solidFill>
          </w14:textFill>
        </w:rPr>
      </w:pPr>
    </w:p>
    <w:p w14:paraId="509485FE">
      <w:pPr>
        <w:spacing w:line="276" w:lineRule="auto"/>
        <w:rPr>
          <w:rFonts w:ascii="Arial" w:hAnsi="Arial" w:eastAsia="Arial" w:cs="Arial"/>
          <w:color w:val="000000" w:themeColor="text1"/>
          <w:sz w:val="22"/>
          <w:szCs w:val="22"/>
          <w:lang w:val="es"/>
          <w14:textFill>
            <w14:solidFill>
              <w14:schemeClr w14:val="tx1"/>
            </w14:solidFill>
          </w14:textFill>
        </w:rPr>
      </w:pPr>
    </w:p>
    <w:p w14:paraId="6CE54992">
      <w:pPr>
        <w:spacing w:line="276" w:lineRule="auto"/>
        <w:rPr>
          <w:rFonts w:ascii="Arial" w:hAnsi="Arial" w:eastAsia="Arial" w:cs="Arial"/>
          <w:color w:val="000000" w:themeColor="text1"/>
          <w:sz w:val="22"/>
          <w:szCs w:val="22"/>
          <w:lang w:val="es"/>
          <w14:textFill>
            <w14:solidFill>
              <w14:schemeClr w14:val="tx1"/>
            </w14:solidFill>
          </w14:textFill>
        </w:rPr>
      </w:pPr>
    </w:p>
    <w:p w14:paraId="1E48622C">
      <w:pPr>
        <w:spacing w:line="276" w:lineRule="auto"/>
        <w:rPr>
          <w:rFonts w:ascii="Arial" w:hAnsi="Arial" w:eastAsia="Arial" w:cs="Arial"/>
          <w:color w:val="000000" w:themeColor="text1"/>
          <w:sz w:val="22"/>
          <w:szCs w:val="22"/>
          <w:lang w:val="es"/>
          <w14:textFill>
            <w14:solidFill>
              <w14:schemeClr w14:val="tx1"/>
            </w14:solidFill>
          </w14:textFill>
        </w:rPr>
      </w:pPr>
    </w:p>
    <w:p w14:paraId="59EB047B">
      <w:pPr>
        <w:spacing w:line="276" w:lineRule="auto"/>
        <w:rPr>
          <w:rFonts w:ascii="Arial" w:hAnsi="Arial" w:eastAsia="Arial" w:cs="Arial"/>
          <w:color w:val="000000" w:themeColor="text1"/>
          <w:sz w:val="22"/>
          <w:szCs w:val="22"/>
          <w:lang w:val="es"/>
          <w14:textFill>
            <w14:solidFill>
              <w14:schemeClr w14:val="tx1"/>
            </w14:solidFill>
          </w14:textFill>
        </w:rPr>
      </w:pPr>
    </w:p>
    <w:p w14:paraId="2817BC00">
      <w:pPr>
        <w:spacing w:before="240" w:after="40" w:line="276" w:lineRule="auto"/>
        <w:outlineLvl w:val="3"/>
        <w:rPr>
          <w:rFonts w:ascii="Arial" w:hAnsi="Arial" w:eastAsia="Arial" w:cs="Arial"/>
          <w:b/>
          <w:bCs/>
          <w:color w:val="000000" w:themeColor="text1"/>
          <w:sz w:val="22"/>
          <w:szCs w:val="22"/>
          <w:lang w:val="es"/>
          <w14:textFill>
            <w14:solidFill>
              <w14:schemeClr w14:val="tx1"/>
            </w14:solidFill>
          </w14:textFill>
        </w:rPr>
      </w:pPr>
      <w:bookmarkStart w:id="1" w:name="_nrd1eqi8sqf3" w:colFirst="0" w:colLast="0"/>
      <w:bookmarkEnd w:id="1"/>
      <w:r>
        <w:rPr>
          <w:rFonts w:ascii="Arial" w:hAnsi="Arial" w:eastAsia="Arial" w:cs="Arial"/>
          <w:b/>
          <w:bCs/>
          <w:color w:val="000000" w:themeColor="text1"/>
          <w:sz w:val="22"/>
          <w:szCs w:val="22"/>
          <w:lang w:val="es"/>
          <w14:textFill>
            <w14:solidFill>
              <w14:schemeClr w14:val="tx1"/>
            </w14:solidFill>
          </w14:textFill>
        </w:rPr>
        <w:t>2. Operaciones CRUD Documentadas</w:t>
      </w:r>
    </w:p>
    <w:p w14:paraId="31941342">
      <w:pPr>
        <w:spacing w:before="240" w:after="240"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b/>
          <w:bCs/>
          <w:color w:val="000000" w:themeColor="text1" w:themeTint="FF"/>
          <w:sz w:val="22"/>
          <w:szCs w:val="22"/>
          <w:lang w:val="es-ES"/>
          <w14:textFill>
            <w14:solidFill>
              <w14:schemeClr w14:val="tx1">
                <w14:lumMod w14:val="100000"/>
                <w14:lumOff w14:val="0"/>
              </w14:schemeClr>
            </w14:solidFill>
          </w14:textFill>
        </w:rPr>
        <w:t>A. CREATE (Inserción de registros)</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 Se insertaron casos de prueba extraídos del dataset original (provincia de Alto Amazonas), demostrando la capacidad de anidar objetos (</w:t>
      </w:r>
      <w:r>
        <w:rPr>
          <w:rFonts w:ascii="Arial" w:hAnsi="Arial" w:eastAsia="Roboto Mono" w:cs="Arial"/>
          <w:color w:val="000000" w:themeColor="text1" w:themeTint="FF"/>
          <w:sz w:val="22"/>
          <w:szCs w:val="22"/>
          <w:lang w:val="es-ES"/>
          <w14:textFill>
            <w14:solidFill>
              <w14:schemeClr w14:val="tx1">
                <w14:lumMod w14:val="100000"/>
                <w14:lumOff w14:val="0"/>
              </w14:schemeClr>
            </w14:solidFill>
          </w14:textFill>
        </w:rPr>
        <w:t>paciente</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 </w:t>
      </w:r>
      <w:r>
        <w:rPr>
          <w:rFonts w:ascii="Arial" w:hAnsi="Arial" w:eastAsia="Roboto Mono" w:cs="Arial"/>
          <w:color w:val="000000" w:themeColor="text1" w:themeTint="FF"/>
          <w:sz w:val="22"/>
          <w:szCs w:val="22"/>
          <w:lang w:val="es-ES"/>
          <w14:textFill>
            <w14:solidFill>
              <w14:schemeClr w14:val="tx1">
                <w14:lumMod w14:val="100000"/>
                <w14:lumOff w14:val="0"/>
              </w14:schemeClr>
            </w14:solidFill>
          </w14:textFill>
        </w:rPr>
        <w:t>ubicacion</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 </w:t>
      </w:r>
      <w:r>
        <w:rPr>
          <w:rFonts w:ascii="Arial" w:hAnsi="Arial" w:eastAsia="Roboto Mono" w:cs="Arial"/>
          <w:color w:val="000000" w:themeColor="text1" w:themeTint="FF"/>
          <w:sz w:val="22"/>
          <w:szCs w:val="22"/>
          <w:lang w:val="es-ES"/>
          <w14:textFill>
            <w14:solidFill>
              <w14:schemeClr w14:val="tx1">
                <w14:lumMod w14:val="100000"/>
                <w14:lumOff w14:val="0"/>
              </w14:schemeClr>
            </w14:solidFill>
          </w14:textFill>
        </w:rPr>
        <w:t>diagnostico</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dentro del documento principal.</w:t>
      </w:r>
    </w:p>
    <w:tbl>
      <w:tblPr>
        <w:tblStyle w:val="9"/>
        <w:tblW w:w="7560" w:type="dxa"/>
        <w:tblInd w:w="420" w:type="dxa"/>
        <w:tblLayout w:type="fixed"/>
        <w:tblCellMar>
          <w:top w:w="0" w:type="dxa"/>
          <w:left w:w="108" w:type="dxa"/>
          <w:bottom w:w="0" w:type="dxa"/>
          <w:right w:w="108" w:type="dxa"/>
        </w:tblCellMar>
      </w:tblPr>
      <w:tblGrid>
        <w:gridCol w:w="7560"/>
      </w:tblGrid>
      <w:tr w14:paraId="3D4868CC">
        <w:tblPrEx>
          <w:tblCellMar>
            <w:top w:w="0" w:type="dxa"/>
            <w:left w:w="108" w:type="dxa"/>
            <w:bottom w:w="0" w:type="dxa"/>
            <w:right w:w="108" w:type="dxa"/>
          </w:tblCellMar>
        </w:tblPrEx>
        <w:tc>
          <w:tcPr>
            <w:tcW w:w="7560" w:type="dxa"/>
            <w:shd w:val="clear" w:color="auto" w:fill="FFFFFF"/>
            <w:tcMar>
              <w:top w:w="100" w:type="dxa"/>
              <w:left w:w="100" w:type="dxa"/>
              <w:bottom w:w="100" w:type="dxa"/>
              <w:right w:w="100" w:type="dxa"/>
            </w:tcMar>
          </w:tcPr>
          <w:p w14:paraId="18B39ADA">
            <w:pPr>
              <w:widowControl w:val="0"/>
              <w:pBdr>
                <w:top w:val="none" w:color="auto" w:sz="0" w:space="0"/>
                <w:left w:val="none" w:color="auto" w:sz="0" w:space="0"/>
                <w:bottom w:val="none" w:color="auto" w:sz="0" w:space="0"/>
                <w:right w:val="none" w:color="auto" w:sz="0" w:space="0"/>
                <w:between w:val="none" w:color="auto" w:sz="0" w:space="0"/>
              </w:pBdr>
              <w:spacing w:line="276" w:lineRule="auto"/>
              <w:ind w:right="-549"/>
              <w:rPr>
                <w:rFonts w:ascii="Arial" w:hAnsi="Arial" w:eastAsia="Arial" w:cs="Arial"/>
                <w:color w:val="000000" w:themeColor="text1"/>
                <w:sz w:val="22"/>
                <w:szCs w:val="22"/>
                <w:lang w:val="es"/>
                <w14:textFill>
                  <w14:solidFill>
                    <w14:schemeClr w14:val="tx1"/>
                  </w14:solidFill>
                </w14:textFill>
              </w:rPr>
            </w:pPr>
            <w:r>
              <w:rPr>
                <w:rFonts w:ascii="Arial" w:hAnsi="Arial" w:eastAsia="Consolas" w:cs="Arial"/>
                <w:color w:val="000000" w:themeColor="text1"/>
                <w:sz w:val="22"/>
                <w:szCs w:val="22"/>
                <w:highlight w:val="white"/>
                <w:lang w:val="es"/>
                <w14:textFill>
                  <w14:solidFill>
                    <w14:schemeClr w14:val="tx1"/>
                  </w14:solidFill>
                </w14:textFill>
              </w:rPr>
              <w:t>db.casos_vigilancia_dengue.insertMany([</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"paciente": { "edad": 58, "tipo_edad": "A", "sexo": "M"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"ubicacion": { "departamento": "LORETO", "provincia": "ALTO AMAZONAS", "distrito": "YURIMAGUAS", "localidad": "000101", "ubigeo": "160201", "diresa": "16.0"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"diagnostico": { "enfermedad": "DENGUE SIN SIGNOS DE ALARMA", "codigo_cie10": "A97.0"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"periodo": { "ano": 2000, "semana": 1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"metadatos_etl": { "estado_validacion": "VALIDO", "fecha_carga": new Date()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"paciente": { "edad": 21, "tipo_edad": "A", "sexo": "F"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"ubicacion": { "departamento": "LORETO", "provincia": "ALTO AMAZONAS", "distrito": "YURIMAGUAS", "localidad": "BARRIO MORALILLOS", "ubigeo": "160201", "diresa": "16.0"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"diagnostico": { "enfermedad": "DENGUE SIN SIGNOS DE ALARMA", "codigo_cie10": "A97.0"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"periodo": { "ano": 2000, "semana": 1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"metadatos_etl": { "estado_validacion": "PENDIENTE", "fecha_carga": new Date()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w:t>
            </w:r>
          </w:p>
        </w:tc>
      </w:tr>
    </w:tbl>
    <w:p w14:paraId="32E45AC7">
      <w:pPr>
        <w:spacing w:line="276" w:lineRule="auto"/>
        <w:rPr>
          <w:rFonts w:ascii="Arial" w:hAnsi="Arial" w:eastAsia="Arial" w:cs="Arial"/>
          <w:color w:val="000000" w:themeColor="text1"/>
          <w:sz w:val="22"/>
          <w:szCs w:val="22"/>
          <w:lang w:val="es"/>
          <w14:textFill>
            <w14:solidFill>
              <w14:schemeClr w14:val="tx1"/>
            </w14:solidFill>
          </w14:textFill>
        </w:rPr>
      </w:pPr>
    </w:p>
    <w:p w14:paraId="7D7B60C0">
      <w:pPr>
        <w:spacing w:line="276" w:lineRule="auto"/>
        <w:rPr>
          <w:rFonts w:ascii="Arial" w:hAnsi="Arial" w:eastAsia="Arial" w:cs="Arial"/>
          <w:color w:val="000000" w:themeColor="text1"/>
          <w:sz w:val="22"/>
          <w:szCs w:val="22"/>
          <w:lang w:val="es"/>
          <w14:textFill>
            <w14:solidFill>
              <w14:schemeClr w14:val="tx1"/>
            </w14:solidFill>
          </w14:textFill>
        </w:rPr>
      </w:pPr>
    </w:p>
    <w:p w14:paraId="013BAB80">
      <w:pPr>
        <w:spacing w:line="276" w:lineRule="auto"/>
        <w:rPr>
          <w:rFonts w:ascii="Arial" w:hAnsi="Arial" w:eastAsia="Arial" w:cs="Arial"/>
          <w:color w:val="000000" w:themeColor="text1"/>
          <w:sz w:val="22"/>
          <w:szCs w:val="22"/>
          <w:lang w:val="es"/>
          <w14:textFill>
            <w14:solidFill>
              <w14:schemeClr w14:val="tx1"/>
            </w14:solidFill>
          </w14:textFill>
        </w:rPr>
      </w:pPr>
    </w:p>
    <w:p w14:paraId="29CE54A0">
      <w:pPr>
        <w:spacing w:line="276" w:lineRule="auto"/>
        <w:rPr>
          <w:rFonts w:ascii="Arial" w:hAnsi="Arial" w:eastAsia="Arial" w:cs="Arial"/>
          <w:color w:val="000000" w:themeColor="text1"/>
          <w:sz w:val="22"/>
          <w:szCs w:val="22"/>
          <w:lang w:val="es"/>
          <w14:textFill>
            <w14:solidFill>
              <w14:schemeClr w14:val="tx1"/>
            </w14:solidFill>
          </w14:textFill>
        </w:rPr>
      </w:pPr>
    </w:p>
    <w:p w14:paraId="6B913F9C">
      <w:pPr>
        <w:spacing w:line="276" w:lineRule="auto"/>
        <w:rPr>
          <w:rFonts w:ascii="Arial" w:hAnsi="Arial" w:eastAsia="Arial" w:cs="Arial"/>
          <w:color w:val="000000" w:themeColor="text1"/>
          <w:sz w:val="22"/>
          <w:szCs w:val="22"/>
          <w:lang w:val="es"/>
          <w14:textFill>
            <w14:solidFill>
              <w14:schemeClr w14:val="tx1"/>
            </w14:solidFill>
          </w14:textFill>
        </w:rPr>
      </w:pPr>
    </w:p>
    <w:p w14:paraId="3E423A6F">
      <w:pPr>
        <w:spacing w:line="276" w:lineRule="auto"/>
        <w:rPr>
          <w:rFonts w:ascii="Arial" w:hAnsi="Arial" w:eastAsia="Arial" w:cs="Arial"/>
          <w:color w:val="000000" w:themeColor="text1"/>
          <w:sz w:val="22"/>
          <w:szCs w:val="22"/>
          <w:lang w:val="es"/>
          <w14:textFill>
            <w14:solidFill>
              <w14:schemeClr w14:val="tx1"/>
            </w14:solidFill>
          </w14:textFill>
        </w:rPr>
      </w:pPr>
    </w:p>
    <w:p w14:paraId="0DC88A6C">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drawing>
          <wp:anchor distT="114300" distB="114300" distL="114300" distR="114300" simplePos="0" relativeHeight="251661312" behindDoc="0" locked="0" layoutInCell="1" allowOverlap="1">
            <wp:simplePos x="0" y="0"/>
            <wp:positionH relativeFrom="margin">
              <wp:align>center</wp:align>
            </wp:positionH>
            <wp:positionV relativeFrom="page">
              <wp:posOffset>4928870</wp:posOffset>
            </wp:positionV>
            <wp:extent cx="5716905" cy="3005455"/>
            <wp:effectExtent l="0" t="0" r="0" b="4445"/>
            <wp:wrapNone/>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7"/>
                    <a:srcRect/>
                    <a:stretch>
                      <a:fillRect/>
                    </a:stretch>
                  </pic:blipFill>
                  <pic:spPr>
                    <a:xfrm>
                      <a:off x="0" y="0"/>
                      <a:ext cx="5716988" cy="3005483"/>
                    </a:xfrm>
                    <a:prstGeom prst="rect">
                      <a:avLst/>
                    </a:prstGeom>
                  </pic:spPr>
                </pic:pic>
              </a:graphicData>
            </a:graphic>
          </wp:anchor>
        </w:drawing>
      </w:r>
    </w:p>
    <w:p w14:paraId="6172F965">
      <w:pPr>
        <w:spacing w:line="276" w:lineRule="auto"/>
        <w:rPr>
          <w:rFonts w:ascii="Arial" w:hAnsi="Arial" w:eastAsia="Arial" w:cs="Arial"/>
          <w:color w:val="000000" w:themeColor="text1"/>
          <w:sz w:val="22"/>
          <w:szCs w:val="22"/>
          <w:lang w:val="es"/>
          <w14:textFill>
            <w14:solidFill>
              <w14:schemeClr w14:val="tx1"/>
            </w14:solidFill>
          </w14:textFill>
        </w:rPr>
      </w:pPr>
    </w:p>
    <w:p w14:paraId="12D67F52">
      <w:pPr>
        <w:spacing w:line="276" w:lineRule="auto"/>
        <w:rPr>
          <w:rFonts w:ascii="Arial" w:hAnsi="Arial" w:eastAsia="Arial" w:cs="Arial"/>
          <w:color w:val="000000" w:themeColor="text1"/>
          <w:sz w:val="22"/>
          <w:szCs w:val="22"/>
          <w:lang w:val="es"/>
          <w14:textFill>
            <w14:solidFill>
              <w14:schemeClr w14:val="tx1"/>
            </w14:solidFill>
          </w14:textFill>
        </w:rPr>
      </w:pPr>
    </w:p>
    <w:p w14:paraId="49DF2848">
      <w:pPr>
        <w:spacing w:line="276" w:lineRule="auto"/>
        <w:rPr>
          <w:rFonts w:ascii="Arial" w:hAnsi="Arial" w:eastAsia="Arial" w:cs="Arial"/>
          <w:color w:val="000000" w:themeColor="text1"/>
          <w:sz w:val="22"/>
          <w:szCs w:val="22"/>
          <w:lang w:val="es"/>
          <w14:textFill>
            <w14:solidFill>
              <w14:schemeClr w14:val="tx1"/>
            </w14:solidFill>
          </w14:textFill>
        </w:rPr>
      </w:pPr>
    </w:p>
    <w:p w14:paraId="1119348A">
      <w:pPr>
        <w:spacing w:line="276" w:lineRule="auto"/>
        <w:rPr>
          <w:rFonts w:ascii="Arial" w:hAnsi="Arial" w:eastAsia="Arial" w:cs="Arial"/>
          <w:color w:val="000000" w:themeColor="text1"/>
          <w:sz w:val="22"/>
          <w:szCs w:val="22"/>
          <w:lang w:val="es"/>
          <w14:textFill>
            <w14:solidFill>
              <w14:schemeClr w14:val="tx1"/>
            </w14:solidFill>
          </w14:textFill>
        </w:rPr>
      </w:pPr>
    </w:p>
    <w:p w14:paraId="0F015892">
      <w:pPr>
        <w:spacing w:line="276" w:lineRule="auto"/>
        <w:rPr>
          <w:rFonts w:ascii="Arial" w:hAnsi="Arial" w:eastAsia="Arial" w:cs="Arial"/>
          <w:color w:val="000000" w:themeColor="text1"/>
          <w:sz w:val="22"/>
          <w:szCs w:val="22"/>
          <w:lang w:val="es"/>
          <w14:textFill>
            <w14:solidFill>
              <w14:schemeClr w14:val="tx1"/>
            </w14:solidFill>
          </w14:textFill>
        </w:rPr>
      </w:pPr>
    </w:p>
    <w:p w14:paraId="41AF82A0">
      <w:pPr>
        <w:spacing w:line="276" w:lineRule="auto"/>
        <w:rPr>
          <w:rFonts w:ascii="Arial" w:hAnsi="Arial" w:eastAsia="Arial" w:cs="Arial"/>
          <w:color w:val="000000" w:themeColor="text1"/>
          <w:sz w:val="22"/>
          <w:szCs w:val="22"/>
          <w:lang w:val="es"/>
          <w14:textFill>
            <w14:solidFill>
              <w14:schemeClr w14:val="tx1"/>
            </w14:solidFill>
          </w14:textFill>
        </w:rPr>
      </w:pPr>
    </w:p>
    <w:p w14:paraId="053306B3">
      <w:pPr>
        <w:spacing w:line="276" w:lineRule="auto"/>
        <w:rPr>
          <w:rFonts w:ascii="Arial" w:hAnsi="Arial" w:eastAsia="Arial" w:cs="Arial"/>
          <w:color w:val="000000" w:themeColor="text1"/>
          <w:sz w:val="22"/>
          <w:szCs w:val="22"/>
          <w:lang w:val="es"/>
          <w14:textFill>
            <w14:solidFill>
              <w14:schemeClr w14:val="tx1"/>
            </w14:solidFill>
          </w14:textFill>
        </w:rPr>
      </w:pPr>
    </w:p>
    <w:p w14:paraId="1194BAF3">
      <w:pPr>
        <w:spacing w:line="276" w:lineRule="auto"/>
        <w:rPr>
          <w:rFonts w:ascii="Arial" w:hAnsi="Arial" w:eastAsia="Arial" w:cs="Arial"/>
          <w:color w:val="000000" w:themeColor="text1"/>
          <w:sz w:val="22"/>
          <w:szCs w:val="22"/>
          <w:lang w:val="es"/>
          <w14:textFill>
            <w14:solidFill>
              <w14:schemeClr w14:val="tx1"/>
            </w14:solidFill>
          </w14:textFill>
        </w:rPr>
      </w:pPr>
    </w:p>
    <w:p w14:paraId="21FF0621">
      <w:pPr>
        <w:spacing w:line="276" w:lineRule="auto"/>
        <w:rPr>
          <w:rFonts w:ascii="Arial" w:hAnsi="Arial" w:eastAsia="Arial" w:cs="Arial"/>
          <w:color w:val="000000" w:themeColor="text1"/>
          <w:sz w:val="22"/>
          <w:szCs w:val="22"/>
          <w:lang w:val="es"/>
          <w14:textFill>
            <w14:solidFill>
              <w14:schemeClr w14:val="tx1"/>
            </w14:solidFill>
          </w14:textFill>
        </w:rPr>
      </w:pPr>
    </w:p>
    <w:p w14:paraId="412332B2">
      <w:pPr>
        <w:spacing w:line="276" w:lineRule="auto"/>
        <w:rPr>
          <w:rFonts w:ascii="Arial" w:hAnsi="Arial" w:eastAsia="Arial" w:cs="Arial"/>
          <w:color w:val="000000" w:themeColor="text1"/>
          <w:sz w:val="22"/>
          <w:szCs w:val="22"/>
          <w:lang w:val="es"/>
          <w14:textFill>
            <w14:solidFill>
              <w14:schemeClr w14:val="tx1"/>
            </w14:solidFill>
          </w14:textFill>
        </w:rPr>
      </w:pPr>
    </w:p>
    <w:p w14:paraId="47111DD5">
      <w:pPr>
        <w:spacing w:line="276" w:lineRule="auto"/>
        <w:rPr>
          <w:rFonts w:ascii="Arial" w:hAnsi="Arial" w:eastAsia="Arial" w:cs="Arial"/>
          <w:color w:val="000000" w:themeColor="text1"/>
          <w:sz w:val="22"/>
          <w:szCs w:val="22"/>
          <w:lang w:val="es"/>
          <w14:textFill>
            <w14:solidFill>
              <w14:schemeClr w14:val="tx1"/>
            </w14:solidFill>
          </w14:textFill>
        </w:rPr>
      </w:pPr>
    </w:p>
    <w:p w14:paraId="34272CB8">
      <w:pPr>
        <w:spacing w:line="276" w:lineRule="auto"/>
        <w:rPr>
          <w:rFonts w:ascii="Arial" w:hAnsi="Arial" w:eastAsia="Arial" w:cs="Arial"/>
          <w:color w:val="000000" w:themeColor="text1"/>
          <w:sz w:val="22"/>
          <w:szCs w:val="22"/>
          <w:lang w:val="es"/>
          <w14:textFill>
            <w14:solidFill>
              <w14:schemeClr w14:val="tx1"/>
            </w14:solidFill>
          </w14:textFill>
        </w:rPr>
      </w:pPr>
    </w:p>
    <w:p w14:paraId="2B1053C4">
      <w:pPr>
        <w:spacing w:line="276" w:lineRule="auto"/>
        <w:rPr>
          <w:rFonts w:ascii="Arial" w:hAnsi="Arial" w:eastAsia="Arial" w:cs="Arial"/>
          <w:color w:val="000000" w:themeColor="text1"/>
          <w:sz w:val="22"/>
          <w:szCs w:val="22"/>
          <w:lang w:val="es"/>
          <w14:textFill>
            <w14:solidFill>
              <w14:schemeClr w14:val="tx1"/>
            </w14:solidFill>
          </w14:textFill>
        </w:rPr>
      </w:pPr>
    </w:p>
    <w:p w14:paraId="049ABE36">
      <w:pPr>
        <w:spacing w:line="276" w:lineRule="auto"/>
        <w:rPr>
          <w:rFonts w:ascii="Arial" w:hAnsi="Arial" w:eastAsia="Arial" w:cs="Arial"/>
          <w:color w:val="000000" w:themeColor="text1"/>
          <w:sz w:val="22"/>
          <w:szCs w:val="22"/>
          <w:lang w:val="es"/>
          <w14:textFill>
            <w14:solidFill>
              <w14:schemeClr w14:val="tx1"/>
            </w14:solidFill>
          </w14:textFill>
        </w:rPr>
      </w:pPr>
    </w:p>
    <w:p w14:paraId="25855764">
      <w:pPr>
        <w:spacing w:line="276" w:lineRule="auto"/>
        <w:rPr>
          <w:rFonts w:ascii="Arial" w:hAnsi="Arial" w:eastAsia="Arial" w:cs="Arial"/>
          <w:color w:val="000000" w:themeColor="text1"/>
          <w:sz w:val="22"/>
          <w:szCs w:val="22"/>
          <w:lang w:val="es"/>
          <w14:textFill>
            <w14:solidFill>
              <w14:schemeClr w14:val="tx1"/>
            </w14:solidFill>
          </w14:textFill>
        </w:rPr>
      </w:pPr>
    </w:p>
    <w:p w14:paraId="65CF1111">
      <w:pPr>
        <w:spacing w:line="276" w:lineRule="auto"/>
        <w:rPr>
          <w:rFonts w:ascii="Arial" w:hAnsi="Arial" w:eastAsia="Arial" w:cs="Arial"/>
          <w:color w:val="000000" w:themeColor="text1"/>
          <w:sz w:val="22"/>
          <w:szCs w:val="22"/>
          <w:lang w:val="es"/>
          <w14:textFill>
            <w14:solidFill>
              <w14:schemeClr w14:val="tx1"/>
            </w14:solidFill>
          </w14:textFill>
        </w:rPr>
      </w:pPr>
    </w:p>
    <w:p w14:paraId="3A8E2839">
      <w:pPr>
        <w:spacing w:line="276" w:lineRule="auto"/>
        <w:rPr>
          <w:rFonts w:ascii="Arial" w:hAnsi="Arial" w:eastAsia="Arial" w:cs="Arial"/>
          <w:color w:val="000000" w:themeColor="text1"/>
          <w:sz w:val="22"/>
          <w:szCs w:val="22"/>
          <w:lang w:val="es"/>
          <w14:textFill>
            <w14:solidFill>
              <w14:schemeClr w14:val="tx1"/>
            </w14:solidFill>
          </w14:textFill>
        </w:rPr>
      </w:pPr>
    </w:p>
    <w:p w14:paraId="64F2BC5F">
      <w:pPr>
        <w:spacing w:line="276" w:lineRule="auto"/>
        <w:rPr>
          <w:rFonts w:ascii="Arial" w:hAnsi="Arial" w:eastAsia="Arial" w:cs="Arial"/>
          <w:color w:val="000000" w:themeColor="text1"/>
          <w:sz w:val="22"/>
          <w:szCs w:val="22"/>
          <w:lang w:val="es"/>
          <w14:textFill>
            <w14:solidFill>
              <w14:schemeClr w14:val="tx1"/>
            </w14:solidFill>
          </w14:textFill>
        </w:rPr>
      </w:pPr>
    </w:p>
    <w:p w14:paraId="4F9AE260">
      <w:pPr>
        <w:spacing w:line="276" w:lineRule="auto"/>
        <w:rPr>
          <w:rFonts w:ascii="Arial" w:hAnsi="Arial" w:eastAsia="Arial" w:cs="Arial"/>
          <w:color w:val="000000" w:themeColor="text1"/>
          <w:sz w:val="22"/>
          <w:szCs w:val="22"/>
          <w:lang w:val="es"/>
          <w14:textFill>
            <w14:solidFill>
              <w14:schemeClr w14:val="tx1"/>
            </w14:solidFill>
          </w14:textFill>
        </w:rPr>
      </w:pPr>
    </w:p>
    <w:p w14:paraId="03EB542C">
      <w:pPr>
        <w:spacing w:line="276" w:lineRule="auto"/>
        <w:rPr>
          <w:rFonts w:ascii="Arial" w:hAnsi="Arial" w:eastAsia="Arial" w:cs="Arial"/>
          <w:color w:val="000000" w:themeColor="text1"/>
          <w:sz w:val="22"/>
          <w:szCs w:val="22"/>
          <w:lang w:val="es"/>
          <w14:textFill>
            <w14:solidFill>
              <w14:schemeClr w14:val="tx1"/>
            </w14:solidFill>
          </w14:textFill>
        </w:rPr>
      </w:pPr>
    </w:p>
    <w:p w14:paraId="7608C08C">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b/>
          <w:bCs/>
          <w:color w:val="000000" w:themeColor="text1"/>
          <w:sz w:val="22"/>
          <w:szCs w:val="22"/>
          <w:lang w:val="es"/>
          <w14:textFill>
            <w14:solidFill>
              <w14:schemeClr w14:val="tx1"/>
            </w14:solidFill>
          </w14:textFill>
        </w:rPr>
        <w:t>B. READ (Lectura y consulta de datos)</w:t>
      </w:r>
      <w:r>
        <w:rPr>
          <w:rFonts w:ascii="Arial" w:hAnsi="Arial" w:eastAsia="Arial" w:cs="Arial"/>
          <w:color w:val="000000" w:themeColor="text1"/>
          <w:sz w:val="22"/>
          <w:szCs w:val="22"/>
          <w:lang w:val="es"/>
          <w14:textFill>
            <w14:solidFill>
              <w14:schemeClr w14:val="tx1"/>
            </w14:solidFill>
          </w14:textFill>
        </w:rPr>
        <w:t xml:space="preserve"> Se ejecutó una consulta para recuperar todos los casos registrados en la provincia de Alto Amazonas durante el año 2000. Se utilizó la notación de punto (</w:t>
      </w:r>
      <w:r>
        <w:rPr>
          <w:rFonts w:ascii="Arial" w:hAnsi="Arial" w:eastAsia="Roboto Mono" w:cs="Arial"/>
          <w:color w:val="000000" w:themeColor="text1"/>
          <w:sz w:val="22"/>
          <w:szCs w:val="22"/>
          <w:lang w:val="es"/>
          <w14:textFill>
            <w14:solidFill>
              <w14:schemeClr w14:val="tx1"/>
            </w14:solidFill>
          </w14:textFill>
        </w:rPr>
        <w:t>.</w:t>
      </w:r>
      <w:r>
        <w:rPr>
          <w:rFonts w:ascii="Arial" w:hAnsi="Arial" w:eastAsia="Arial" w:cs="Arial"/>
          <w:color w:val="000000" w:themeColor="text1"/>
          <w:sz w:val="22"/>
          <w:szCs w:val="22"/>
          <w:lang w:val="es"/>
          <w14:textFill>
            <w14:solidFill>
              <w14:schemeClr w14:val="tx1"/>
            </w14:solidFill>
          </w14:textFill>
        </w:rPr>
        <w:t xml:space="preserve">) típica de MongoDB para acceder a los atributos anidados. </w:t>
      </w:r>
    </w:p>
    <w:p w14:paraId="48CFAD46">
      <w:pPr>
        <w:spacing w:line="276" w:lineRule="auto"/>
        <w:rPr>
          <w:rFonts w:ascii="Arial" w:hAnsi="Arial" w:eastAsia="Arial" w:cs="Arial"/>
          <w:color w:val="000000" w:themeColor="text1"/>
          <w:sz w:val="22"/>
          <w:szCs w:val="22"/>
          <w:lang w:val="es"/>
          <w14:textFill>
            <w14:solidFill>
              <w14:schemeClr w14:val="tx1"/>
            </w14:solidFill>
          </w14:textFill>
        </w:rPr>
      </w:pPr>
    </w:p>
    <w:tbl>
      <w:tblPr>
        <w:tblStyle w:val="9"/>
        <w:tblW w:w="0" w:type="auto"/>
        <w:tblInd w:w="0" w:type="dxa"/>
        <w:tblLayout w:type="fixed"/>
        <w:tblCellMar>
          <w:top w:w="0" w:type="dxa"/>
          <w:left w:w="108" w:type="dxa"/>
          <w:bottom w:w="0" w:type="dxa"/>
          <w:right w:w="108" w:type="dxa"/>
        </w:tblCellMar>
      </w:tblPr>
      <w:tblGrid>
        <w:gridCol w:w="9029"/>
      </w:tblGrid>
      <w:tr w14:paraId="7C60006C">
        <w:tblPrEx>
          <w:tblCellMar>
            <w:top w:w="0" w:type="dxa"/>
            <w:left w:w="108" w:type="dxa"/>
            <w:bottom w:w="0" w:type="dxa"/>
            <w:right w:w="108" w:type="dxa"/>
          </w:tblCellMar>
        </w:tblPrEx>
        <w:tc>
          <w:tcPr>
            <w:tcW w:w="9029" w:type="dxa"/>
            <w:shd w:val="clear" w:color="auto" w:fill="FFFFFF"/>
            <w:tcMar>
              <w:top w:w="100" w:type="dxa"/>
              <w:left w:w="100" w:type="dxa"/>
              <w:bottom w:w="100" w:type="dxa"/>
              <w:right w:w="100" w:type="dxa"/>
            </w:tcMar>
          </w:tcPr>
          <w:p w14:paraId="62373E5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Consolas" w:cs="Arial"/>
                <w:color w:val="000000" w:themeColor="text1"/>
                <w:sz w:val="22"/>
                <w:szCs w:val="22"/>
                <w:highlight w:val="white"/>
                <w:lang w:val="es"/>
                <w14:textFill>
                  <w14:solidFill>
                    <w14:schemeClr w14:val="tx1"/>
                  </w14:solidFill>
                </w14:textFill>
              </w:rPr>
              <w:t>db.casos_vigilancia_dengue.find({</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"ubicacion.provincia": "ALTO AMAZONAS",</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"periodo.ano": 2000</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w:t>
            </w:r>
          </w:p>
        </w:tc>
      </w:tr>
    </w:tbl>
    <w:p w14:paraId="050F8347">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drawing>
          <wp:anchor distT="114300" distB="114300" distL="114300" distR="114300" simplePos="0" relativeHeight="251662336" behindDoc="0" locked="0" layoutInCell="1" allowOverlap="1">
            <wp:simplePos x="0" y="0"/>
            <wp:positionH relativeFrom="page">
              <wp:posOffset>3971925</wp:posOffset>
            </wp:positionH>
            <wp:positionV relativeFrom="page">
              <wp:posOffset>3059430</wp:posOffset>
            </wp:positionV>
            <wp:extent cx="3186430" cy="45720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3186260" cy="4572000"/>
                    </a:xfrm>
                    <a:prstGeom prst="rect">
                      <a:avLst/>
                    </a:prstGeom>
                  </pic:spPr>
                </pic:pic>
              </a:graphicData>
            </a:graphic>
          </wp:anchor>
        </w:drawing>
      </w:r>
      <w:r>
        <w:rPr>
          <w:rFonts w:ascii="Arial" w:hAnsi="Arial" w:eastAsia="Arial" w:cs="Arial"/>
          <w:color w:val="000000" w:themeColor="text1"/>
          <w:sz w:val="22"/>
          <w:szCs w:val="22"/>
          <w:lang w:val="es"/>
          <w14:textFill>
            <w14:solidFill>
              <w14:schemeClr w14:val="tx1"/>
            </w14:solidFill>
          </w14:textFill>
        </w:rPr>
        <w:drawing>
          <wp:anchor distT="114300" distB="114300" distL="114300" distR="114300" simplePos="0" relativeHeight="251663360" behindDoc="0" locked="0" layoutInCell="1" allowOverlap="1">
            <wp:simplePos x="0" y="0"/>
            <wp:positionH relativeFrom="page">
              <wp:posOffset>533400</wp:posOffset>
            </wp:positionH>
            <wp:positionV relativeFrom="page">
              <wp:posOffset>3059430</wp:posOffset>
            </wp:positionV>
            <wp:extent cx="3215005" cy="4570095"/>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9"/>
                    <a:srcRect/>
                    <a:stretch>
                      <a:fillRect/>
                    </a:stretch>
                  </pic:blipFill>
                  <pic:spPr>
                    <a:xfrm>
                      <a:off x="0" y="0"/>
                      <a:ext cx="3214688" cy="4570402"/>
                    </a:xfrm>
                    <a:prstGeom prst="rect">
                      <a:avLst/>
                    </a:prstGeom>
                  </pic:spPr>
                </pic:pic>
              </a:graphicData>
            </a:graphic>
          </wp:anchor>
        </w:drawing>
      </w:r>
    </w:p>
    <w:p w14:paraId="3F2BDD2F">
      <w:pPr>
        <w:spacing w:line="276" w:lineRule="auto"/>
        <w:rPr>
          <w:rFonts w:ascii="Arial" w:hAnsi="Arial" w:eastAsia="Arial" w:cs="Arial"/>
          <w:color w:val="000000" w:themeColor="text1"/>
          <w:sz w:val="22"/>
          <w:szCs w:val="22"/>
          <w:lang w:val="es"/>
          <w14:textFill>
            <w14:solidFill>
              <w14:schemeClr w14:val="tx1"/>
            </w14:solidFill>
          </w14:textFill>
        </w:rPr>
      </w:pPr>
    </w:p>
    <w:p w14:paraId="10D13C3A">
      <w:pPr>
        <w:spacing w:line="276" w:lineRule="auto"/>
        <w:rPr>
          <w:rFonts w:ascii="Arial" w:hAnsi="Arial" w:eastAsia="Arial" w:cs="Arial"/>
          <w:color w:val="000000" w:themeColor="text1"/>
          <w:sz w:val="22"/>
          <w:szCs w:val="22"/>
          <w:lang w:val="es"/>
          <w14:textFill>
            <w14:solidFill>
              <w14:schemeClr w14:val="tx1"/>
            </w14:solidFill>
          </w14:textFill>
        </w:rPr>
      </w:pPr>
    </w:p>
    <w:p w14:paraId="460042FA">
      <w:pPr>
        <w:spacing w:line="276" w:lineRule="auto"/>
        <w:rPr>
          <w:rFonts w:ascii="Arial" w:hAnsi="Arial" w:eastAsia="Arial" w:cs="Arial"/>
          <w:color w:val="000000" w:themeColor="text1"/>
          <w:sz w:val="22"/>
          <w:szCs w:val="22"/>
          <w:lang w:val="es"/>
          <w14:textFill>
            <w14:solidFill>
              <w14:schemeClr w14:val="tx1"/>
            </w14:solidFill>
          </w14:textFill>
        </w:rPr>
      </w:pPr>
    </w:p>
    <w:p w14:paraId="13165CB8">
      <w:pPr>
        <w:spacing w:line="276" w:lineRule="auto"/>
        <w:rPr>
          <w:rFonts w:ascii="Arial" w:hAnsi="Arial" w:eastAsia="Arial" w:cs="Arial"/>
          <w:color w:val="000000" w:themeColor="text1"/>
          <w:sz w:val="22"/>
          <w:szCs w:val="22"/>
          <w:lang w:val="es"/>
          <w14:textFill>
            <w14:solidFill>
              <w14:schemeClr w14:val="tx1"/>
            </w14:solidFill>
          </w14:textFill>
        </w:rPr>
      </w:pPr>
    </w:p>
    <w:p w14:paraId="5BEFC7E6">
      <w:pPr>
        <w:spacing w:line="276" w:lineRule="auto"/>
        <w:rPr>
          <w:rFonts w:ascii="Arial" w:hAnsi="Arial" w:eastAsia="Arial" w:cs="Arial"/>
          <w:color w:val="000000" w:themeColor="text1"/>
          <w:sz w:val="22"/>
          <w:szCs w:val="22"/>
          <w:lang w:val="es"/>
          <w14:textFill>
            <w14:solidFill>
              <w14:schemeClr w14:val="tx1"/>
            </w14:solidFill>
          </w14:textFill>
        </w:rPr>
      </w:pPr>
    </w:p>
    <w:p w14:paraId="18D4A038">
      <w:pPr>
        <w:spacing w:line="276" w:lineRule="auto"/>
        <w:rPr>
          <w:rFonts w:ascii="Arial" w:hAnsi="Arial" w:eastAsia="Arial" w:cs="Arial"/>
          <w:color w:val="000000" w:themeColor="text1"/>
          <w:sz w:val="22"/>
          <w:szCs w:val="22"/>
          <w:lang w:val="es"/>
          <w14:textFill>
            <w14:solidFill>
              <w14:schemeClr w14:val="tx1"/>
            </w14:solidFill>
          </w14:textFill>
        </w:rPr>
      </w:pPr>
    </w:p>
    <w:p w14:paraId="301339C5">
      <w:pPr>
        <w:spacing w:line="276" w:lineRule="auto"/>
        <w:rPr>
          <w:rFonts w:ascii="Arial" w:hAnsi="Arial" w:eastAsia="Arial" w:cs="Arial"/>
          <w:color w:val="000000" w:themeColor="text1"/>
          <w:sz w:val="22"/>
          <w:szCs w:val="22"/>
          <w:lang w:val="es"/>
          <w14:textFill>
            <w14:solidFill>
              <w14:schemeClr w14:val="tx1"/>
            </w14:solidFill>
          </w14:textFill>
        </w:rPr>
      </w:pPr>
    </w:p>
    <w:p w14:paraId="6C9C0199">
      <w:pPr>
        <w:spacing w:line="276" w:lineRule="auto"/>
        <w:rPr>
          <w:rFonts w:ascii="Arial" w:hAnsi="Arial" w:eastAsia="Arial" w:cs="Arial"/>
          <w:color w:val="000000" w:themeColor="text1"/>
          <w:sz w:val="22"/>
          <w:szCs w:val="22"/>
          <w:lang w:val="es"/>
          <w14:textFill>
            <w14:solidFill>
              <w14:schemeClr w14:val="tx1"/>
            </w14:solidFill>
          </w14:textFill>
        </w:rPr>
      </w:pPr>
    </w:p>
    <w:p w14:paraId="37F62BEA">
      <w:pPr>
        <w:spacing w:line="276" w:lineRule="auto"/>
        <w:rPr>
          <w:rFonts w:ascii="Arial" w:hAnsi="Arial" w:eastAsia="Arial" w:cs="Arial"/>
          <w:color w:val="000000" w:themeColor="text1"/>
          <w:sz w:val="22"/>
          <w:szCs w:val="22"/>
          <w:lang w:val="es"/>
          <w14:textFill>
            <w14:solidFill>
              <w14:schemeClr w14:val="tx1"/>
            </w14:solidFill>
          </w14:textFill>
        </w:rPr>
      </w:pPr>
    </w:p>
    <w:p w14:paraId="79FF880C">
      <w:pPr>
        <w:spacing w:line="276" w:lineRule="auto"/>
        <w:rPr>
          <w:rFonts w:ascii="Arial" w:hAnsi="Arial" w:eastAsia="Arial" w:cs="Arial"/>
          <w:color w:val="000000" w:themeColor="text1"/>
          <w:sz w:val="22"/>
          <w:szCs w:val="22"/>
          <w:lang w:val="es"/>
          <w14:textFill>
            <w14:solidFill>
              <w14:schemeClr w14:val="tx1"/>
            </w14:solidFill>
          </w14:textFill>
        </w:rPr>
      </w:pPr>
    </w:p>
    <w:p w14:paraId="5B131E9B">
      <w:pPr>
        <w:spacing w:line="276" w:lineRule="auto"/>
        <w:rPr>
          <w:rFonts w:ascii="Arial" w:hAnsi="Arial" w:eastAsia="Arial" w:cs="Arial"/>
          <w:color w:val="000000" w:themeColor="text1"/>
          <w:sz w:val="22"/>
          <w:szCs w:val="22"/>
          <w:lang w:val="es"/>
          <w14:textFill>
            <w14:solidFill>
              <w14:schemeClr w14:val="tx1"/>
            </w14:solidFill>
          </w14:textFill>
        </w:rPr>
      </w:pPr>
    </w:p>
    <w:p w14:paraId="078A1008">
      <w:pPr>
        <w:spacing w:line="276" w:lineRule="auto"/>
        <w:rPr>
          <w:rFonts w:ascii="Arial" w:hAnsi="Arial" w:eastAsia="Arial" w:cs="Arial"/>
          <w:color w:val="000000" w:themeColor="text1"/>
          <w:sz w:val="22"/>
          <w:szCs w:val="22"/>
          <w:lang w:val="es"/>
          <w14:textFill>
            <w14:solidFill>
              <w14:schemeClr w14:val="tx1"/>
            </w14:solidFill>
          </w14:textFill>
        </w:rPr>
      </w:pPr>
    </w:p>
    <w:p w14:paraId="5695AFB6">
      <w:pPr>
        <w:spacing w:line="276" w:lineRule="auto"/>
        <w:rPr>
          <w:rFonts w:ascii="Arial" w:hAnsi="Arial" w:eastAsia="Arial" w:cs="Arial"/>
          <w:color w:val="000000" w:themeColor="text1"/>
          <w:sz w:val="22"/>
          <w:szCs w:val="22"/>
          <w:lang w:val="es"/>
          <w14:textFill>
            <w14:solidFill>
              <w14:schemeClr w14:val="tx1"/>
            </w14:solidFill>
          </w14:textFill>
        </w:rPr>
      </w:pPr>
    </w:p>
    <w:p w14:paraId="4782CAC9">
      <w:pPr>
        <w:spacing w:line="276" w:lineRule="auto"/>
        <w:rPr>
          <w:rFonts w:ascii="Arial" w:hAnsi="Arial" w:eastAsia="Arial" w:cs="Arial"/>
          <w:color w:val="000000" w:themeColor="text1"/>
          <w:sz w:val="22"/>
          <w:szCs w:val="22"/>
          <w:lang w:val="es"/>
          <w14:textFill>
            <w14:solidFill>
              <w14:schemeClr w14:val="tx1"/>
            </w14:solidFill>
          </w14:textFill>
        </w:rPr>
      </w:pPr>
    </w:p>
    <w:p w14:paraId="7FAA498C">
      <w:pPr>
        <w:spacing w:line="276" w:lineRule="auto"/>
        <w:rPr>
          <w:rFonts w:ascii="Arial" w:hAnsi="Arial" w:eastAsia="Arial" w:cs="Arial"/>
          <w:color w:val="000000" w:themeColor="text1"/>
          <w:sz w:val="22"/>
          <w:szCs w:val="22"/>
          <w:lang w:val="es"/>
          <w14:textFill>
            <w14:solidFill>
              <w14:schemeClr w14:val="tx1"/>
            </w14:solidFill>
          </w14:textFill>
        </w:rPr>
      </w:pPr>
    </w:p>
    <w:p w14:paraId="42D47978">
      <w:pPr>
        <w:spacing w:line="276" w:lineRule="auto"/>
        <w:rPr>
          <w:rFonts w:ascii="Arial" w:hAnsi="Arial" w:eastAsia="Arial" w:cs="Arial"/>
          <w:color w:val="000000" w:themeColor="text1"/>
          <w:sz w:val="22"/>
          <w:szCs w:val="22"/>
          <w:lang w:val="es"/>
          <w14:textFill>
            <w14:solidFill>
              <w14:schemeClr w14:val="tx1"/>
            </w14:solidFill>
          </w14:textFill>
        </w:rPr>
      </w:pPr>
    </w:p>
    <w:p w14:paraId="6C44C2F0">
      <w:pPr>
        <w:spacing w:line="276" w:lineRule="auto"/>
        <w:rPr>
          <w:rFonts w:ascii="Arial" w:hAnsi="Arial" w:eastAsia="Arial" w:cs="Arial"/>
          <w:color w:val="000000" w:themeColor="text1"/>
          <w:sz w:val="22"/>
          <w:szCs w:val="22"/>
          <w:lang w:val="es"/>
          <w14:textFill>
            <w14:solidFill>
              <w14:schemeClr w14:val="tx1"/>
            </w14:solidFill>
          </w14:textFill>
        </w:rPr>
      </w:pPr>
    </w:p>
    <w:p w14:paraId="24F762EE">
      <w:pPr>
        <w:spacing w:line="276" w:lineRule="auto"/>
        <w:rPr>
          <w:rFonts w:ascii="Arial" w:hAnsi="Arial" w:eastAsia="Arial" w:cs="Arial"/>
          <w:color w:val="000000" w:themeColor="text1"/>
          <w:sz w:val="22"/>
          <w:szCs w:val="22"/>
          <w:lang w:val="es"/>
          <w14:textFill>
            <w14:solidFill>
              <w14:schemeClr w14:val="tx1"/>
            </w14:solidFill>
          </w14:textFill>
        </w:rPr>
      </w:pPr>
    </w:p>
    <w:p w14:paraId="419B141C">
      <w:pPr>
        <w:spacing w:line="276" w:lineRule="auto"/>
        <w:rPr>
          <w:rFonts w:ascii="Arial" w:hAnsi="Arial" w:eastAsia="Arial" w:cs="Arial"/>
          <w:color w:val="000000" w:themeColor="text1"/>
          <w:sz w:val="22"/>
          <w:szCs w:val="22"/>
          <w:lang w:val="es"/>
          <w14:textFill>
            <w14:solidFill>
              <w14:schemeClr w14:val="tx1"/>
            </w14:solidFill>
          </w14:textFill>
        </w:rPr>
      </w:pPr>
    </w:p>
    <w:p w14:paraId="755F533B">
      <w:pPr>
        <w:spacing w:line="276" w:lineRule="auto"/>
        <w:rPr>
          <w:rFonts w:ascii="Arial" w:hAnsi="Arial" w:eastAsia="Arial" w:cs="Arial"/>
          <w:color w:val="000000" w:themeColor="text1"/>
          <w:sz w:val="22"/>
          <w:szCs w:val="22"/>
          <w:lang w:val="es"/>
          <w14:textFill>
            <w14:solidFill>
              <w14:schemeClr w14:val="tx1"/>
            </w14:solidFill>
          </w14:textFill>
        </w:rPr>
      </w:pPr>
    </w:p>
    <w:p w14:paraId="6508EF33">
      <w:pPr>
        <w:spacing w:line="276" w:lineRule="auto"/>
        <w:rPr>
          <w:rFonts w:ascii="Arial" w:hAnsi="Arial" w:eastAsia="Arial" w:cs="Arial"/>
          <w:color w:val="000000" w:themeColor="text1"/>
          <w:sz w:val="22"/>
          <w:szCs w:val="22"/>
          <w:lang w:val="es"/>
          <w14:textFill>
            <w14:solidFill>
              <w14:schemeClr w14:val="tx1"/>
            </w14:solidFill>
          </w14:textFill>
        </w:rPr>
      </w:pPr>
    </w:p>
    <w:p w14:paraId="22CD5F9B">
      <w:pPr>
        <w:spacing w:line="276" w:lineRule="auto"/>
        <w:rPr>
          <w:rFonts w:ascii="Arial" w:hAnsi="Arial" w:eastAsia="Arial" w:cs="Arial"/>
          <w:color w:val="000000" w:themeColor="text1"/>
          <w:sz w:val="22"/>
          <w:szCs w:val="22"/>
          <w:lang w:val="es"/>
          <w14:textFill>
            <w14:solidFill>
              <w14:schemeClr w14:val="tx1"/>
            </w14:solidFill>
          </w14:textFill>
        </w:rPr>
      </w:pPr>
    </w:p>
    <w:p w14:paraId="3BD97C40">
      <w:pPr>
        <w:spacing w:line="276" w:lineRule="auto"/>
        <w:rPr>
          <w:rFonts w:ascii="Arial" w:hAnsi="Arial" w:eastAsia="Arial" w:cs="Arial"/>
          <w:color w:val="000000" w:themeColor="text1"/>
          <w:sz w:val="22"/>
          <w:szCs w:val="22"/>
          <w:lang w:val="es"/>
          <w14:textFill>
            <w14:solidFill>
              <w14:schemeClr w14:val="tx1"/>
            </w14:solidFill>
          </w14:textFill>
        </w:rPr>
      </w:pPr>
    </w:p>
    <w:p w14:paraId="21806CE8">
      <w:pPr>
        <w:spacing w:line="276" w:lineRule="auto"/>
        <w:rPr>
          <w:rFonts w:ascii="Arial" w:hAnsi="Arial" w:eastAsia="Arial" w:cs="Arial"/>
          <w:color w:val="000000" w:themeColor="text1"/>
          <w:sz w:val="22"/>
          <w:szCs w:val="22"/>
          <w:lang w:val="es"/>
          <w14:textFill>
            <w14:solidFill>
              <w14:schemeClr w14:val="tx1"/>
            </w14:solidFill>
          </w14:textFill>
        </w:rPr>
      </w:pPr>
    </w:p>
    <w:p w14:paraId="56DEC8F6">
      <w:pPr>
        <w:spacing w:line="276" w:lineRule="auto"/>
        <w:rPr>
          <w:rFonts w:ascii="Arial" w:hAnsi="Arial" w:eastAsia="Arial" w:cs="Arial"/>
          <w:color w:val="000000" w:themeColor="text1"/>
          <w:sz w:val="22"/>
          <w:szCs w:val="22"/>
          <w:lang w:val="es"/>
          <w14:textFill>
            <w14:solidFill>
              <w14:schemeClr w14:val="tx1"/>
            </w14:solidFill>
          </w14:textFill>
        </w:rPr>
      </w:pPr>
    </w:p>
    <w:p w14:paraId="3BD0668D">
      <w:pPr>
        <w:spacing w:line="276" w:lineRule="auto"/>
        <w:rPr>
          <w:rFonts w:ascii="Arial" w:hAnsi="Arial" w:eastAsia="Arial" w:cs="Arial"/>
          <w:color w:val="000000" w:themeColor="text1"/>
          <w:sz w:val="22"/>
          <w:szCs w:val="22"/>
          <w:lang w:val="es"/>
          <w14:textFill>
            <w14:solidFill>
              <w14:schemeClr w14:val="tx1"/>
            </w14:solidFill>
          </w14:textFill>
        </w:rPr>
      </w:pPr>
    </w:p>
    <w:p w14:paraId="44FAF940">
      <w:pPr>
        <w:spacing w:line="276" w:lineRule="auto"/>
        <w:rPr>
          <w:rFonts w:ascii="Arial" w:hAnsi="Arial" w:eastAsia="Arial" w:cs="Arial"/>
          <w:color w:val="000000" w:themeColor="text1"/>
          <w:sz w:val="22"/>
          <w:szCs w:val="22"/>
          <w:lang w:val="es"/>
          <w14:textFill>
            <w14:solidFill>
              <w14:schemeClr w14:val="tx1"/>
            </w14:solidFill>
          </w14:textFill>
        </w:rPr>
      </w:pPr>
    </w:p>
    <w:p w14:paraId="6B38F7C5">
      <w:pPr>
        <w:spacing w:line="276" w:lineRule="auto"/>
        <w:rPr>
          <w:rFonts w:ascii="Arial" w:hAnsi="Arial" w:eastAsia="Arial" w:cs="Arial"/>
          <w:color w:val="000000" w:themeColor="text1"/>
          <w:sz w:val="22"/>
          <w:szCs w:val="22"/>
          <w:lang w:val="es"/>
          <w14:textFill>
            <w14:solidFill>
              <w14:schemeClr w14:val="tx1"/>
            </w14:solidFill>
          </w14:textFill>
        </w:rPr>
      </w:pPr>
    </w:p>
    <w:p w14:paraId="03863383">
      <w:pPr>
        <w:spacing w:line="276" w:lineRule="auto"/>
        <w:rPr>
          <w:rFonts w:ascii="Arial" w:hAnsi="Arial" w:eastAsia="Arial" w:cs="Arial"/>
          <w:color w:val="000000" w:themeColor="text1"/>
          <w:sz w:val="22"/>
          <w:szCs w:val="22"/>
          <w:lang w:val="es"/>
          <w14:textFill>
            <w14:solidFill>
              <w14:schemeClr w14:val="tx1"/>
            </w14:solidFill>
          </w14:textFill>
        </w:rPr>
      </w:pPr>
    </w:p>
    <w:p w14:paraId="4E72CE47">
      <w:pPr>
        <w:spacing w:line="276" w:lineRule="auto"/>
        <w:rPr>
          <w:rFonts w:ascii="Arial" w:hAnsi="Arial" w:eastAsia="Arial" w:cs="Arial"/>
          <w:color w:val="000000" w:themeColor="text1"/>
          <w:sz w:val="22"/>
          <w:szCs w:val="22"/>
          <w:lang w:val="es"/>
          <w14:textFill>
            <w14:solidFill>
              <w14:schemeClr w14:val="tx1"/>
            </w14:solidFill>
          </w14:textFill>
        </w:rPr>
      </w:pPr>
    </w:p>
    <w:p w14:paraId="52668EC0">
      <w:pPr>
        <w:spacing w:line="276" w:lineRule="auto"/>
        <w:rPr>
          <w:rFonts w:ascii="Arial" w:hAnsi="Arial" w:eastAsia="Arial" w:cs="Arial"/>
          <w:color w:val="000000" w:themeColor="text1"/>
          <w:sz w:val="22"/>
          <w:szCs w:val="22"/>
          <w:lang w:val="es"/>
          <w14:textFill>
            <w14:solidFill>
              <w14:schemeClr w14:val="tx1"/>
            </w14:solidFill>
          </w14:textFill>
        </w:rPr>
      </w:pPr>
    </w:p>
    <w:p w14:paraId="256061A5">
      <w:pPr>
        <w:spacing w:line="276" w:lineRule="auto"/>
        <w:rPr>
          <w:rFonts w:ascii="Arial" w:hAnsi="Arial" w:eastAsia="Arial" w:cs="Arial"/>
          <w:color w:val="000000" w:themeColor="text1"/>
          <w:sz w:val="22"/>
          <w:szCs w:val="22"/>
          <w:lang w:val="es"/>
          <w14:textFill>
            <w14:solidFill>
              <w14:schemeClr w14:val="tx1"/>
            </w14:solidFill>
          </w14:textFill>
        </w:rPr>
      </w:pPr>
    </w:p>
    <w:p w14:paraId="7D8EC756">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b/>
          <w:bCs/>
          <w:color w:val="000000" w:themeColor="text1"/>
          <w:sz w:val="22"/>
          <w:szCs w:val="22"/>
          <w:lang w:val="es"/>
          <w14:textFill>
            <w14:solidFill>
              <w14:schemeClr w14:val="tx1"/>
            </w14:solidFill>
          </w14:textFill>
        </w:rPr>
        <w:t>C. UPDATE (Actualización de registros)</w:t>
      </w:r>
      <w:r>
        <w:rPr>
          <w:rFonts w:ascii="Arial" w:hAnsi="Arial" w:eastAsia="Arial" w:cs="Arial"/>
          <w:color w:val="000000" w:themeColor="text1"/>
          <w:sz w:val="22"/>
          <w:szCs w:val="22"/>
          <w:lang w:val="es"/>
          <w14:textFill>
            <w14:solidFill>
              <w14:schemeClr w14:val="tx1"/>
            </w14:solidFill>
          </w14:textFill>
        </w:rPr>
        <w:t xml:space="preserve"> Se simuló la validación de calidad de un registro. Mediante el operador </w:t>
      </w:r>
      <w:r>
        <w:rPr>
          <w:rFonts w:ascii="Arial" w:hAnsi="Arial" w:eastAsia="Roboto Mono" w:cs="Arial"/>
          <w:color w:val="000000" w:themeColor="text1"/>
          <w:sz w:val="22"/>
          <w:szCs w:val="22"/>
          <w:lang w:val="es"/>
          <w14:textFill>
            <w14:solidFill>
              <w14:schemeClr w14:val="tx1"/>
            </w14:solidFill>
          </w14:textFill>
        </w:rPr>
        <w:t>$set</w:t>
      </w:r>
      <w:r>
        <w:rPr>
          <w:rFonts w:ascii="Arial" w:hAnsi="Arial" w:eastAsia="Arial" w:cs="Arial"/>
          <w:color w:val="000000" w:themeColor="text1"/>
          <w:sz w:val="22"/>
          <w:szCs w:val="22"/>
          <w:lang w:val="es"/>
          <w14:textFill>
            <w14:solidFill>
              <w14:schemeClr w14:val="tx1"/>
            </w14:solidFill>
          </w14:textFill>
        </w:rPr>
        <w:t xml:space="preserve">, se actualizó el metadato de estado del caso ubicado en el "BARRIO MORALILLOS" de "PENDIENTE" a "VALIDO". </w:t>
      </w:r>
    </w:p>
    <w:p w14:paraId="69822A9F">
      <w:pPr>
        <w:spacing w:line="276" w:lineRule="auto"/>
        <w:rPr>
          <w:rFonts w:ascii="Arial" w:hAnsi="Arial" w:eastAsia="Arial" w:cs="Arial"/>
          <w:color w:val="000000" w:themeColor="text1"/>
          <w:sz w:val="22"/>
          <w:szCs w:val="22"/>
          <w:lang w:val="es"/>
          <w14:textFill>
            <w14:solidFill>
              <w14:schemeClr w14:val="tx1"/>
            </w14:solidFill>
          </w14:textFill>
        </w:rPr>
      </w:pPr>
    </w:p>
    <w:tbl>
      <w:tblPr>
        <w:tblStyle w:val="9"/>
        <w:tblW w:w="0" w:type="auto"/>
        <w:tblInd w:w="0" w:type="dxa"/>
        <w:tblLayout w:type="fixed"/>
        <w:tblCellMar>
          <w:top w:w="0" w:type="dxa"/>
          <w:left w:w="108" w:type="dxa"/>
          <w:bottom w:w="0" w:type="dxa"/>
          <w:right w:w="108" w:type="dxa"/>
        </w:tblCellMar>
      </w:tblPr>
      <w:tblGrid>
        <w:gridCol w:w="9029"/>
      </w:tblGrid>
      <w:tr w14:paraId="325C15F5">
        <w:tblPrEx>
          <w:tblCellMar>
            <w:top w:w="0" w:type="dxa"/>
            <w:left w:w="108" w:type="dxa"/>
            <w:bottom w:w="0" w:type="dxa"/>
            <w:right w:w="108" w:type="dxa"/>
          </w:tblCellMar>
        </w:tblPrEx>
        <w:tc>
          <w:tcPr>
            <w:tcW w:w="9029" w:type="dxa"/>
            <w:shd w:val="clear" w:color="auto" w:fill="FFFFFF"/>
            <w:tcMar>
              <w:top w:w="100" w:type="dxa"/>
              <w:left w:w="100" w:type="dxa"/>
              <w:bottom w:w="100" w:type="dxa"/>
              <w:right w:w="100" w:type="dxa"/>
            </w:tcMar>
          </w:tcPr>
          <w:p w14:paraId="41AA03A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Consolas" w:cs="Arial"/>
                <w:color w:val="000000" w:themeColor="text1"/>
                <w:sz w:val="22"/>
                <w:szCs w:val="22"/>
                <w:highlight w:val="white"/>
                <w:lang w:val="es"/>
                <w14:textFill>
                  <w14:solidFill>
                    <w14:schemeClr w14:val="tx1"/>
                  </w14:solidFill>
                </w14:textFill>
              </w:rPr>
              <w:t>db.casos_vigilancia_dengue.updateOne(</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 "ubicacion.localidad": "BARRIO MORALILLOS"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 $set: { "metadatos_etl.estado_validacion": "VALIDO" } }</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w:t>
            </w:r>
          </w:p>
        </w:tc>
      </w:tr>
    </w:tbl>
    <w:p w14:paraId="11C3397D">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drawing>
          <wp:anchor distT="114300" distB="114300" distL="114300" distR="114300" simplePos="0" relativeHeight="251664384" behindDoc="0" locked="0" layoutInCell="1" allowOverlap="1">
            <wp:simplePos x="0" y="0"/>
            <wp:positionH relativeFrom="page">
              <wp:posOffset>1950720</wp:posOffset>
            </wp:positionH>
            <wp:positionV relativeFrom="page">
              <wp:posOffset>2525395</wp:posOffset>
            </wp:positionV>
            <wp:extent cx="3611245" cy="170878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3611520" cy="1708566"/>
                    </a:xfrm>
                    <a:prstGeom prst="rect">
                      <a:avLst/>
                    </a:prstGeom>
                  </pic:spPr>
                </pic:pic>
              </a:graphicData>
            </a:graphic>
          </wp:anchor>
        </w:drawing>
      </w:r>
    </w:p>
    <w:p w14:paraId="09812FF4">
      <w:pPr>
        <w:spacing w:line="276" w:lineRule="auto"/>
        <w:rPr>
          <w:rFonts w:ascii="Arial" w:hAnsi="Arial" w:eastAsia="Arial" w:cs="Arial"/>
          <w:color w:val="000000" w:themeColor="text1"/>
          <w:sz w:val="22"/>
          <w:szCs w:val="22"/>
          <w:lang w:val="es"/>
          <w14:textFill>
            <w14:solidFill>
              <w14:schemeClr w14:val="tx1"/>
            </w14:solidFill>
          </w14:textFill>
        </w:rPr>
      </w:pPr>
    </w:p>
    <w:p w14:paraId="3C195851">
      <w:pPr>
        <w:spacing w:line="276" w:lineRule="auto"/>
        <w:rPr>
          <w:rFonts w:ascii="Arial" w:hAnsi="Arial" w:eastAsia="Arial" w:cs="Arial"/>
          <w:color w:val="000000" w:themeColor="text1"/>
          <w:sz w:val="22"/>
          <w:szCs w:val="22"/>
          <w:lang w:val="es"/>
          <w14:textFill>
            <w14:solidFill>
              <w14:schemeClr w14:val="tx1"/>
            </w14:solidFill>
          </w14:textFill>
        </w:rPr>
      </w:pPr>
    </w:p>
    <w:p w14:paraId="335DE981">
      <w:pPr>
        <w:spacing w:line="276" w:lineRule="auto"/>
        <w:rPr>
          <w:rFonts w:ascii="Arial" w:hAnsi="Arial" w:eastAsia="Arial" w:cs="Arial"/>
          <w:color w:val="000000" w:themeColor="text1"/>
          <w:sz w:val="22"/>
          <w:szCs w:val="22"/>
          <w:lang w:val="es"/>
          <w14:textFill>
            <w14:solidFill>
              <w14:schemeClr w14:val="tx1"/>
            </w14:solidFill>
          </w14:textFill>
        </w:rPr>
      </w:pPr>
    </w:p>
    <w:p w14:paraId="34D3B7AE">
      <w:pPr>
        <w:spacing w:line="276" w:lineRule="auto"/>
        <w:rPr>
          <w:rFonts w:ascii="Arial" w:hAnsi="Arial" w:eastAsia="Arial" w:cs="Arial"/>
          <w:color w:val="000000" w:themeColor="text1"/>
          <w:sz w:val="22"/>
          <w:szCs w:val="22"/>
          <w:lang w:val="es"/>
          <w14:textFill>
            <w14:solidFill>
              <w14:schemeClr w14:val="tx1"/>
            </w14:solidFill>
          </w14:textFill>
        </w:rPr>
      </w:pPr>
    </w:p>
    <w:p w14:paraId="393A626E">
      <w:pPr>
        <w:spacing w:line="276" w:lineRule="auto"/>
        <w:rPr>
          <w:rFonts w:ascii="Arial" w:hAnsi="Arial" w:eastAsia="Arial" w:cs="Arial"/>
          <w:color w:val="000000" w:themeColor="text1"/>
          <w:sz w:val="22"/>
          <w:szCs w:val="22"/>
          <w:lang w:val="es"/>
          <w14:textFill>
            <w14:solidFill>
              <w14:schemeClr w14:val="tx1"/>
            </w14:solidFill>
          </w14:textFill>
        </w:rPr>
      </w:pPr>
    </w:p>
    <w:p w14:paraId="0FDEF619">
      <w:pPr>
        <w:spacing w:line="276" w:lineRule="auto"/>
        <w:rPr>
          <w:rFonts w:ascii="Arial" w:hAnsi="Arial" w:eastAsia="Arial" w:cs="Arial"/>
          <w:color w:val="000000" w:themeColor="text1"/>
          <w:sz w:val="22"/>
          <w:szCs w:val="22"/>
          <w:lang w:val="es"/>
          <w14:textFill>
            <w14:solidFill>
              <w14:schemeClr w14:val="tx1"/>
            </w14:solidFill>
          </w14:textFill>
        </w:rPr>
      </w:pPr>
    </w:p>
    <w:p w14:paraId="7793D247">
      <w:pPr>
        <w:spacing w:line="276" w:lineRule="auto"/>
        <w:rPr>
          <w:rFonts w:ascii="Arial" w:hAnsi="Arial" w:eastAsia="Arial" w:cs="Arial"/>
          <w:color w:val="000000" w:themeColor="text1"/>
          <w:sz w:val="22"/>
          <w:szCs w:val="22"/>
          <w:lang w:val="es"/>
          <w14:textFill>
            <w14:solidFill>
              <w14:schemeClr w14:val="tx1"/>
            </w14:solidFill>
          </w14:textFill>
        </w:rPr>
      </w:pPr>
    </w:p>
    <w:p w14:paraId="7CF6ECA5">
      <w:pPr>
        <w:spacing w:line="276" w:lineRule="auto"/>
        <w:rPr>
          <w:rFonts w:ascii="Arial" w:hAnsi="Arial" w:eastAsia="Arial" w:cs="Arial"/>
          <w:color w:val="000000" w:themeColor="text1"/>
          <w:sz w:val="22"/>
          <w:szCs w:val="22"/>
          <w:lang w:val="es"/>
          <w14:textFill>
            <w14:solidFill>
              <w14:schemeClr w14:val="tx1"/>
            </w14:solidFill>
          </w14:textFill>
        </w:rPr>
      </w:pPr>
    </w:p>
    <w:p w14:paraId="27E163B7">
      <w:pPr>
        <w:spacing w:line="276" w:lineRule="auto"/>
        <w:rPr>
          <w:rFonts w:ascii="Arial" w:hAnsi="Arial" w:eastAsia="Arial" w:cs="Arial"/>
          <w:color w:val="000000" w:themeColor="text1"/>
          <w:sz w:val="22"/>
          <w:szCs w:val="22"/>
          <w:lang w:val="es"/>
          <w14:textFill>
            <w14:solidFill>
              <w14:schemeClr w14:val="tx1"/>
            </w14:solidFill>
          </w14:textFill>
        </w:rPr>
      </w:pPr>
    </w:p>
    <w:p w14:paraId="0CBB1B01">
      <w:pPr>
        <w:spacing w:line="276" w:lineRule="auto"/>
        <w:rPr>
          <w:rFonts w:ascii="Arial" w:hAnsi="Arial" w:eastAsia="Arial" w:cs="Arial"/>
          <w:color w:val="000000" w:themeColor="text1"/>
          <w:sz w:val="22"/>
          <w:szCs w:val="22"/>
          <w:lang w:val="es"/>
          <w14:textFill>
            <w14:solidFill>
              <w14:schemeClr w14:val="tx1"/>
            </w14:solidFill>
          </w14:textFill>
        </w:rPr>
      </w:pPr>
    </w:p>
    <w:p w14:paraId="0107BFB2">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b/>
          <w:bCs/>
          <w:color w:val="000000" w:themeColor="text1"/>
          <w:sz w:val="22"/>
          <w:szCs w:val="22"/>
          <w:lang w:val="es"/>
          <w14:textFill>
            <w14:solidFill>
              <w14:schemeClr w14:val="tx1"/>
            </w14:solidFill>
          </w14:textFill>
        </w:rPr>
        <w:t>D. DELETE (Eliminación de registros)</w:t>
      </w:r>
      <w:r>
        <w:rPr>
          <w:rFonts w:ascii="Arial" w:hAnsi="Arial" w:eastAsia="Arial" w:cs="Arial"/>
          <w:color w:val="000000" w:themeColor="text1"/>
          <w:sz w:val="22"/>
          <w:szCs w:val="22"/>
          <w:lang w:val="es"/>
          <w14:textFill>
            <w14:solidFill>
              <w14:schemeClr w14:val="tx1"/>
            </w14:solidFill>
          </w14:textFill>
        </w:rPr>
        <w:t xml:space="preserve"> Se ejecutó una operación de borrado físico para limpiar los datos que no pasaron las reglas de calidad en el ETL (registros marcados como RECHAZADOS). </w:t>
      </w:r>
    </w:p>
    <w:p w14:paraId="2151CA56">
      <w:pPr>
        <w:spacing w:line="276" w:lineRule="auto"/>
        <w:rPr>
          <w:rFonts w:ascii="Arial" w:hAnsi="Arial" w:eastAsia="Arial" w:cs="Arial"/>
          <w:color w:val="000000" w:themeColor="text1"/>
          <w:sz w:val="22"/>
          <w:szCs w:val="22"/>
          <w:lang w:val="es"/>
          <w14:textFill>
            <w14:solidFill>
              <w14:schemeClr w14:val="tx1"/>
            </w14:solidFill>
          </w14:textFill>
        </w:rPr>
      </w:pPr>
    </w:p>
    <w:tbl>
      <w:tblPr>
        <w:tblStyle w:val="9"/>
        <w:tblW w:w="0" w:type="auto"/>
        <w:tblInd w:w="0" w:type="dxa"/>
        <w:tblLayout w:type="fixed"/>
        <w:tblCellMar>
          <w:top w:w="0" w:type="dxa"/>
          <w:left w:w="108" w:type="dxa"/>
          <w:bottom w:w="0" w:type="dxa"/>
          <w:right w:w="108" w:type="dxa"/>
        </w:tblCellMar>
      </w:tblPr>
      <w:tblGrid>
        <w:gridCol w:w="9029"/>
      </w:tblGrid>
      <w:tr w14:paraId="025C1926">
        <w:tblPrEx>
          <w:tblCellMar>
            <w:top w:w="0" w:type="dxa"/>
            <w:left w:w="108" w:type="dxa"/>
            <w:bottom w:w="0" w:type="dxa"/>
            <w:right w:w="108" w:type="dxa"/>
          </w:tblCellMar>
        </w:tblPrEx>
        <w:tc>
          <w:tcPr>
            <w:tcW w:w="9029" w:type="dxa"/>
            <w:shd w:val="clear" w:color="auto" w:fill="FFFFFF"/>
            <w:tcMar>
              <w:top w:w="100" w:type="dxa"/>
              <w:left w:w="100" w:type="dxa"/>
              <w:bottom w:w="100" w:type="dxa"/>
              <w:right w:w="100" w:type="dxa"/>
            </w:tcMar>
          </w:tcPr>
          <w:p w14:paraId="59CC015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Consolas" w:cs="Arial"/>
                <w:color w:val="000000" w:themeColor="text1"/>
                <w:sz w:val="22"/>
                <w:szCs w:val="22"/>
                <w:highlight w:val="white"/>
                <w:lang w:val="es"/>
                <w14:textFill>
                  <w14:solidFill>
                    <w14:schemeClr w14:val="tx1"/>
                  </w14:solidFill>
                </w14:textFill>
              </w:rPr>
              <w:t>db.casos_vigilancia_dengue.deleteOne({</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 xml:space="preserve">  "metadatos_etl.estado_validacion": "RECHAZADO"</w:t>
            </w:r>
            <w:r>
              <w:rPr>
                <w:rFonts w:ascii="Arial" w:hAnsi="Arial" w:eastAsia="Consolas" w:cs="Arial"/>
                <w:color w:val="000000" w:themeColor="text1"/>
                <w:sz w:val="22"/>
                <w:szCs w:val="22"/>
                <w:highlight w:val="white"/>
                <w:lang w:val="es"/>
                <w14:textFill>
                  <w14:solidFill>
                    <w14:schemeClr w14:val="tx1"/>
                  </w14:solidFill>
                </w14:textFill>
              </w:rPr>
              <w:br w:type="textWrapping"/>
            </w:r>
            <w:r>
              <w:rPr>
                <w:rFonts w:ascii="Arial" w:hAnsi="Arial" w:eastAsia="Consolas" w:cs="Arial"/>
                <w:color w:val="000000" w:themeColor="text1"/>
                <w:sz w:val="22"/>
                <w:szCs w:val="22"/>
                <w:highlight w:val="white"/>
                <w:lang w:val="es"/>
                <w14:textFill>
                  <w14:solidFill>
                    <w14:schemeClr w14:val="tx1"/>
                  </w14:solidFill>
                </w14:textFill>
              </w:rPr>
              <w:t>});</w:t>
            </w:r>
          </w:p>
        </w:tc>
      </w:tr>
    </w:tbl>
    <w:p w14:paraId="223D7AF5">
      <w:pPr>
        <w:spacing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drawing>
          <wp:anchor distT="114300" distB="114300" distL="114300" distR="114300" simplePos="0" relativeHeight="251665408" behindDoc="0" locked="0" layoutInCell="1" allowOverlap="1">
            <wp:simplePos x="0" y="0"/>
            <wp:positionH relativeFrom="margin">
              <wp:align>center</wp:align>
            </wp:positionH>
            <wp:positionV relativeFrom="page">
              <wp:posOffset>6139180</wp:posOffset>
            </wp:positionV>
            <wp:extent cx="4879975" cy="174180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a:srcRect/>
                    <a:stretch>
                      <a:fillRect/>
                    </a:stretch>
                  </pic:blipFill>
                  <pic:spPr>
                    <a:xfrm>
                      <a:off x="0" y="0"/>
                      <a:ext cx="4880138" cy="1742082"/>
                    </a:xfrm>
                    <a:prstGeom prst="rect">
                      <a:avLst/>
                    </a:prstGeom>
                  </pic:spPr>
                </pic:pic>
              </a:graphicData>
            </a:graphic>
          </wp:anchor>
        </w:drawing>
      </w:r>
    </w:p>
    <w:p w14:paraId="2BA2CCAB">
      <w:pPr>
        <w:spacing w:line="276" w:lineRule="auto"/>
        <w:rPr>
          <w:rFonts w:ascii="Arial" w:hAnsi="Arial" w:eastAsia="Arial" w:cs="Arial"/>
          <w:color w:val="000000" w:themeColor="text1"/>
          <w:sz w:val="22"/>
          <w:szCs w:val="22"/>
          <w:lang w:val="es"/>
          <w14:textFill>
            <w14:solidFill>
              <w14:schemeClr w14:val="tx1"/>
            </w14:solidFill>
          </w14:textFill>
        </w:rPr>
      </w:pPr>
    </w:p>
    <w:p w14:paraId="1F92876D">
      <w:pPr>
        <w:spacing w:line="276" w:lineRule="auto"/>
        <w:rPr>
          <w:rFonts w:ascii="Arial" w:hAnsi="Arial" w:eastAsia="Arial" w:cs="Arial"/>
          <w:color w:val="000000" w:themeColor="text1"/>
          <w:sz w:val="22"/>
          <w:szCs w:val="22"/>
          <w:lang w:val="es"/>
          <w14:textFill>
            <w14:solidFill>
              <w14:schemeClr w14:val="tx1"/>
            </w14:solidFill>
          </w14:textFill>
        </w:rPr>
      </w:pPr>
    </w:p>
    <w:p w14:paraId="53622921">
      <w:pPr>
        <w:spacing w:line="276" w:lineRule="auto"/>
        <w:rPr>
          <w:rFonts w:ascii="Arial" w:hAnsi="Arial" w:eastAsia="Arial" w:cs="Arial"/>
          <w:color w:val="000000" w:themeColor="text1"/>
          <w:sz w:val="22"/>
          <w:szCs w:val="22"/>
          <w:lang w:val="es"/>
          <w14:textFill>
            <w14:solidFill>
              <w14:schemeClr w14:val="tx1"/>
            </w14:solidFill>
          </w14:textFill>
        </w:rPr>
      </w:pPr>
    </w:p>
    <w:p w14:paraId="77D0AA3B">
      <w:pPr>
        <w:spacing w:line="276" w:lineRule="auto"/>
        <w:rPr>
          <w:rFonts w:ascii="Arial" w:hAnsi="Arial" w:eastAsia="Arial" w:cs="Arial"/>
          <w:color w:val="000000" w:themeColor="text1"/>
          <w:sz w:val="22"/>
          <w:szCs w:val="22"/>
          <w:lang w:val="es"/>
          <w14:textFill>
            <w14:solidFill>
              <w14:schemeClr w14:val="tx1"/>
            </w14:solidFill>
          </w14:textFill>
        </w:rPr>
      </w:pPr>
    </w:p>
    <w:p w14:paraId="1B1F9212">
      <w:pPr>
        <w:spacing w:line="276" w:lineRule="auto"/>
        <w:rPr>
          <w:rFonts w:ascii="Arial" w:hAnsi="Arial" w:eastAsia="Arial" w:cs="Arial"/>
          <w:color w:val="000000" w:themeColor="text1"/>
          <w:sz w:val="22"/>
          <w:szCs w:val="22"/>
          <w:lang w:val="es"/>
          <w14:textFill>
            <w14:solidFill>
              <w14:schemeClr w14:val="tx1"/>
            </w14:solidFill>
          </w14:textFill>
        </w:rPr>
      </w:pPr>
    </w:p>
    <w:p w14:paraId="2533811A">
      <w:pPr>
        <w:spacing w:line="276" w:lineRule="auto"/>
        <w:rPr>
          <w:rFonts w:ascii="Arial" w:hAnsi="Arial" w:eastAsia="Arial" w:cs="Arial"/>
          <w:color w:val="000000" w:themeColor="text1"/>
          <w:sz w:val="22"/>
          <w:szCs w:val="22"/>
          <w:lang w:val="es"/>
          <w14:textFill>
            <w14:solidFill>
              <w14:schemeClr w14:val="tx1"/>
            </w14:solidFill>
          </w14:textFill>
        </w:rPr>
      </w:pPr>
    </w:p>
    <w:p w14:paraId="43EC7DA4">
      <w:pPr>
        <w:spacing w:line="276" w:lineRule="auto"/>
        <w:rPr>
          <w:rFonts w:ascii="Arial" w:hAnsi="Arial" w:eastAsia="Arial" w:cs="Arial"/>
          <w:color w:val="000000" w:themeColor="text1"/>
          <w:sz w:val="22"/>
          <w:szCs w:val="22"/>
          <w:lang w:val="es"/>
          <w14:textFill>
            <w14:solidFill>
              <w14:schemeClr w14:val="tx1"/>
            </w14:solidFill>
          </w14:textFill>
        </w:rPr>
      </w:pPr>
    </w:p>
    <w:p w14:paraId="629CC315">
      <w:pPr>
        <w:spacing w:line="276" w:lineRule="auto"/>
        <w:rPr>
          <w:rFonts w:ascii="Arial" w:hAnsi="Arial" w:eastAsia="Arial" w:cs="Arial"/>
          <w:color w:val="000000" w:themeColor="text1"/>
          <w:sz w:val="22"/>
          <w:szCs w:val="22"/>
          <w:lang w:val="es"/>
          <w14:textFill>
            <w14:solidFill>
              <w14:schemeClr w14:val="tx1"/>
            </w14:solidFill>
          </w14:textFill>
        </w:rPr>
      </w:pPr>
    </w:p>
    <w:p w14:paraId="32F4F9E9">
      <w:pPr>
        <w:spacing w:line="276" w:lineRule="auto"/>
        <w:rPr>
          <w:rFonts w:ascii="Arial" w:hAnsi="Arial" w:eastAsia="Arial" w:cs="Arial"/>
          <w:color w:val="000000" w:themeColor="text1"/>
          <w:sz w:val="22"/>
          <w:szCs w:val="22"/>
          <w:lang w:val="es"/>
          <w14:textFill>
            <w14:solidFill>
              <w14:schemeClr w14:val="tx1"/>
            </w14:solidFill>
          </w14:textFill>
        </w:rPr>
      </w:pPr>
    </w:p>
    <w:p w14:paraId="7B242E17">
      <w:pPr>
        <w:spacing w:line="276" w:lineRule="auto"/>
        <w:rPr>
          <w:rFonts w:ascii="Arial" w:hAnsi="Arial" w:eastAsia="Arial" w:cs="Arial"/>
          <w:color w:val="000000" w:themeColor="text1"/>
          <w:sz w:val="22"/>
          <w:szCs w:val="22"/>
          <w:lang w:val="es"/>
          <w14:textFill>
            <w14:solidFill>
              <w14:schemeClr w14:val="tx1"/>
            </w14:solidFill>
          </w14:textFill>
        </w:rPr>
      </w:pPr>
    </w:p>
    <w:p w14:paraId="36092F61">
      <w:pPr>
        <w:spacing w:line="276" w:lineRule="auto"/>
        <w:rPr>
          <w:rFonts w:ascii="Arial" w:hAnsi="Arial" w:eastAsia="Arial" w:cs="Arial"/>
          <w:color w:val="000000" w:themeColor="text1"/>
          <w:sz w:val="22"/>
          <w:szCs w:val="22"/>
          <w:lang w:val="es"/>
          <w14:textFill>
            <w14:solidFill>
              <w14:schemeClr w14:val="tx1"/>
            </w14:solidFill>
          </w14:textFill>
        </w:rPr>
      </w:pPr>
    </w:p>
    <w:p w14:paraId="196B5C01">
      <w:pPr>
        <w:spacing w:line="276" w:lineRule="auto"/>
        <w:rPr>
          <w:rFonts w:ascii="Arial" w:hAnsi="Arial" w:eastAsia="Arial" w:cs="Arial"/>
          <w:color w:val="000000" w:themeColor="text1"/>
          <w:sz w:val="22"/>
          <w:szCs w:val="22"/>
          <w:lang w:val="es"/>
          <w14:textFill>
            <w14:solidFill>
              <w14:schemeClr w14:val="tx1"/>
            </w14:solidFill>
          </w14:textFill>
        </w:rPr>
      </w:pPr>
    </w:p>
    <w:p w14:paraId="46B55BF1">
      <w:pPr>
        <w:spacing w:line="276" w:lineRule="auto"/>
        <w:rPr>
          <w:rFonts w:ascii="Arial" w:hAnsi="Arial" w:eastAsia="Arial" w:cs="Arial"/>
          <w:color w:val="000000" w:themeColor="text1"/>
          <w:sz w:val="22"/>
          <w:szCs w:val="22"/>
          <w:lang w:val="es"/>
          <w14:textFill>
            <w14:solidFill>
              <w14:schemeClr w14:val="tx1"/>
            </w14:solidFill>
          </w14:textFill>
        </w:rPr>
      </w:pPr>
    </w:p>
    <w:p w14:paraId="369514A1">
      <w:pPr>
        <w:spacing w:line="276" w:lineRule="auto"/>
        <w:rPr>
          <w:rFonts w:ascii="Arial" w:hAnsi="Arial" w:eastAsia="Arial" w:cs="Arial"/>
          <w:color w:val="000000" w:themeColor="text1"/>
          <w:sz w:val="22"/>
          <w:szCs w:val="22"/>
          <w:lang w:val="es"/>
          <w14:textFill>
            <w14:solidFill>
              <w14:schemeClr w14:val="tx1"/>
            </w14:solidFill>
          </w14:textFill>
        </w:rPr>
      </w:pPr>
    </w:p>
    <w:p w14:paraId="1045236E">
      <w:pPr>
        <w:spacing w:line="276" w:lineRule="auto"/>
        <w:rPr>
          <w:rFonts w:ascii="Arial" w:hAnsi="Arial" w:eastAsia="Arial" w:cs="Arial"/>
          <w:color w:val="000000" w:themeColor="text1"/>
          <w:sz w:val="22"/>
          <w:szCs w:val="22"/>
          <w:lang w:val="es"/>
          <w14:textFill>
            <w14:solidFill>
              <w14:schemeClr w14:val="tx1"/>
            </w14:solidFill>
          </w14:textFill>
        </w:rPr>
      </w:pPr>
    </w:p>
    <w:p w14:paraId="476CFC9E">
      <w:pPr>
        <w:spacing w:before="240" w:after="40" w:line="276" w:lineRule="auto"/>
        <w:outlineLvl w:val="3"/>
        <w:rPr>
          <w:rFonts w:ascii="Arial" w:hAnsi="Arial" w:eastAsia="Arial" w:cs="Arial"/>
          <w:b/>
          <w:bCs/>
          <w:color w:val="000000" w:themeColor="text1"/>
          <w:sz w:val="22"/>
          <w:szCs w:val="22"/>
          <w:lang w:val="es"/>
          <w14:textFill>
            <w14:solidFill>
              <w14:schemeClr w14:val="tx1"/>
            </w14:solidFill>
          </w14:textFill>
        </w:rPr>
      </w:pPr>
      <w:bookmarkStart w:id="2" w:name="_8rys8b63eulx" w:colFirst="0" w:colLast="0"/>
      <w:bookmarkEnd w:id="2"/>
      <w:r>
        <w:rPr>
          <w:rFonts w:ascii="Arial" w:hAnsi="Arial" w:eastAsia="Arial" w:cs="Arial"/>
          <w:b/>
          <w:bCs/>
          <w:color w:val="000000" w:themeColor="text1"/>
          <w:sz w:val="22"/>
          <w:szCs w:val="22"/>
          <w:lang w:val="es"/>
          <w14:textFill>
            <w14:solidFill>
              <w14:schemeClr w14:val="tx1"/>
            </w14:solidFill>
          </w14:textFill>
        </w:rPr>
        <w:t>3. Análisis Comparativo: SQL Server vs. MongoDB</w:t>
      </w:r>
    </w:p>
    <w:p w14:paraId="3B240214">
      <w:pPr>
        <w:spacing w:before="240" w:after="240"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Para definir la arquitectura óptima que gestione el más de un millón de registros del dataset de Vigilancia Epidemiológica de Dengue, se evaluaron ambos paradigmas mediante los siguientes criterios técnicos aplicados al caso de la DIRESA La Libertad:</w:t>
      </w:r>
    </w:p>
    <w:p w14:paraId="6F709A72">
      <w:pPr>
        <w:spacing w:line="276" w:lineRule="auto"/>
        <w:rPr>
          <w:rFonts w:ascii="Arial" w:hAnsi="Arial" w:eastAsia="Arial" w:cs="Arial"/>
          <w:color w:val="000000" w:themeColor="text1"/>
          <w:sz w:val="22"/>
          <w:szCs w:val="22"/>
          <w:lang w:val="es"/>
          <w14:textFill>
            <w14:solidFill>
              <w14:schemeClr w14:val="tx1"/>
            </w14:solidFill>
          </w14:textFill>
        </w:rPr>
      </w:pPr>
    </w:p>
    <w:p w14:paraId="4DE1F7CE">
      <w:pPr>
        <w:spacing w:line="276" w:lineRule="auto"/>
        <w:rPr>
          <w:rFonts w:ascii="Arial" w:hAnsi="Arial" w:eastAsia="Arial" w:cs="Arial"/>
          <w:color w:val="000000" w:themeColor="text1"/>
          <w:sz w:val="22"/>
          <w:szCs w:val="22"/>
          <w:lang w:val="es"/>
          <w14:textFill>
            <w14:solidFill>
              <w14:schemeClr w14:val="tx1"/>
            </w14:solidFill>
          </w14:textFill>
        </w:rPr>
      </w:pPr>
    </w:p>
    <w:tbl>
      <w:tblPr>
        <w:tblStyle w:val="9"/>
        <w:tblW w:w="10740" w:type="dxa"/>
        <w:tblInd w:w="-8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40"/>
        <w:gridCol w:w="2670"/>
        <w:gridCol w:w="2400"/>
        <w:gridCol w:w="1215"/>
        <w:gridCol w:w="2115"/>
      </w:tblGrid>
      <w:tr w14:paraId="5EAA6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2" w:hRule="atLeast"/>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0EC855B">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Criterio Técnico</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CC4E700">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Enfoque Relacional (SQL Server)</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68DEB70D">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Enfoque NoSQL (MongoDB)</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3215593">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Ponderación</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0DCB8CC">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Veredicto para DIRESA</w:t>
            </w:r>
          </w:p>
        </w:tc>
      </w:tr>
      <w:tr w14:paraId="57462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1" w:hRule="atLeast"/>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A2AB754">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Modelo de Datos</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63C7FD43">
            <w:pPr>
              <w:spacing w:after="480" w:line="276" w:lineRule="auto"/>
              <w:rPr>
                <w:rFonts w:ascii="Arial" w:hAnsi="Arial" w:eastAsia="Arial" w:cs="Arial"/>
                <w:color w:val="000000" w:themeColor="text1"/>
                <w:lang w:val="es-ES"/>
                <w14:textFill>
                  <w14:solidFill>
                    <w14:schemeClr w14:val="tx1"/>
                  </w14:solidFill>
                </w14:textFill>
              </w:rPr>
            </w:pPr>
            <w:r>
              <w:rPr>
                <w:rFonts w:ascii="Arial" w:hAnsi="Arial" w:eastAsia="Arial" w:cs="Arial"/>
                <w:color w:val="000000" w:themeColor="text1"/>
                <w:lang w:val="es-ES"/>
                <w14:textFill>
                  <w14:solidFill>
                    <w14:schemeClr w14:val="tx1"/>
                  </w14:solidFill>
                </w14:textFill>
              </w:rPr>
              <w:t>Estructura rígida normalizada (3FN). Exige tablas puente y llaves foráneas (</w:t>
            </w:r>
            <w:r>
              <w:rPr>
                <w:rFonts w:ascii="Arial" w:hAnsi="Arial" w:eastAsia="Arial" w:cs="Arial"/>
                <w:color w:val="000000" w:themeColor="text1"/>
                <w:shd w:val="clear" w:color="auto" w:fill="F2F0F0"/>
                <w:lang w:val="es-ES"/>
                <w14:textFill>
                  <w14:solidFill>
                    <w14:schemeClr w14:val="tx1"/>
                  </w14:solidFill>
                </w14:textFill>
              </w:rPr>
              <w:t>Ubicacion</w:t>
            </w:r>
            <w:r>
              <w:rPr>
                <w:rFonts w:ascii="Arial" w:hAnsi="Arial" w:eastAsia="Arial" w:cs="Arial"/>
                <w:color w:val="000000" w:themeColor="text1"/>
                <w:lang w:val="es-ES"/>
                <w14:textFill>
                  <w14:solidFill>
                    <w14:schemeClr w14:val="tx1"/>
                  </w14:solidFill>
                </w14:textFill>
              </w:rPr>
              <w:t xml:space="preserve">, </w:t>
            </w:r>
            <w:r>
              <w:rPr>
                <w:rFonts w:ascii="Arial" w:hAnsi="Arial" w:eastAsia="Arial" w:cs="Arial"/>
                <w:color w:val="000000" w:themeColor="text1"/>
                <w:shd w:val="clear" w:color="auto" w:fill="F2F0F0"/>
                <w:lang w:val="es-ES"/>
                <w14:textFill>
                  <w14:solidFill>
                    <w14:schemeClr w14:val="tx1"/>
                  </w14:solidFill>
                </w14:textFill>
              </w:rPr>
              <w:t>Localidad</w:t>
            </w:r>
            <w:r>
              <w:rPr>
                <w:rFonts w:ascii="Arial" w:hAnsi="Arial" w:eastAsia="Arial" w:cs="Arial"/>
                <w:color w:val="000000" w:themeColor="text1"/>
                <w:lang w:val="es-ES"/>
                <w14:textFill>
                  <w14:solidFill>
                    <w14:schemeClr w14:val="tx1"/>
                  </w14:solidFill>
                </w14:textFill>
              </w:rPr>
              <w:t>).</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A4BD4D3">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color w:val="000000" w:themeColor="text1"/>
                <w:lang w:val="es"/>
                <w14:textFill>
                  <w14:solidFill>
                    <w14:schemeClr w14:val="tx1"/>
                  </w14:solidFill>
                </w14:textFill>
              </w:rPr>
              <w:t>Documentos BSON desnormalizados. Agrupa datos anidados del paciente y su ubicación geográfica.</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1A306232">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20%</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D33CCD7">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NoSQL</w:t>
            </w:r>
            <w:r>
              <w:rPr>
                <w:rFonts w:ascii="Arial" w:hAnsi="Arial" w:eastAsia="Arial" w:cs="Arial"/>
                <w:color w:val="000000" w:themeColor="text1"/>
                <w:lang w:val="es"/>
                <w14:textFill>
                  <w14:solidFill>
                    <w14:schemeClr w14:val="tx1"/>
                  </w14:solidFill>
                </w14:textFill>
              </w:rPr>
              <w:t>. Se adapta mejor a la naturaleza semiestructurada y variable de los registros clínicos.</w:t>
            </w:r>
          </w:p>
        </w:tc>
      </w:tr>
      <w:tr w14:paraId="72024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0" w:hRule="atLeast"/>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89A22E4">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Latencia de Consulta (Lectura)</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C39590D">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color w:val="000000" w:themeColor="text1"/>
                <w:lang w:val="es"/>
                <w14:textFill>
                  <w14:solidFill>
                    <w14:schemeClr w14:val="tx1"/>
                  </w14:solidFill>
                </w14:textFill>
              </w:rPr>
              <w:t>Alta latencia en consultas analíticas debido a las múltiples operaciones JOIN para unificar un caso.</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F1A017F">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color w:val="000000" w:themeColor="text1"/>
                <w:lang w:val="es"/>
                <w14:textFill>
                  <w14:solidFill>
                    <w14:schemeClr w14:val="tx1"/>
                  </w14:solidFill>
                </w14:textFill>
              </w:rPr>
              <w:t>Baja latencia. La lectura de un caso se recupera en una sola operación de E/S al disco.</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3B81A55">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30%</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8D72DBB">
            <w:pPr>
              <w:spacing w:after="480" w:line="276" w:lineRule="auto"/>
              <w:rPr>
                <w:rFonts w:ascii="Arial" w:hAnsi="Arial" w:eastAsia="Arial" w:cs="Arial"/>
                <w:color w:val="000000" w:themeColor="text1"/>
                <w:lang w:val="es-ES"/>
                <w14:textFill>
                  <w14:solidFill>
                    <w14:schemeClr w14:val="tx1"/>
                  </w14:solidFill>
                </w14:textFill>
              </w:rPr>
            </w:pPr>
            <w:r>
              <w:rPr>
                <w:rFonts w:ascii="Arial" w:hAnsi="Arial" w:eastAsia="Arial" w:cs="Arial"/>
                <w:b/>
                <w:bCs/>
                <w:color w:val="000000" w:themeColor="text1" w:themeTint="FF"/>
                <w:lang w:val="es-ES"/>
                <w14:textFill>
                  <w14:solidFill>
                    <w14:schemeClr w14:val="tx1">
                      <w14:lumMod w14:val="100000"/>
                      <w14:lumOff w14:val="0"/>
                    </w14:schemeClr>
                  </w14:solidFill>
                </w14:textFill>
              </w:rPr>
              <w:t>NoSQL</w:t>
            </w:r>
            <w:r>
              <w:rPr>
                <w:rFonts w:ascii="Arial" w:hAnsi="Arial" w:eastAsia="Arial" w:cs="Arial"/>
                <w:color w:val="000000" w:themeColor="text1" w:themeTint="FF"/>
                <w:lang w:val="es-ES"/>
                <w14:textFill>
                  <w14:solidFill>
                    <w14:schemeClr w14:val="tx1">
                      <w14:lumMod w14:val="100000"/>
                      <w14:lumOff w14:val="0"/>
                    </w14:schemeClr>
                  </w14:solidFill>
                </w14:textFill>
              </w:rPr>
              <w:t>. Ideal para alimentar los dashboards de inteligencia de negocios de forma ágil.</w:t>
            </w:r>
          </w:p>
        </w:tc>
      </w:tr>
      <w:tr w14:paraId="15A03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95" w:hRule="atLeast"/>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5D457346">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Consistencia y Seguridad Normativa</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C643532">
            <w:pPr>
              <w:spacing w:after="480" w:line="276" w:lineRule="auto"/>
              <w:rPr>
                <w:rFonts w:ascii="Arial" w:hAnsi="Arial" w:eastAsia="Arial" w:cs="Arial"/>
                <w:color w:val="000000" w:themeColor="text1"/>
                <w:lang w:val="es-ES"/>
                <w14:textFill>
                  <w14:solidFill>
                    <w14:schemeClr w14:val="tx1"/>
                  </w14:solidFill>
                </w14:textFill>
              </w:rPr>
            </w:pPr>
            <w:r>
              <w:rPr>
                <w:rFonts w:ascii="Arial" w:hAnsi="Arial" w:eastAsia="Arial" w:cs="Arial"/>
                <w:color w:val="000000" w:themeColor="text1" w:themeTint="FF"/>
                <w:lang w:val="es-ES"/>
                <w14:textFill>
                  <w14:solidFill>
                    <w14:schemeClr w14:val="tx1">
                      <w14:lumMod w14:val="100000"/>
                      <w14:lumOff w14:val="0"/>
                    </w14:schemeClr>
                  </w14:solidFill>
                </w14:textFill>
              </w:rPr>
              <w:t>Transacciones ACID estrictas. Soporta triggers de auditoría y roles nativos exigidos por la Ley N.° 29733.</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B59A72A">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color w:val="000000" w:themeColor="text1"/>
                <w:lang w:val="es"/>
                <w14:textFill>
                  <w14:solidFill>
                    <w14:schemeClr w14:val="tx1"/>
                  </w14:solidFill>
                </w14:textFill>
              </w:rPr>
              <w:t>Consistencia eventual. El control de auditoría detallado y roles granulares es más complejo de implementar.</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96ED497">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50%</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BDE98FF">
            <w:pPr>
              <w:spacing w:after="480" w:line="276" w:lineRule="auto"/>
              <w:rPr>
                <w:rFonts w:ascii="Arial" w:hAnsi="Arial" w:eastAsia="Arial" w:cs="Arial"/>
                <w:color w:val="000000" w:themeColor="text1"/>
                <w:lang w:val="es"/>
                <w14:textFill>
                  <w14:solidFill>
                    <w14:schemeClr w14:val="tx1"/>
                  </w14:solidFill>
                </w14:textFill>
              </w:rPr>
            </w:pPr>
            <w:r>
              <w:rPr>
                <w:rFonts w:ascii="Arial" w:hAnsi="Arial" w:eastAsia="Arial" w:cs="Arial"/>
                <w:b/>
                <w:bCs/>
                <w:color w:val="000000" w:themeColor="text1"/>
                <w:lang w:val="es"/>
                <w14:textFill>
                  <w14:solidFill>
                    <w14:schemeClr w14:val="tx1"/>
                  </w14:solidFill>
                </w14:textFill>
              </w:rPr>
              <w:t>SQL</w:t>
            </w:r>
            <w:r>
              <w:rPr>
                <w:rFonts w:ascii="Arial" w:hAnsi="Arial" w:eastAsia="Arial" w:cs="Arial"/>
                <w:color w:val="000000" w:themeColor="text1"/>
                <w:lang w:val="es"/>
                <w14:textFill>
                  <w14:solidFill>
                    <w14:schemeClr w14:val="tx1"/>
                  </w14:solidFill>
                </w14:textFill>
              </w:rPr>
              <w:t>. Crítico e innegociable para cumplir con la Autoridad Nacional de Protección de Datos (ANPD).</w:t>
            </w:r>
          </w:p>
        </w:tc>
      </w:tr>
    </w:tbl>
    <w:p w14:paraId="3E6E5FFF">
      <w:pPr>
        <w:spacing w:line="276" w:lineRule="auto"/>
        <w:rPr>
          <w:rFonts w:ascii="Arial" w:hAnsi="Arial" w:eastAsia="Arial" w:cs="Arial"/>
          <w:color w:val="000000" w:themeColor="text1"/>
          <w:sz w:val="22"/>
          <w:szCs w:val="22"/>
          <w:lang w:val="es"/>
          <w14:textFill>
            <w14:solidFill>
              <w14:schemeClr w14:val="tx1"/>
            </w14:solidFill>
          </w14:textFill>
        </w:rPr>
      </w:pPr>
    </w:p>
    <w:p w14:paraId="2B659008">
      <w:pPr>
        <w:spacing w:before="240" w:after="40" w:line="276" w:lineRule="auto"/>
        <w:outlineLvl w:val="3"/>
        <w:rPr>
          <w:rFonts w:ascii="Arial" w:hAnsi="Arial" w:eastAsia="Arial" w:cs="Arial"/>
          <w:b/>
          <w:bCs/>
          <w:color w:val="000000" w:themeColor="text1"/>
          <w:sz w:val="22"/>
          <w:szCs w:val="22"/>
          <w:lang w:val="es"/>
          <w14:textFill>
            <w14:solidFill>
              <w14:schemeClr w14:val="tx1"/>
            </w14:solidFill>
          </w14:textFill>
        </w:rPr>
      </w:pPr>
      <w:bookmarkStart w:id="3" w:name="_chx8qql9qh9e" w:colFirst="0" w:colLast="0"/>
      <w:bookmarkEnd w:id="3"/>
      <w:r>
        <w:rPr>
          <w:rFonts w:ascii="Arial" w:hAnsi="Arial" w:eastAsia="Arial" w:cs="Arial"/>
          <w:b/>
          <w:bCs/>
          <w:color w:val="000000" w:themeColor="text1"/>
          <w:sz w:val="22"/>
          <w:szCs w:val="22"/>
          <w:lang w:val="es"/>
          <w14:textFill>
            <w14:solidFill>
              <w14:schemeClr w14:val="tx1"/>
            </w14:solidFill>
          </w14:textFill>
        </w:rPr>
        <w:t>4. Decisión Arquitectónica Final</w:t>
      </w:r>
    </w:p>
    <w:p w14:paraId="725346F0">
      <w:pPr>
        <w:spacing w:before="240" w:after="240"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t xml:space="preserve">Tras analizar la tabla comparativa y considerar las restricciones funcionales y legales impuestas por el Ministerio de Salud, se ha decidido adoptar una </w:t>
      </w:r>
      <w:r>
        <w:rPr>
          <w:rFonts w:ascii="Arial" w:hAnsi="Arial" w:eastAsia="Arial" w:cs="Arial"/>
          <w:b/>
          <w:bCs/>
          <w:color w:val="000000" w:themeColor="text1"/>
          <w:sz w:val="22"/>
          <w:szCs w:val="22"/>
          <w:lang w:val="es"/>
          <w14:textFill>
            <w14:solidFill>
              <w14:schemeClr w14:val="tx1"/>
            </w14:solidFill>
          </w14:textFill>
        </w:rPr>
        <w:t>arquitectura híbrida (persistencia políglota)</w:t>
      </w:r>
      <w:r>
        <w:rPr>
          <w:rFonts w:ascii="Arial" w:hAnsi="Arial" w:eastAsia="Arial" w:cs="Arial"/>
          <w:color w:val="000000" w:themeColor="text1"/>
          <w:sz w:val="22"/>
          <w:szCs w:val="22"/>
          <w:lang w:val="es"/>
          <w14:textFill>
            <w14:solidFill>
              <w14:schemeClr w14:val="tx1"/>
            </w14:solidFill>
          </w14:textFill>
        </w:rPr>
        <w:t xml:space="preserve"> para este proyecto integrador.</w:t>
      </w:r>
    </w:p>
    <w:p w14:paraId="57F3F845">
      <w:pPr>
        <w:spacing w:after="240"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b/>
          <w:bCs/>
          <w:color w:val="000000" w:themeColor="text1" w:themeTint="FF"/>
          <w:sz w:val="22"/>
          <w:szCs w:val="22"/>
          <w:lang w:val="es-ES"/>
          <w14:textFill>
            <w14:solidFill>
              <w14:schemeClr w14:val="tx1">
                <w14:lumMod w14:val="100000"/>
                <w14:lumOff w14:val="0"/>
              </w14:schemeClr>
            </w14:solidFill>
          </w14:textFill>
        </w:rPr>
        <w:t>Justificación técnica y normativa:</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 Si bien el enfoque puro en NoSQL (MongoDB) demostró superioridad en latencia de consulta y flexibilidad para almacenar los datos del paciente sin necesidad de uniones complejas, no resulta viable como sistema transaccional primario debido a las estrictas exigencias legales. La Ley N.° 29733 obliga a mantener registros inmutables de auditoría (quién modificó qué dato y cuándo), segregación de privilegios y control de excepciones. Estos requisitos se resuelven de manera nativa y robusta en el paradigma SQL mediante los procedimientos almacenados, triggers y roles implementados en la fase de automatización.</w:t>
      </w:r>
    </w:p>
    <w:p w14:paraId="45885904">
      <w:pPr>
        <w:spacing w:after="240"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t>Por lo tanto, la arquitectura funcionará de la siguiente manera:</w:t>
      </w:r>
    </w:p>
    <w:p w14:paraId="1ACBC227">
      <w:pPr>
        <w:numPr>
          <w:ilvl w:val="0"/>
          <w:numId w:val="3"/>
        </w:numPr>
        <w:spacing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b/>
          <w:bCs/>
          <w:color w:val="000000" w:themeColor="text1" w:themeTint="FF"/>
          <w:sz w:val="22"/>
          <w:szCs w:val="22"/>
          <w:lang w:val="es-ES"/>
          <w14:textFill>
            <w14:solidFill>
              <w14:schemeClr w14:val="tx1">
                <w14:lumMod w14:val="100000"/>
                <w14:lumOff w14:val="0"/>
              </w14:schemeClr>
            </w14:solidFill>
          </w14:textFill>
        </w:rPr>
        <w:t>Base Operativa (SQL Server):</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 Actuará como la capa de ingesta ("Single Source of Truth"). Aquí se validará la calidad de los datos del dengue mediante transacciones ACID y se registrarán todos los logs de auditoría para garantizar el cumplimiento legal.</w:t>
      </w:r>
    </w:p>
    <w:p w14:paraId="15E40187">
      <w:pPr>
        <w:numPr>
          <w:ilvl w:val="0"/>
          <w:numId w:val="3"/>
        </w:numPr>
        <w:spacing w:after="240" w:line="276" w:lineRule="auto"/>
        <w:rPr>
          <w:rFonts w:ascii="Arial" w:hAnsi="Arial" w:eastAsia="Arial" w:cs="Arial"/>
          <w:color w:val="000000" w:themeColor="text1"/>
          <w:sz w:val="22"/>
          <w:szCs w:val="22"/>
          <w:lang w:val="es-ES"/>
          <w14:textFill>
            <w14:solidFill>
              <w14:schemeClr w14:val="tx1"/>
            </w14:solidFill>
          </w14:textFill>
        </w:rPr>
      </w:pPr>
      <w:r>
        <w:rPr>
          <w:rFonts w:ascii="Arial" w:hAnsi="Arial" w:eastAsia="Arial" w:cs="Arial"/>
          <w:b/>
          <w:bCs/>
          <w:color w:val="000000" w:themeColor="text1" w:themeTint="FF"/>
          <w:sz w:val="22"/>
          <w:szCs w:val="22"/>
          <w:lang w:val="es-ES"/>
          <w14:textFill>
            <w14:solidFill>
              <w14:schemeClr w14:val="tx1">
                <w14:lumMod w14:val="100000"/>
                <w14:lumOff w14:val="0"/>
              </w14:schemeClr>
            </w14:solidFill>
          </w14:textFill>
        </w:rPr>
        <w:t>Capa Analítica (NoSQL / Big Data):</w:t>
      </w:r>
      <w:r>
        <w:rPr>
          <w:rFonts w:ascii="Arial" w:hAnsi="Arial" w:eastAsia="Arial" w:cs="Arial"/>
          <w:color w:val="000000" w:themeColor="text1" w:themeTint="FF"/>
          <w:sz w:val="22"/>
          <w:szCs w:val="22"/>
          <w:lang w:val="es-ES"/>
          <w14:textFill>
            <w14:solidFill>
              <w14:schemeClr w14:val="tx1">
                <w14:lumMod w14:val="100000"/>
                <w14:lumOff w14:val="0"/>
              </w14:schemeClr>
            </w14:solidFill>
          </w14:textFill>
        </w:rPr>
        <w:t xml:space="preserve"> Los datos ya limpios y validados serán extraídos y transformados (proceso ETL) hacia estructuras desnormalizadas (como un Data Warehouse o colecciones NoSQL) para su consumo masivo. Esto permitirá que la DIRESA La Libertad realice consultas de alta velocidad en sus dashboards y análisis distribuidos usando Apache Spark en las fases posteriores del proyecto.</w:t>
      </w:r>
    </w:p>
    <w:p w14:paraId="671B43B9">
      <w:pPr>
        <w:spacing w:after="240" w:line="276" w:lineRule="auto"/>
        <w:rPr>
          <w:rFonts w:ascii="Arial" w:hAnsi="Arial" w:eastAsia="Arial" w:cs="Arial"/>
          <w:color w:val="000000" w:themeColor="text1"/>
          <w:sz w:val="22"/>
          <w:szCs w:val="22"/>
          <w:lang w:val="es"/>
          <w14:textFill>
            <w14:solidFill>
              <w14:schemeClr w14:val="tx1"/>
            </w14:solidFill>
          </w14:textFill>
        </w:rPr>
      </w:pPr>
      <w:r>
        <w:rPr>
          <w:rFonts w:ascii="Arial" w:hAnsi="Arial" w:eastAsia="Arial" w:cs="Arial"/>
          <w:color w:val="000000" w:themeColor="text1"/>
          <w:sz w:val="22"/>
          <w:szCs w:val="22"/>
          <w:lang w:val="es"/>
          <w14:textFill>
            <w14:solidFill>
              <w14:schemeClr w14:val="tx1"/>
            </w14:solidFill>
          </w14:textFill>
        </w:rPr>
        <w:t>Esta sinergia garantiza la seguridad normativa sin sacrificar la escalabilidad ni el rendimiento analítico frente a grandes volúmenes de datos.</w:t>
      </w:r>
    </w:p>
    <w:p w14:paraId="1C020C71">
      <w:pPr>
        <w:spacing w:line="276" w:lineRule="auto"/>
        <w:rPr>
          <w:rFonts w:ascii="Arial" w:hAnsi="Arial" w:eastAsia="Arial" w:cs="Arial"/>
          <w:color w:val="000000" w:themeColor="text1"/>
          <w:sz w:val="22"/>
          <w:szCs w:val="22"/>
          <w:lang w:val="es"/>
          <w14:textFill>
            <w14:solidFill>
              <w14:schemeClr w14:val="tx1"/>
            </w14:solidFill>
          </w14:textFill>
        </w:rPr>
      </w:pPr>
    </w:p>
    <w:p w14:paraId="6FE0C521">
      <w:pPr>
        <w:spacing w:after="80"/>
        <w:rPr>
          <w:rFonts w:ascii="Arial" w:hAnsi="Arial" w:cs="Arial"/>
          <w:color w:val="000000" w:themeColor="text1"/>
          <w14:textFill>
            <w14:solidFill>
              <w14:schemeClr w14:val="tx1"/>
            </w14:solidFill>
          </w14:textFill>
        </w:rPr>
      </w:pPr>
    </w:p>
    <w:p w14:paraId="277A6B52">
      <w:pPr>
        <w:spacing w:after="80"/>
        <w:rPr>
          <w:rFonts w:ascii="Arial" w:hAnsi="Arial" w:cs="Arial"/>
          <w:color w:val="000000" w:themeColor="text1"/>
          <w14:textFill>
            <w14:solidFill>
              <w14:schemeClr w14:val="tx1"/>
            </w14:solidFill>
          </w14:textFill>
        </w:rPr>
      </w:pPr>
    </w:p>
    <w:p w14:paraId="0E642169">
      <w:pPr>
        <w:spacing w:after="80"/>
        <w:rPr>
          <w:rFonts w:ascii="Arial" w:hAnsi="Arial" w:cs="Arial"/>
          <w:color w:val="000000" w:themeColor="text1" w:themeTint="FF"/>
          <w14:textFill>
            <w14:solidFill>
              <w14:schemeClr w14:val="tx1">
                <w14:lumMod w14:val="100000"/>
                <w14:lumOff w14:val="0"/>
              </w14:schemeClr>
            </w14:solidFill>
          </w14:textFill>
        </w:rPr>
      </w:pPr>
    </w:p>
    <w:p w14:paraId="3728FDB4">
      <w:pPr>
        <w:spacing w:after="80"/>
        <w:rPr>
          <w:rFonts w:ascii="Arial" w:hAnsi="Arial" w:cs="Arial"/>
          <w:color w:val="000000" w:themeColor="text1" w:themeTint="FF"/>
          <w14:textFill>
            <w14:solidFill>
              <w14:schemeClr w14:val="tx1">
                <w14:lumMod w14:val="100000"/>
                <w14:lumOff w14:val="0"/>
              </w14:schemeClr>
            </w14:solidFill>
          </w14:textFill>
        </w:rPr>
      </w:pPr>
    </w:p>
    <w:p w14:paraId="5EF63849">
      <w:pPr>
        <w:spacing w:after="80"/>
        <w:rPr>
          <w:rFonts w:ascii="Arial" w:hAnsi="Arial" w:cs="Arial"/>
          <w:color w:val="000000" w:themeColor="text1" w:themeTint="FF"/>
          <w14:textFill>
            <w14:solidFill>
              <w14:schemeClr w14:val="tx1">
                <w14:lumMod w14:val="100000"/>
                <w14:lumOff w14:val="0"/>
              </w14:schemeClr>
            </w14:solidFill>
          </w14:textFill>
        </w:rPr>
      </w:pPr>
    </w:p>
    <w:p w14:paraId="41844C04">
      <w:pPr>
        <w:spacing w:after="80"/>
        <w:rPr>
          <w:rFonts w:ascii="Arial" w:hAnsi="Arial" w:cs="Arial"/>
          <w:color w:val="000000" w:themeColor="text1" w:themeTint="FF"/>
          <w14:textFill>
            <w14:solidFill>
              <w14:schemeClr w14:val="tx1">
                <w14:lumMod w14:val="100000"/>
                <w14:lumOff w14:val="0"/>
              </w14:schemeClr>
            </w14:solidFill>
          </w14:textFill>
        </w:rPr>
      </w:pPr>
    </w:p>
    <w:p w14:paraId="56B521EB">
      <w:pPr>
        <w:spacing w:after="80"/>
        <w:rPr>
          <w:rFonts w:ascii="Arial" w:hAnsi="Arial" w:cs="Arial"/>
          <w:color w:val="000000" w:themeColor="text1" w:themeTint="FF"/>
          <w14:textFill>
            <w14:solidFill>
              <w14:schemeClr w14:val="tx1">
                <w14:lumMod w14:val="100000"/>
                <w14:lumOff w14:val="0"/>
              </w14:schemeClr>
            </w14:solidFill>
          </w14:textFill>
        </w:rPr>
      </w:pPr>
    </w:p>
    <w:p w14:paraId="65BCA531">
      <w:pPr>
        <w:spacing w:after="80"/>
        <w:rPr>
          <w:rFonts w:ascii="Arial" w:hAnsi="Arial" w:cs="Arial"/>
          <w:color w:val="000000" w:themeColor="text1" w:themeTint="FF"/>
          <w14:textFill>
            <w14:solidFill>
              <w14:schemeClr w14:val="tx1">
                <w14:lumMod w14:val="100000"/>
                <w14:lumOff w14:val="0"/>
              </w14:schemeClr>
            </w14:solidFill>
          </w14:textFill>
        </w:rPr>
      </w:pPr>
    </w:p>
    <w:p w14:paraId="45292794">
      <w:pPr>
        <w:spacing w:after="80"/>
        <w:rPr>
          <w:rFonts w:ascii="Arial" w:hAnsi="Arial" w:cs="Arial"/>
          <w:color w:val="000000" w:themeColor="text1" w:themeTint="FF"/>
          <w14:textFill>
            <w14:solidFill>
              <w14:schemeClr w14:val="tx1">
                <w14:lumMod w14:val="100000"/>
                <w14:lumOff w14:val="0"/>
              </w14:schemeClr>
            </w14:solidFill>
          </w14:textFill>
        </w:rPr>
      </w:pPr>
    </w:p>
    <w:p w14:paraId="6B0B09F3">
      <w:pPr>
        <w:spacing w:after="80"/>
        <w:rPr>
          <w:rFonts w:ascii="Arial" w:hAnsi="Arial" w:cs="Arial"/>
          <w:color w:val="000000" w:themeColor="text1" w:themeTint="FF"/>
          <w14:textFill>
            <w14:solidFill>
              <w14:schemeClr w14:val="tx1">
                <w14:lumMod w14:val="100000"/>
                <w14:lumOff w14:val="0"/>
              </w14:schemeClr>
            </w14:solidFill>
          </w14:textFill>
        </w:rPr>
      </w:pPr>
    </w:p>
    <w:p w14:paraId="3C094D46">
      <w:pPr>
        <w:spacing w:after="80"/>
        <w:rPr>
          <w:rFonts w:ascii="Arial" w:hAnsi="Arial" w:cs="Arial"/>
          <w:color w:val="000000" w:themeColor="text1" w:themeTint="FF"/>
          <w14:textFill>
            <w14:solidFill>
              <w14:schemeClr w14:val="tx1">
                <w14:lumMod w14:val="100000"/>
                <w14:lumOff w14:val="0"/>
              </w14:schemeClr>
            </w14:solidFill>
          </w14:textFill>
        </w:rPr>
      </w:pPr>
    </w:p>
    <w:p w14:paraId="3403A41A">
      <w:pPr>
        <w:spacing w:after="80"/>
        <w:rPr>
          <w:rFonts w:ascii="Arial" w:hAnsi="Arial" w:cs="Arial"/>
          <w:color w:val="000000" w:themeColor="text1" w:themeTint="FF"/>
          <w14:textFill>
            <w14:solidFill>
              <w14:schemeClr w14:val="tx1">
                <w14:lumMod w14:val="100000"/>
                <w14:lumOff w14:val="0"/>
              </w14:schemeClr>
            </w14:solidFill>
          </w14:textFill>
        </w:rPr>
      </w:pPr>
    </w:p>
    <w:p w14:paraId="6185EABE">
      <w:pPr>
        <w:spacing w:after="80"/>
        <w:rPr>
          <w:rFonts w:ascii="Arial" w:hAnsi="Arial" w:cs="Arial"/>
          <w:color w:val="000000" w:themeColor="text1" w:themeTint="FF"/>
          <w14:textFill>
            <w14:solidFill>
              <w14:schemeClr w14:val="tx1">
                <w14:lumMod w14:val="100000"/>
                <w14:lumOff w14:val="0"/>
              </w14:schemeClr>
            </w14:solidFill>
          </w14:textFill>
        </w:rPr>
      </w:pPr>
    </w:p>
    <w:p w14:paraId="37E0D134">
      <w:pPr>
        <w:spacing w:after="80"/>
        <w:rPr>
          <w:rFonts w:ascii="Arial" w:hAnsi="Arial" w:cs="Arial"/>
          <w:color w:val="000000" w:themeColor="text1" w:themeTint="FF"/>
          <w14:textFill>
            <w14:solidFill>
              <w14:schemeClr w14:val="tx1">
                <w14:lumMod w14:val="100000"/>
                <w14:lumOff w14:val="0"/>
              </w14:schemeClr>
            </w14:solidFill>
          </w14:textFill>
        </w:rPr>
      </w:pPr>
    </w:p>
    <w:p w14:paraId="032D8C95">
      <w:pPr>
        <w:spacing w:after="80"/>
        <w:rPr>
          <w:rFonts w:ascii="Arial" w:hAnsi="Arial" w:cs="Arial"/>
          <w:color w:val="000000" w:themeColor="text1" w:themeTint="FF"/>
          <w14:textFill>
            <w14:solidFill>
              <w14:schemeClr w14:val="tx1">
                <w14:lumMod w14:val="100000"/>
                <w14:lumOff w14:val="0"/>
              </w14:schemeClr>
            </w14:solidFill>
          </w14:textFill>
        </w:rPr>
      </w:pPr>
    </w:p>
    <w:p w14:paraId="1426B2E8">
      <w:pPr>
        <w:spacing w:after="80"/>
        <w:rPr>
          <w:rFonts w:ascii="Arial" w:hAnsi="Arial" w:cs="Arial"/>
          <w:color w:val="000000" w:themeColor="text1" w:themeTint="FF"/>
          <w14:textFill>
            <w14:solidFill>
              <w14:schemeClr w14:val="tx1">
                <w14:lumMod w14:val="100000"/>
                <w14:lumOff w14:val="0"/>
              </w14:schemeClr>
            </w14:solidFill>
          </w14:textFill>
        </w:rPr>
      </w:pPr>
    </w:p>
    <w:p w14:paraId="1FE93D32">
      <w:pPr>
        <w:spacing w:after="80"/>
        <w:rPr>
          <w:rFonts w:ascii="Arial" w:hAnsi="Arial" w:cs="Arial"/>
          <w:color w:val="000000" w:themeColor="text1" w:themeTint="FF"/>
          <w14:textFill>
            <w14:solidFill>
              <w14:schemeClr w14:val="tx1">
                <w14:lumMod w14:val="100000"/>
                <w14:lumOff w14:val="0"/>
              </w14:schemeClr>
            </w14:solidFill>
          </w14:textFill>
        </w:rPr>
      </w:pPr>
    </w:p>
    <w:p w14:paraId="13432CE0">
      <w:pPr>
        <w:spacing w:after="80"/>
        <w:rPr>
          <w:rFonts w:ascii="Arial" w:hAnsi="Arial" w:eastAsia="Arial" w:cs="Arial"/>
          <w:i/>
          <w:iCs/>
          <w:color w:val="000000" w:themeColor="text1" w:themeTint="FF"/>
          <w:sz w:val="22"/>
          <w:szCs w:val="22"/>
          <w:lang w:val="es-PE" w:eastAsia="es-PE" w:bidi="ar-SA"/>
          <w14:textFill>
            <w14:solidFill>
              <w14:schemeClr w14:val="tx1">
                <w14:lumMod w14:val="100000"/>
                <w14:lumOff w14:val="0"/>
              </w14:schemeClr>
            </w14:solidFill>
          </w14:textFill>
        </w:rPr>
      </w:pPr>
    </w:p>
    <w:p w14:paraId="56CBF726">
      <w:pPr>
        <w:spacing w:after="80"/>
      </w:pPr>
      <w:r>
        <w:rPr>
          <w:rFonts w:ascii="Arial" w:hAnsi="Arial" w:eastAsia="Arial" w:cs="Arial"/>
          <w:i/>
          <w:iCs/>
          <w:color w:val="000000" w:themeColor="text1" w:themeTint="FF"/>
          <w:sz w:val="22"/>
          <w:szCs w:val="22"/>
          <w:lang w:val="es-PE" w:eastAsia="es-PE" w:bidi="ar-SA"/>
          <w14:textFill>
            <w14:solidFill>
              <w14:schemeClr w14:val="tx1">
                <w14:lumMod w14:val="100000"/>
                <w14:lumOff w14:val="0"/>
              </w14:schemeClr>
            </w14:solidFill>
          </w14:textFill>
        </w:rPr>
        <w:t>Paso 5</w:t>
      </w:r>
      <w:r>
        <w:rPr>
          <w:rFonts w:ascii="Arial" w:hAnsi="Arial" w:eastAsia="Arial" w:cs="Arial"/>
          <w:color w:val="000000" w:themeColor="text1" w:themeTint="FF"/>
          <w:sz w:val="22"/>
          <w:szCs w:val="22"/>
          <w:lang w:val="es-PE" w:eastAsia="es-PE" w:bidi="ar-SA"/>
          <w14:textFill>
            <w14:solidFill>
              <w14:schemeClr w14:val="tx1">
                <w14:lumMod w14:val="100000"/>
                <w14:lumOff w14:val="0"/>
              </w14:schemeClr>
            </w14:solidFill>
          </w14:textFill>
        </w:rPr>
        <w:t>: Diseño del Data Warehouse (Modelo Dimensional) y Proceso ETL</w:t>
      </w:r>
    </w:p>
    <w:p w14:paraId="5AF04013">
      <w:pPr>
        <w:spacing w:after="80"/>
        <w:rPr>
          <w:rFonts w:ascii="Arial" w:hAnsi="Arial" w:eastAsia="Arial" w:cs="Arial"/>
          <w:color w:val="000000" w:themeColor="text1" w:themeTint="FF"/>
          <w:sz w:val="22"/>
          <w:szCs w:val="22"/>
          <w:lang w:val="es-PE" w:eastAsia="es-PE" w:bidi="ar-SA"/>
          <w14:textFill>
            <w14:solidFill>
              <w14:schemeClr w14:val="tx1">
                <w14:lumMod w14:val="100000"/>
                <w14:lumOff w14:val="0"/>
              </w14:schemeClr>
            </w14:solidFill>
          </w14:textFill>
        </w:rPr>
      </w:pPr>
    </w:p>
    <w:p w14:paraId="18F16734">
      <w:pPr>
        <w:spacing w:before="240" w:beforeAutospacing="0" w:after="240" w:afterAutospacing="0"/>
      </w:pPr>
      <w:r>
        <w:rPr>
          <w:rFonts w:ascii="Arial" w:hAnsi="Arial" w:eastAsia="Arial" w:cs="Arial"/>
          <w:b/>
          <w:bCs/>
          <w:sz w:val="22"/>
          <w:szCs w:val="22"/>
          <w:lang w:val="es-PE"/>
        </w:rPr>
        <w:t>5.1 Justificación del Enfoque: Metodología Kimball</w:t>
      </w:r>
      <w:r>
        <w:rPr>
          <w:rFonts w:ascii="Arial" w:hAnsi="Arial" w:eastAsia="Arial" w:cs="Arial"/>
          <w:sz w:val="22"/>
          <w:szCs w:val="22"/>
          <w:lang w:val="es-PE"/>
        </w:rPr>
        <w:t xml:space="preserve"> </w:t>
      </w:r>
    </w:p>
    <w:p w14:paraId="46DC9287">
      <w:pPr>
        <w:spacing w:before="240" w:beforeAutospacing="0" w:after="240" w:afterAutospacing="0"/>
      </w:pPr>
      <w:r>
        <w:rPr>
          <w:rFonts w:ascii="Arial" w:hAnsi="Arial" w:eastAsia="Arial" w:cs="Arial"/>
          <w:sz w:val="22"/>
          <w:szCs w:val="22"/>
          <w:lang w:val="es-PE"/>
        </w:rPr>
        <w:t xml:space="preserve">Para la construcción del Data Warehouse (DWH) de vigilancia epidemiológica, se optó por la metodología </w:t>
      </w:r>
      <w:r>
        <w:rPr>
          <w:rFonts w:ascii="Arial" w:hAnsi="Arial" w:eastAsia="Arial" w:cs="Arial"/>
          <w:i/>
          <w:iCs/>
          <w:sz w:val="22"/>
          <w:szCs w:val="22"/>
          <w:lang w:val="es-PE"/>
        </w:rPr>
        <w:t>Bottom-Up</w:t>
      </w:r>
      <w:r>
        <w:rPr>
          <w:rFonts w:ascii="Arial" w:hAnsi="Arial" w:eastAsia="Arial" w:cs="Arial"/>
          <w:sz w:val="22"/>
          <w:szCs w:val="22"/>
          <w:lang w:val="es-PE"/>
        </w:rPr>
        <w:t xml:space="preserve"> de Ralph Kimball (Esquema en Estrella) por sobre el enfoque corporativo </w:t>
      </w:r>
      <w:r>
        <w:rPr>
          <w:rFonts w:ascii="Arial" w:hAnsi="Arial" w:eastAsia="Arial" w:cs="Arial"/>
          <w:i/>
          <w:iCs/>
          <w:sz w:val="22"/>
          <w:szCs w:val="22"/>
          <w:lang w:val="es-PE"/>
        </w:rPr>
        <w:t>Top-Down</w:t>
      </w:r>
      <w:r>
        <w:rPr>
          <w:rFonts w:ascii="Arial" w:hAnsi="Arial" w:eastAsia="Arial" w:cs="Arial"/>
          <w:sz w:val="22"/>
          <w:szCs w:val="22"/>
          <w:lang w:val="es-PE"/>
        </w:rPr>
        <w:t xml:space="preserve"> de Bill Inmon, basándonos en dos criterios técnicos fundamentales:</w:t>
      </w:r>
    </w:p>
    <w:p w14:paraId="5632F213">
      <w:pPr>
        <w:pStyle w:val="20"/>
        <w:numPr>
          <w:ilvl w:val="0"/>
          <w:numId w:val="4"/>
        </w:numPr>
        <w:spacing w:before="240" w:beforeAutospacing="0" w:after="240" w:afterAutospacing="0"/>
        <w:rPr>
          <w:rFonts w:ascii="Arial" w:hAnsi="Arial" w:eastAsia="Arial" w:cs="Arial"/>
          <w:sz w:val="22"/>
          <w:szCs w:val="22"/>
          <w:lang w:val="es-PE"/>
        </w:rPr>
      </w:pPr>
      <w:r>
        <w:rPr>
          <w:rFonts w:ascii="Arial" w:hAnsi="Arial" w:eastAsia="Arial" w:cs="Arial"/>
          <w:b/>
          <w:bCs/>
          <w:sz w:val="22"/>
          <w:szCs w:val="22"/>
          <w:lang w:val="es-PE"/>
        </w:rPr>
        <w:t>Desempeño en consultas analíticas (Latencia):</w:t>
      </w:r>
      <w:r>
        <w:rPr>
          <w:rFonts w:ascii="Arial" w:hAnsi="Arial" w:eastAsia="Arial" w:cs="Arial"/>
          <w:sz w:val="22"/>
          <w:szCs w:val="22"/>
          <w:lang w:val="es-PE"/>
        </w:rPr>
        <w:t xml:space="preserve"> El modelo relacional en 3FN construido en los pasos previos es óptimo para asegurar la integridad de las notificaciones, pero requiere múltiples operaciones </w:t>
      </w:r>
      <w:r>
        <w:rPr>
          <w:rFonts w:ascii="Consolas" w:hAnsi="Consolas" w:eastAsia="Consolas" w:cs="Consolas"/>
          <w:sz w:val="22"/>
          <w:szCs w:val="22"/>
          <w:lang w:val="es-PE"/>
        </w:rPr>
        <w:t>JOIN</w:t>
      </w:r>
      <w:r>
        <w:rPr>
          <w:rFonts w:ascii="Arial" w:hAnsi="Arial" w:eastAsia="Arial" w:cs="Arial"/>
          <w:sz w:val="22"/>
          <w:szCs w:val="22"/>
          <w:lang w:val="es-PE"/>
        </w:rPr>
        <w:t xml:space="preserve"> (Ubicación, Localidad, Enfermedad) para leer un solo caso. Al desnormalizar la geografía y la demografía en tablas dimensionales planas, el modelo de Kimball reduce drásticamente el costo computacional de lectura, garantizando que el futuro dashboard en Power BI responda de forma instantánea al procesar los cientos de miles de registros históricos.</w:t>
      </w:r>
    </w:p>
    <w:p w14:paraId="457DF77A">
      <w:pPr>
        <w:pStyle w:val="20"/>
        <w:numPr>
          <w:ilvl w:val="0"/>
          <w:numId w:val="4"/>
        </w:numPr>
        <w:spacing w:before="240" w:beforeAutospacing="0" w:after="240" w:afterAutospacing="0"/>
        <w:rPr>
          <w:rFonts w:ascii="Arial" w:hAnsi="Arial" w:eastAsia="Arial" w:cs="Arial"/>
          <w:sz w:val="22"/>
          <w:szCs w:val="22"/>
          <w:lang w:val="es-PE"/>
        </w:rPr>
      </w:pPr>
      <w:r>
        <w:rPr>
          <w:rFonts w:ascii="Arial" w:hAnsi="Arial" w:eastAsia="Arial" w:cs="Arial"/>
          <w:b/>
          <w:bCs/>
          <w:sz w:val="22"/>
          <w:szCs w:val="22"/>
          <w:lang w:val="es-PE"/>
        </w:rPr>
        <w:t>Orientación al proceso de negocio:</w:t>
      </w:r>
      <w:r>
        <w:rPr>
          <w:rFonts w:ascii="Arial" w:hAnsi="Arial" w:eastAsia="Arial" w:cs="Arial"/>
          <w:sz w:val="22"/>
          <w:szCs w:val="22"/>
          <w:lang w:val="es-PE"/>
        </w:rPr>
        <w:t xml:space="preserve"> Kimball modela directamente el evento central de negocio (la notificación de un caso de dengue) rodeado de las dimensiones por las cuales los directivos de la DIRESA formulan sus preguntas (Tiempo, Ubicación, Paciente). Esto permite un desarrollo ágil de Data Marts departamentales altamente comprensibles para el usuario final.</w:t>
      </w:r>
    </w:p>
    <w:p w14:paraId="6094A3D8">
      <w:pPr>
        <w:spacing w:after="80"/>
        <w:rPr>
          <w:rFonts w:ascii="Arial" w:hAnsi="Arial" w:eastAsia="Arial" w:cs="Arial"/>
          <w:color w:val="000000" w:themeColor="text1" w:themeTint="FF"/>
          <w:sz w:val="22"/>
          <w:szCs w:val="22"/>
          <w:lang w:val="es-PE" w:eastAsia="es-PE" w:bidi="ar-SA"/>
          <w14:textFill>
            <w14:solidFill>
              <w14:schemeClr w14:val="tx1">
                <w14:lumMod w14:val="100000"/>
                <w14:lumOff w14:val="0"/>
              </w14:schemeClr>
            </w14:solidFill>
          </w14:textFill>
        </w:rPr>
      </w:pPr>
    </w:p>
    <w:p w14:paraId="7E1BD713">
      <w:pPr>
        <w:spacing w:before="240" w:beforeAutospacing="0" w:after="240" w:afterAutospacing="0"/>
      </w:pPr>
      <w:r>
        <w:rPr>
          <w:rFonts w:ascii="Arial" w:hAnsi="Arial" w:eastAsia="Arial" w:cs="Arial"/>
          <w:b/>
          <w:bCs/>
          <w:sz w:val="22"/>
          <w:szCs w:val="22"/>
          <w:lang w:val="es-PE"/>
        </w:rPr>
        <w:t>5.2 Diseño del Modelo Dimensional (Esquema en Estrella)</w:t>
      </w:r>
      <w:r>
        <w:rPr>
          <w:rFonts w:ascii="Arial" w:hAnsi="Arial" w:eastAsia="Arial" w:cs="Arial"/>
          <w:sz w:val="22"/>
          <w:szCs w:val="22"/>
          <w:lang w:val="es-PE"/>
        </w:rPr>
        <w:t xml:space="preserve"> </w:t>
      </w:r>
    </w:p>
    <w:p w14:paraId="420FEAF4">
      <w:pPr>
        <w:spacing w:before="240" w:beforeAutospacing="0" w:after="240" w:afterAutospacing="0"/>
      </w:pPr>
      <w:r>
        <w:drawing>
          <wp:anchor distT="0" distB="0" distL="114300" distR="114300" simplePos="0" relativeHeight="251659264" behindDoc="0" locked="0" layoutInCell="1" allowOverlap="1">
            <wp:simplePos x="0" y="0"/>
            <wp:positionH relativeFrom="column">
              <wp:posOffset>657225</wp:posOffset>
            </wp:positionH>
            <wp:positionV relativeFrom="paragraph">
              <wp:posOffset>238125</wp:posOffset>
            </wp:positionV>
            <wp:extent cx="4426585" cy="3064510"/>
            <wp:effectExtent l="114300" t="114300" r="107315" b="154940"/>
            <wp:wrapNone/>
            <wp:docPr id="883931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31527" name="drawing"/>
                    <pic:cNvPicPr>
                      <a:picLocks noChangeAspect="1"/>
                    </pic:cNvPicPr>
                  </pic:nvPicPr>
                  <pic:blipFill>
                    <a:blip r:embed="rId12"/>
                    <a:srcRect/>
                    <a:stretch>
                      <a:fillRect/>
                    </a:stretch>
                  </pic:blipFill>
                  <pic:spPr>
                    <a:xfrm>
                      <a:off x="0" y="0"/>
                      <a:ext cx="4426874" cy="306475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F26FAA4">
      <w:pPr>
        <w:spacing w:before="240" w:beforeAutospacing="0" w:after="240" w:afterAutospacing="0"/>
        <w:rPr>
          <w:rFonts w:ascii="Arial" w:hAnsi="Arial" w:eastAsia="Arial" w:cs="Arial"/>
          <w:sz w:val="22"/>
          <w:szCs w:val="22"/>
          <w:lang w:val="es-PE"/>
        </w:rPr>
      </w:pPr>
    </w:p>
    <w:p w14:paraId="644BA117">
      <w:pPr>
        <w:spacing w:before="240" w:beforeAutospacing="0" w:after="240" w:afterAutospacing="0"/>
        <w:rPr>
          <w:rFonts w:ascii="Arial" w:hAnsi="Arial" w:eastAsia="Arial" w:cs="Arial"/>
          <w:sz w:val="22"/>
          <w:szCs w:val="22"/>
          <w:lang w:val="es-PE"/>
        </w:rPr>
      </w:pPr>
    </w:p>
    <w:p w14:paraId="49888874">
      <w:pPr>
        <w:spacing w:before="240" w:beforeAutospacing="0" w:after="240" w:afterAutospacing="0"/>
        <w:rPr>
          <w:rFonts w:ascii="Arial" w:hAnsi="Arial" w:eastAsia="Arial" w:cs="Arial"/>
          <w:sz w:val="22"/>
          <w:szCs w:val="22"/>
          <w:lang w:val="es-PE"/>
        </w:rPr>
      </w:pPr>
    </w:p>
    <w:p w14:paraId="1C787B3D">
      <w:pPr>
        <w:spacing w:before="240" w:beforeAutospacing="0" w:after="240" w:afterAutospacing="0"/>
        <w:rPr>
          <w:rFonts w:ascii="Arial" w:hAnsi="Arial" w:eastAsia="Arial" w:cs="Arial"/>
          <w:sz w:val="22"/>
          <w:szCs w:val="22"/>
          <w:lang w:val="es-PE"/>
        </w:rPr>
      </w:pPr>
    </w:p>
    <w:p w14:paraId="36CFE1F9">
      <w:pPr>
        <w:spacing w:before="240" w:beforeAutospacing="0" w:after="240" w:afterAutospacing="0"/>
        <w:rPr>
          <w:rFonts w:ascii="Arial" w:hAnsi="Arial" w:eastAsia="Arial" w:cs="Arial"/>
          <w:sz w:val="22"/>
          <w:szCs w:val="22"/>
          <w:lang w:val="es-PE"/>
        </w:rPr>
      </w:pPr>
    </w:p>
    <w:p w14:paraId="3FBB7220">
      <w:pPr>
        <w:spacing w:before="240" w:beforeAutospacing="0" w:after="240" w:afterAutospacing="0"/>
      </w:pPr>
    </w:p>
    <w:p w14:paraId="57D648A5">
      <w:pPr>
        <w:spacing w:before="240" w:beforeAutospacing="0" w:after="240" w:afterAutospacing="0"/>
        <w:rPr>
          <w:rFonts w:ascii="Arial" w:hAnsi="Arial" w:eastAsia="Arial" w:cs="Arial"/>
          <w:sz w:val="22"/>
          <w:szCs w:val="22"/>
          <w:lang w:val="es-PE"/>
        </w:rPr>
      </w:pPr>
    </w:p>
    <w:p w14:paraId="1F85EBAB">
      <w:pPr>
        <w:spacing w:before="240" w:beforeAutospacing="0" w:after="240" w:afterAutospacing="0"/>
        <w:rPr>
          <w:rFonts w:ascii="Arial" w:hAnsi="Arial" w:eastAsia="Arial" w:cs="Arial"/>
          <w:sz w:val="22"/>
          <w:szCs w:val="22"/>
          <w:lang w:val="es-PE"/>
        </w:rPr>
      </w:pPr>
    </w:p>
    <w:p w14:paraId="4B9A65F1">
      <w:pPr>
        <w:spacing w:before="240" w:beforeAutospacing="0" w:after="240" w:afterAutospacing="0"/>
        <w:rPr>
          <w:rFonts w:ascii="Arial" w:hAnsi="Arial" w:eastAsia="Arial" w:cs="Arial"/>
          <w:sz w:val="22"/>
          <w:szCs w:val="22"/>
          <w:lang w:val="es-PE"/>
        </w:rPr>
      </w:pPr>
    </w:p>
    <w:p w14:paraId="4711B564">
      <w:pPr>
        <w:spacing w:before="240" w:beforeAutospacing="0" w:after="240" w:afterAutospacing="0"/>
        <w:rPr>
          <w:rFonts w:ascii="Arial" w:hAnsi="Arial" w:eastAsia="Arial" w:cs="Arial"/>
          <w:sz w:val="22"/>
          <w:szCs w:val="22"/>
          <w:lang w:val="es-PE"/>
        </w:rPr>
      </w:pPr>
    </w:p>
    <w:p w14:paraId="3FD1864B">
      <w:pPr>
        <w:spacing w:before="240" w:beforeAutospacing="0" w:after="240" w:afterAutospacing="0"/>
      </w:pPr>
      <w:r>
        <w:rPr>
          <w:rFonts w:ascii="Arial" w:hAnsi="Arial" w:eastAsia="Arial" w:cs="Arial"/>
          <w:sz w:val="22"/>
          <w:szCs w:val="22"/>
          <w:lang w:val="es-PE"/>
        </w:rPr>
        <w:t>Se diseñó un esquema en estrella (</w:t>
      </w:r>
      <w:r>
        <w:rPr>
          <w:rFonts w:ascii="Consolas" w:hAnsi="Consolas" w:eastAsia="Consolas" w:cs="Consolas"/>
          <w:sz w:val="22"/>
          <w:szCs w:val="22"/>
          <w:lang w:val="es-PE"/>
        </w:rPr>
        <w:t>DIRESA_LaLibertad_DWH</w:t>
      </w:r>
      <w:r>
        <w:rPr>
          <w:rFonts w:ascii="Arial" w:hAnsi="Arial" w:eastAsia="Arial" w:cs="Arial"/>
          <w:sz w:val="22"/>
          <w:szCs w:val="22"/>
          <w:lang w:val="es-PE"/>
        </w:rPr>
        <w:t>) compuesto por una tabla de hechos central y cuatro tablas de dimensiones desnormalizadas, utilizando claves sustitutas (Surrogate Keys) numéricas (</w:t>
      </w:r>
      <w:r>
        <w:rPr>
          <w:rFonts w:ascii="Consolas" w:hAnsi="Consolas" w:eastAsia="Consolas" w:cs="Consolas"/>
          <w:sz w:val="22"/>
          <w:szCs w:val="22"/>
          <w:lang w:val="es-PE"/>
        </w:rPr>
        <w:t>IDENTITY</w:t>
      </w:r>
      <w:r>
        <w:rPr>
          <w:rFonts w:ascii="Arial" w:hAnsi="Arial" w:eastAsia="Arial" w:cs="Arial"/>
          <w:sz w:val="22"/>
          <w:szCs w:val="22"/>
          <w:lang w:val="es-PE"/>
        </w:rPr>
        <w:t>) para optimizar el indexado.</w:t>
      </w:r>
    </w:p>
    <w:p w14:paraId="6EFD3E69">
      <w:pPr>
        <w:pStyle w:val="20"/>
        <w:numPr>
          <w:ilvl w:val="0"/>
          <w:numId w:val="5"/>
        </w:numPr>
        <w:spacing w:before="240" w:beforeAutospacing="0" w:after="240" w:afterAutospacing="0"/>
        <w:rPr>
          <w:rFonts w:ascii="Arial" w:hAnsi="Arial" w:eastAsia="Arial" w:cs="Arial"/>
          <w:b/>
          <w:bCs/>
          <w:sz w:val="22"/>
          <w:szCs w:val="22"/>
          <w:lang w:val="es-PE"/>
        </w:rPr>
      </w:pPr>
      <w:r>
        <w:rPr>
          <w:rFonts w:ascii="Arial" w:hAnsi="Arial" w:eastAsia="Arial" w:cs="Arial"/>
          <w:b/>
          <w:bCs/>
          <w:sz w:val="22"/>
          <w:szCs w:val="22"/>
          <w:lang w:val="es-PE"/>
        </w:rPr>
        <w:t>Tabla de Hechos (</w:t>
      </w:r>
      <w:r>
        <w:rPr>
          <w:rFonts w:ascii="Consolas" w:hAnsi="Consolas" w:eastAsia="Consolas" w:cs="Consolas"/>
          <w:b/>
          <w:bCs/>
          <w:sz w:val="22"/>
          <w:szCs w:val="22"/>
          <w:lang w:val="es-PE"/>
        </w:rPr>
        <w:t>FactCasoDengue</w:t>
      </w:r>
      <w:r>
        <w:rPr>
          <w:rFonts w:ascii="Arial" w:hAnsi="Arial" w:eastAsia="Arial" w:cs="Arial"/>
          <w:b/>
          <w:bCs/>
          <w:sz w:val="22"/>
          <w:szCs w:val="22"/>
          <w:lang w:val="es-PE"/>
        </w:rPr>
        <w:t>):</w:t>
      </w:r>
    </w:p>
    <w:p w14:paraId="2630A83B">
      <w:pPr>
        <w:pStyle w:val="20"/>
        <w:numPr>
          <w:ilvl w:val="1"/>
          <w:numId w:val="5"/>
        </w:numPr>
        <w:spacing w:before="240" w:beforeAutospacing="0" w:after="240" w:afterAutospacing="0"/>
        <w:rPr>
          <w:rFonts w:ascii="Arial" w:hAnsi="Arial" w:eastAsia="Arial" w:cs="Arial"/>
          <w:sz w:val="22"/>
          <w:szCs w:val="22"/>
          <w:lang w:val="es-PE"/>
        </w:rPr>
      </w:pPr>
      <w:r>
        <w:rPr>
          <w:rFonts w:ascii="Arial" w:hAnsi="Arial" w:eastAsia="Arial" w:cs="Arial"/>
          <w:i/>
          <w:iCs/>
          <w:sz w:val="22"/>
          <w:szCs w:val="22"/>
          <w:lang w:val="es-PE"/>
        </w:rPr>
        <w:t>Granularidad:</w:t>
      </w:r>
      <w:r>
        <w:rPr>
          <w:rFonts w:ascii="Arial" w:hAnsi="Arial" w:eastAsia="Arial" w:cs="Arial"/>
          <w:sz w:val="22"/>
          <w:szCs w:val="22"/>
          <w:lang w:val="es-PE"/>
        </w:rPr>
        <w:t xml:space="preserve"> Un registro representa la notificación individual de un caso clínico de dengue.</w:t>
      </w:r>
    </w:p>
    <w:p w14:paraId="099F89AE">
      <w:pPr>
        <w:pStyle w:val="20"/>
        <w:numPr>
          <w:ilvl w:val="1"/>
          <w:numId w:val="5"/>
        </w:numPr>
        <w:spacing w:before="240" w:beforeAutospacing="0" w:after="240" w:afterAutospacing="0"/>
        <w:rPr>
          <w:rFonts w:ascii="Arial" w:hAnsi="Arial" w:eastAsia="Arial" w:cs="Arial"/>
          <w:sz w:val="22"/>
          <w:szCs w:val="22"/>
          <w:lang w:val="es-PE"/>
        </w:rPr>
      </w:pPr>
      <w:r>
        <w:rPr>
          <w:rFonts w:ascii="Arial" w:hAnsi="Arial" w:eastAsia="Arial" w:cs="Arial"/>
          <w:i/>
          <w:iCs/>
          <w:sz w:val="22"/>
          <w:szCs w:val="22"/>
          <w:lang w:val="es-PE"/>
        </w:rPr>
        <w:t>Métricas:</w:t>
      </w:r>
      <w:r>
        <w:rPr>
          <w:rFonts w:ascii="Arial" w:hAnsi="Arial" w:eastAsia="Arial" w:cs="Arial"/>
          <w:sz w:val="22"/>
          <w:szCs w:val="22"/>
          <w:lang w:val="es-PE"/>
        </w:rPr>
        <w:t xml:space="preserve"> </w:t>
      </w:r>
      <w:r>
        <w:rPr>
          <w:rFonts w:ascii="Consolas" w:hAnsi="Consolas" w:eastAsia="Consolas" w:cs="Consolas"/>
          <w:sz w:val="22"/>
          <w:szCs w:val="22"/>
          <w:lang w:val="es-PE"/>
        </w:rPr>
        <w:t>CantidadCasos</w:t>
      </w:r>
      <w:r>
        <w:rPr>
          <w:rFonts w:ascii="Arial" w:hAnsi="Arial" w:eastAsia="Arial" w:cs="Arial"/>
          <w:sz w:val="22"/>
          <w:szCs w:val="22"/>
          <w:lang w:val="es-PE"/>
        </w:rPr>
        <w:t xml:space="preserve"> (valor por defecto 1, facilita agregaciones como </w:t>
      </w:r>
      <w:r>
        <w:rPr>
          <w:rFonts w:ascii="Consolas" w:hAnsi="Consolas" w:eastAsia="Consolas" w:cs="Consolas"/>
          <w:sz w:val="22"/>
          <w:szCs w:val="22"/>
          <w:lang w:val="es-PE"/>
        </w:rPr>
        <w:t>COUNT</w:t>
      </w:r>
      <w:r>
        <w:rPr>
          <w:rFonts w:ascii="Arial" w:hAnsi="Arial" w:eastAsia="Arial" w:cs="Arial"/>
          <w:sz w:val="22"/>
          <w:szCs w:val="22"/>
          <w:lang w:val="es-PE"/>
        </w:rPr>
        <w:t xml:space="preserve"> o </w:t>
      </w:r>
      <w:r>
        <w:rPr>
          <w:rFonts w:ascii="Consolas" w:hAnsi="Consolas" w:eastAsia="Consolas" w:cs="Consolas"/>
          <w:sz w:val="22"/>
          <w:szCs w:val="22"/>
          <w:lang w:val="es-PE"/>
        </w:rPr>
        <w:t>SUM</w:t>
      </w:r>
      <w:r>
        <w:rPr>
          <w:rFonts w:ascii="Arial" w:hAnsi="Arial" w:eastAsia="Arial" w:cs="Arial"/>
          <w:sz w:val="22"/>
          <w:szCs w:val="22"/>
          <w:lang w:val="es-PE"/>
        </w:rPr>
        <w:t xml:space="preserve">) y </w:t>
      </w:r>
      <w:r>
        <w:rPr>
          <w:rFonts w:ascii="Consolas" w:hAnsi="Consolas" w:eastAsia="Consolas" w:cs="Consolas"/>
          <w:sz w:val="22"/>
          <w:szCs w:val="22"/>
          <w:lang w:val="es-PE"/>
        </w:rPr>
        <w:t>EdadReal</w:t>
      </w:r>
      <w:r>
        <w:rPr>
          <w:rFonts w:ascii="Arial" w:hAnsi="Arial" w:eastAsia="Arial" w:cs="Arial"/>
          <w:sz w:val="22"/>
          <w:szCs w:val="22"/>
          <w:lang w:val="es-PE"/>
        </w:rPr>
        <w:t xml:space="preserve"> (para cálculos estadísticos de promedios o medianas).</w:t>
      </w:r>
    </w:p>
    <w:p w14:paraId="0B59E237">
      <w:pPr>
        <w:pStyle w:val="20"/>
        <w:numPr>
          <w:ilvl w:val="1"/>
          <w:numId w:val="5"/>
        </w:numPr>
        <w:spacing w:before="240" w:beforeAutospacing="0" w:after="240" w:afterAutospacing="0"/>
        <w:rPr>
          <w:rFonts w:ascii="Arial" w:hAnsi="Arial" w:eastAsia="Arial" w:cs="Arial"/>
          <w:sz w:val="22"/>
          <w:szCs w:val="22"/>
          <w:lang w:val="es-PE"/>
        </w:rPr>
      </w:pPr>
      <w:r>
        <w:rPr>
          <w:rFonts w:ascii="Arial" w:hAnsi="Arial" w:eastAsia="Arial" w:cs="Arial"/>
          <w:i/>
          <w:iCs/>
          <w:sz w:val="22"/>
          <w:szCs w:val="22"/>
          <w:lang w:val="es-PE"/>
        </w:rPr>
        <w:t>Claves Foráneas:</w:t>
      </w:r>
      <w:r>
        <w:rPr>
          <w:rFonts w:ascii="Arial" w:hAnsi="Arial" w:eastAsia="Arial" w:cs="Arial"/>
          <w:sz w:val="22"/>
          <w:szCs w:val="22"/>
          <w:lang w:val="es-PE"/>
        </w:rPr>
        <w:t xml:space="preserve"> Conecta con las 4 dimensiones mediante sus claves sustitutas.</w:t>
      </w:r>
    </w:p>
    <w:p w14:paraId="68BD07E9">
      <w:pPr>
        <w:pStyle w:val="20"/>
        <w:numPr>
          <w:ilvl w:val="0"/>
          <w:numId w:val="5"/>
        </w:numPr>
        <w:spacing w:before="240" w:beforeAutospacing="0" w:after="240" w:afterAutospacing="0"/>
        <w:rPr>
          <w:rFonts w:ascii="Arial" w:hAnsi="Arial" w:eastAsia="Arial" w:cs="Arial"/>
          <w:b/>
          <w:bCs/>
          <w:sz w:val="22"/>
          <w:szCs w:val="22"/>
          <w:lang w:val="es-PE"/>
        </w:rPr>
      </w:pPr>
      <w:r>
        <w:rPr>
          <w:rFonts w:ascii="Arial" w:hAnsi="Arial" w:eastAsia="Arial" w:cs="Arial"/>
          <w:b/>
          <w:bCs/>
          <w:sz w:val="22"/>
          <w:szCs w:val="22"/>
          <w:lang w:val="es-PE"/>
        </w:rPr>
        <w:t>Tablas de Dimensión:</w:t>
      </w:r>
    </w:p>
    <w:p w14:paraId="1088B9DC">
      <w:pPr>
        <w:pStyle w:val="20"/>
        <w:numPr>
          <w:ilvl w:val="1"/>
          <w:numId w:val="5"/>
        </w:numPr>
        <w:spacing w:before="240" w:beforeAutospacing="0" w:after="240" w:afterAutospacing="0"/>
        <w:rPr>
          <w:rFonts w:ascii="Arial" w:hAnsi="Arial" w:eastAsia="Arial" w:cs="Arial"/>
          <w:sz w:val="22"/>
          <w:szCs w:val="22"/>
          <w:lang w:val="es-PE"/>
        </w:rPr>
      </w:pPr>
      <w:r>
        <w:rPr>
          <w:rFonts w:ascii="Consolas" w:hAnsi="Consolas" w:eastAsia="Consolas" w:cs="Consolas"/>
          <w:sz w:val="22"/>
          <w:szCs w:val="22"/>
          <w:lang w:val="es-PE"/>
        </w:rPr>
        <w:t>DimUbicacion</w:t>
      </w:r>
      <w:r>
        <w:rPr>
          <w:rFonts w:ascii="Arial" w:hAnsi="Arial" w:eastAsia="Arial" w:cs="Arial"/>
          <w:sz w:val="22"/>
          <w:szCs w:val="22"/>
          <w:lang w:val="es-PE"/>
        </w:rPr>
        <w:t>: Aplana la jerarquía geográfica (Departamento, Provincia, Distrito, DIRESA) eliminando la relación 1:N que existía en el modelo 3FN.</w:t>
      </w:r>
    </w:p>
    <w:p w14:paraId="191763FE">
      <w:pPr>
        <w:pStyle w:val="20"/>
        <w:numPr>
          <w:ilvl w:val="1"/>
          <w:numId w:val="5"/>
        </w:numPr>
        <w:spacing w:before="240" w:beforeAutospacing="0" w:after="240" w:afterAutospacing="0"/>
        <w:rPr>
          <w:rFonts w:ascii="Arial" w:hAnsi="Arial" w:eastAsia="Arial" w:cs="Arial"/>
          <w:sz w:val="22"/>
          <w:szCs w:val="22"/>
          <w:lang w:val="es-PE"/>
        </w:rPr>
      </w:pPr>
      <w:r>
        <w:rPr>
          <w:rFonts w:ascii="Consolas" w:hAnsi="Consolas" w:eastAsia="Consolas" w:cs="Consolas"/>
          <w:sz w:val="22"/>
          <w:szCs w:val="22"/>
          <w:lang w:val="es-PE"/>
        </w:rPr>
        <w:t>DimDemografia</w:t>
      </w:r>
      <w:r>
        <w:rPr>
          <w:rFonts w:ascii="Arial" w:hAnsi="Arial" w:eastAsia="Arial" w:cs="Arial"/>
          <w:sz w:val="22"/>
          <w:szCs w:val="22"/>
          <w:lang w:val="es-PE"/>
        </w:rPr>
        <w:t xml:space="preserve">: Almacena el texto descriptivo del </w:t>
      </w:r>
      <w:r>
        <w:rPr>
          <w:rFonts w:ascii="Consolas" w:hAnsi="Consolas" w:eastAsia="Consolas" w:cs="Consolas"/>
          <w:sz w:val="22"/>
          <w:szCs w:val="22"/>
          <w:lang w:val="es-PE"/>
        </w:rPr>
        <w:t>Sexo</w:t>
      </w:r>
      <w:r>
        <w:rPr>
          <w:rFonts w:ascii="Arial" w:hAnsi="Arial" w:eastAsia="Arial" w:cs="Arial"/>
          <w:sz w:val="22"/>
          <w:szCs w:val="22"/>
          <w:lang w:val="es-PE"/>
        </w:rPr>
        <w:t xml:space="preserve"> y el </w:t>
      </w:r>
      <w:r>
        <w:rPr>
          <w:rFonts w:ascii="Consolas" w:hAnsi="Consolas" w:eastAsia="Consolas" w:cs="Consolas"/>
          <w:sz w:val="22"/>
          <w:szCs w:val="22"/>
          <w:lang w:val="es-PE"/>
        </w:rPr>
        <w:t>GrupoEtario</w:t>
      </w:r>
      <w:r>
        <w:rPr>
          <w:rFonts w:ascii="Arial" w:hAnsi="Arial" w:eastAsia="Arial" w:cs="Arial"/>
          <w:sz w:val="22"/>
          <w:szCs w:val="22"/>
          <w:lang w:val="es-PE"/>
        </w:rPr>
        <w:t xml:space="preserve"> (pre-procesado mediante la función escalar </w:t>
      </w:r>
      <w:r>
        <w:rPr>
          <w:rFonts w:ascii="Consolas" w:hAnsi="Consolas" w:eastAsia="Consolas" w:cs="Consolas"/>
          <w:sz w:val="22"/>
          <w:szCs w:val="22"/>
          <w:lang w:val="es-PE"/>
        </w:rPr>
        <w:t>fn_ClasificarGrupoEtario</w:t>
      </w:r>
      <w:r>
        <w:rPr>
          <w:rFonts w:ascii="Arial" w:hAnsi="Arial" w:eastAsia="Arial" w:cs="Arial"/>
          <w:sz w:val="22"/>
          <w:szCs w:val="22"/>
          <w:lang w:val="es-PE"/>
        </w:rPr>
        <w:t>), evitando cálculos en tiempo de consulta.</w:t>
      </w:r>
    </w:p>
    <w:p w14:paraId="0BDCFE38">
      <w:pPr>
        <w:pStyle w:val="20"/>
        <w:numPr>
          <w:ilvl w:val="1"/>
          <w:numId w:val="5"/>
        </w:numPr>
        <w:spacing w:before="240" w:beforeAutospacing="0" w:after="240" w:afterAutospacing="0"/>
        <w:rPr>
          <w:rFonts w:ascii="Arial" w:hAnsi="Arial" w:eastAsia="Arial" w:cs="Arial"/>
          <w:sz w:val="22"/>
          <w:szCs w:val="22"/>
          <w:lang w:val="es-PE"/>
        </w:rPr>
      </w:pPr>
      <w:r>
        <w:rPr>
          <w:rFonts w:ascii="Consolas" w:hAnsi="Consolas" w:eastAsia="Consolas" w:cs="Consolas"/>
          <w:sz w:val="22"/>
          <w:szCs w:val="22"/>
          <w:lang w:val="es-PE"/>
        </w:rPr>
        <w:t>DimTiempo</w:t>
      </w:r>
      <w:r>
        <w:rPr>
          <w:rFonts w:ascii="Arial" w:hAnsi="Arial" w:eastAsia="Arial" w:cs="Arial"/>
          <w:sz w:val="22"/>
          <w:szCs w:val="22"/>
          <w:lang w:val="es-PE"/>
        </w:rPr>
        <w:t>: Catálogo de los periodos epidemiológicos (Año y Semana).</w:t>
      </w:r>
    </w:p>
    <w:p w14:paraId="7B7CD80B">
      <w:pPr>
        <w:pStyle w:val="20"/>
        <w:numPr>
          <w:ilvl w:val="1"/>
          <w:numId w:val="5"/>
        </w:numPr>
        <w:spacing w:before="240" w:beforeAutospacing="0" w:after="240" w:afterAutospacing="0"/>
        <w:rPr>
          <w:rFonts w:ascii="Arial" w:hAnsi="Arial" w:eastAsia="Arial" w:cs="Arial"/>
          <w:sz w:val="22"/>
          <w:szCs w:val="22"/>
          <w:lang w:val="es-PE"/>
        </w:rPr>
      </w:pPr>
      <w:r>
        <w:rPr>
          <w:rFonts w:ascii="Consolas" w:hAnsi="Consolas" w:eastAsia="Consolas" w:cs="Consolas"/>
          <w:sz w:val="22"/>
          <w:szCs w:val="22"/>
          <w:lang w:val="es-PE"/>
        </w:rPr>
        <w:t>DimDiagnostico</w:t>
      </w:r>
      <w:r>
        <w:rPr>
          <w:rFonts w:ascii="Arial" w:hAnsi="Arial" w:eastAsia="Arial" w:cs="Arial"/>
          <w:sz w:val="22"/>
          <w:szCs w:val="22"/>
          <w:lang w:val="es-PE"/>
        </w:rPr>
        <w:t>: Contiene la descripción de la forma clínica del dengue según su código CIE-10 (ej. A97.0).</w:t>
      </w:r>
    </w:p>
    <w:p w14:paraId="0C969FC2">
      <w:pPr>
        <w:spacing w:after="80"/>
        <w:rPr>
          <w:rFonts w:ascii="Arial" w:hAnsi="Arial" w:eastAsia="Arial" w:cs="Arial"/>
          <w:color w:val="000000" w:themeColor="text1" w:themeTint="FF"/>
          <w:sz w:val="22"/>
          <w:szCs w:val="22"/>
          <w:lang w:val="es-PE" w:eastAsia="es-PE" w:bidi="ar-SA"/>
          <w14:textFill>
            <w14:solidFill>
              <w14:schemeClr w14:val="tx1">
                <w14:lumMod w14:val="100000"/>
                <w14:lumOff w14:val="0"/>
              </w14:schemeClr>
            </w14:solidFill>
          </w14:textFill>
        </w:rPr>
      </w:pPr>
    </w:p>
    <w:p w14:paraId="50A73DC2">
      <w:pPr>
        <w:spacing w:before="240" w:beforeAutospacing="0" w:after="240" w:afterAutospacing="0"/>
      </w:pPr>
      <w:r>
        <w:rPr>
          <w:rFonts w:ascii="Arial" w:hAnsi="Arial" w:eastAsia="Arial" w:cs="Arial"/>
          <w:b/>
          <w:bCs/>
          <w:sz w:val="22"/>
          <w:szCs w:val="22"/>
          <w:lang w:val="es-PE"/>
        </w:rPr>
        <w:t>5.3 Implementación del Proceso ETL (SQL Server Integration Services - SSIS)</w:t>
      </w:r>
      <w:r>
        <w:rPr>
          <w:rFonts w:ascii="Arial" w:hAnsi="Arial" w:eastAsia="Arial" w:cs="Arial"/>
          <w:sz w:val="22"/>
          <w:szCs w:val="22"/>
          <w:lang w:val="es-PE"/>
        </w:rPr>
        <w:t xml:space="preserve"> </w:t>
      </w:r>
    </w:p>
    <w:p w14:paraId="7219BBAE">
      <w:pPr>
        <w:spacing w:before="240" w:beforeAutospacing="0" w:after="240" w:afterAutospacing="0"/>
      </w:pPr>
      <w:r>
        <w:rPr>
          <w:rFonts w:ascii="Arial" w:hAnsi="Arial" w:eastAsia="Arial" w:cs="Arial"/>
          <w:sz w:val="22"/>
          <w:szCs w:val="22"/>
          <w:lang w:val="es-PE"/>
        </w:rPr>
        <w:t>Para poblar el Data Warehouse, se construyó un flujo de datos (ETL) en Visual Studio utilizando Integration Services (SSIS), separando estrictamente la conexión de origen (</w:t>
      </w:r>
      <w:r>
        <w:rPr>
          <w:rFonts w:ascii="Consolas" w:hAnsi="Consolas" w:eastAsia="Consolas" w:cs="Consolas"/>
          <w:sz w:val="22"/>
          <w:szCs w:val="22"/>
          <w:lang w:val="es-PE"/>
        </w:rPr>
        <w:t>DIRESA_LaLibertad_Dengue</w:t>
      </w:r>
      <w:r>
        <w:rPr>
          <w:rFonts w:ascii="Arial" w:hAnsi="Arial" w:eastAsia="Arial" w:cs="Arial"/>
          <w:sz w:val="22"/>
          <w:szCs w:val="22"/>
          <w:lang w:val="es-PE"/>
        </w:rPr>
        <w:t>) de la de destino (</w:t>
      </w:r>
      <w:r>
        <w:rPr>
          <w:rFonts w:ascii="Consolas" w:hAnsi="Consolas" w:eastAsia="Consolas" w:cs="Consolas"/>
          <w:sz w:val="22"/>
          <w:szCs w:val="22"/>
          <w:lang w:val="es-PE"/>
        </w:rPr>
        <w:t>DIRESA_LaLibertad_DWH</w:t>
      </w:r>
      <w:r>
        <w:rPr>
          <w:rFonts w:ascii="Arial" w:hAnsi="Arial" w:eastAsia="Arial" w:cs="Arial"/>
          <w:sz w:val="22"/>
          <w:szCs w:val="22"/>
          <w:lang w:val="es-PE"/>
        </w:rPr>
        <w:t>). El proceso se dividió en dos fases:</w:t>
      </w:r>
    </w:p>
    <w:p w14:paraId="62B38F57">
      <w:pPr>
        <w:pStyle w:val="20"/>
        <w:numPr>
          <w:ilvl w:val="0"/>
          <w:numId w:val="6"/>
        </w:numPr>
        <w:spacing w:before="240" w:beforeAutospacing="0" w:after="240" w:afterAutospacing="0"/>
        <w:rPr>
          <w:rFonts w:ascii="Arial" w:hAnsi="Arial" w:eastAsia="Arial" w:cs="Arial"/>
          <w:sz w:val="22"/>
          <w:szCs w:val="22"/>
          <w:lang w:val="es-PE"/>
        </w:rPr>
      </w:pPr>
      <w:r>
        <w:rPr>
          <w:rFonts w:ascii="Arial" w:hAnsi="Arial" w:eastAsia="Arial" w:cs="Arial"/>
          <w:b/>
          <w:bCs/>
          <w:sz w:val="22"/>
          <w:szCs w:val="22"/>
          <w:lang w:val="es-PE"/>
        </w:rPr>
        <w:t>Carga de Dimensiones (Deduplicación):</w:t>
      </w:r>
      <w:r>
        <w:rPr>
          <w:rFonts w:ascii="Arial" w:hAnsi="Arial" w:eastAsia="Arial" w:cs="Arial"/>
          <w:sz w:val="22"/>
          <w:szCs w:val="22"/>
          <w:lang w:val="es-PE"/>
        </w:rPr>
        <w:t xml:space="preserve"> Se implementaron tareas de flujo de datos (</w:t>
      </w:r>
      <w:r>
        <w:rPr>
          <w:rFonts w:ascii="Arial" w:hAnsi="Arial" w:eastAsia="Arial" w:cs="Arial"/>
          <w:i/>
          <w:iCs/>
          <w:sz w:val="22"/>
          <w:szCs w:val="22"/>
          <w:lang w:val="es-PE"/>
        </w:rPr>
        <w:t>Data Flow Tasks</w:t>
      </w:r>
      <w:r>
        <w:rPr>
          <w:rFonts w:ascii="Arial" w:hAnsi="Arial" w:eastAsia="Arial" w:cs="Arial"/>
          <w:sz w:val="22"/>
          <w:szCs w:val="22"/>
          <w:lang w:val="es-PE"/>
        </w:rPr>
        <w:t xml:space="preserve">) para extraer los catálogos únicos desde la base de datos transaccional utilizando consultas </w:t>
      </w:r>
      <w:r>
        <w:rPr>
          <w:rFonts w:ascii="Consolas" w:hAnsi="Consolas" w:eastAsia="Consolas" w:cs="Consolas"/>
          <w:sz w:val="22"/>
          <w:szCs w:val="22"/>
          <w:lang w:val="es-PE"/>
        </w:rPr>
        <w:t>SELECT DISTINCT</w:t>
      </w:r>
      <w:r>
        <w:rPr>
          <w:rFonts w:ascii="Arial" w:hAnsi="Arial" w:eastAsia="Arial" w:cs="Arial"/>
          <w:sz w:val="22"/>
          <w:szCs w:val="22"/>
          <w:lang w:val="es-PE"/>
        </w:rPr>
        <w:t>. Esto garantizó la creación de dimensiones limpias y pobladas antes de procesar los eventos epidemiológicos, asegurando la integridad referencial.</w:t>
      </w:r>
    </w:p>
    <w:p w14:paraId="30159E17">
      <w:pPr>
        <w:spacing w:before="240" w:beforeAutospacing="0" w:after="240" w:afterAutospacing="0"/>
        <w:rPr>
          <w:rFonts w:ascii="Arial" w:hAnsi="Arial" w:eastAsia="Arial" w:cs="Arial"/>
          <w:sz w:val="22"/>
          <w:szCs w:val="22"/>
          <w:lang w:val="es-PE"/>
        </w:rPr>
      </w:pPr>
    </w:p>
    <w:p w14:paraId="552B270B">
      <w:pPr>
        <w:pStyle w:val="20"/>
        <w:numPr>
          <w:ilvl w:val="0"/>
          <w:numId w:val="6"/>
        </w:numPr>
        <w:spacing w:before="240" w:beforeAutospacing="0" w:after="240" w:afterAutospacing="0"/>
        <w:rPr>
          <w:rFonts w:ascii="Arial" w:hAnsi="Arial" w:eastAsia="Arial" w:cs="Arial"/>
          <w:sz w:val="22"/>
          <w:szCs w:val="22"/>
          <w:lang w:val="es-PE"/>
        </w:rPr>
      </w:pPr>
      <w:r>
        <w:rPr>
          <w:rFonts w:ascii="Arial" w:hAnsi="Arial" w:eastAsia="Arial" w:cs="Arial"/>
          <w:b/>
          <w:bCs/>
          <w:sz w:val="22"/>
          <w:szCs w:val="22"/>
          <w:lang w:val="es-PE"/>
        </w:rPr>
        <w:t>Carga de la Tabla de Hechos (Transformación y Búsqueda):</w:t>
      </w:r>
      <w:r>
        <w:rPr>
          <w:rFonts w:ascii="Arial" w:hAnsi="Arial" w:eastAsia="Arial" w:cs="Arial"/>
          <w:sz w:val="22"/>
          <w:szCs w:val="22"/>
          <w:lang w:val="es-PE"/>
        </w:rPr>
        <w:t xml:space="preserve"> Se extrajo el histórico completo de casos de la tabla </w:t>
      </w:r>
      <w:r>
        <w:rPr>
          <w:rFonts w:ascii="Consolas" w:hAnsi="Consolas" w:eastAsia="Consolas" w:cs="Consolas"/>
          <w:sz w:val="22"/>
          <w:szCs w:val="22"/>
          <w:lang w:val="es-PE"/>
        </w:rPr>
        <w:t>CasoVigilancia</w:t>
      </w:r>
      <w:r>
        <w:rPr>
          <w:rFonts w:ascii="Arial" w:hAnsi="Arial" w:eastAsia="Arial" w:cs="Arial"/>
          <w:sz w:val="22"/>
          <w:szCs w:val="22"/>
          <w:lang w:val="es-PE"/>
        </w:rPr>
        <w:t xml:space="preserve">. Para el cruce de datos, en lugar de utilizar operaciones </w:t>
      </w:r>
      <w:r>
        <w:rPr>
          <w:rFonts w:ascii="Consolas" w:hAnsi="Consolas" w:eastAsia="Consolas" w:cs="Consolas"/>
          <w:sz w:val="22"/>
          <w:szCs w:val="22"/>
          <w:lang w:val="es-PE"/>
        </w:rPr>
        <w:t>JOIN</w:t>
      </w:r>
      <w:r>
        <w:rPr>
          <w:rFonts w:ascii="Arial" w:hAnsi="Arial" w:eastAsia="Arial" w:cs="Arial"/>
          <w:sz w:val="22"/>
          <w:szCs w:val="22"/>
          <w:lang w:val="es-PE"/>
        </w:rPr>
        <w:t xml:space="preserve"> en el motor de base de datos fuente, se emplearon 4 componentes de </w:t>
      </w:r>
      <w:r>
        <w:rPr>
          <w:rFonts w:ascii="Arial" w:hAnsi="Arial" w:eastAsia="Arial" w:cs="Arial"/>
          <w:b/>
          <w:bCs/>
          <w:sz w:val="22"/>
          <w:szCs w:val="22"/>
          <w:lang w:val="es-PE"/>
        </w:rPr>
        <w:t>Búsqueda (Lookup)</w:t>
      </w:r>
      <w:r>
        <w:rPr>
          <w:rFonts w:ascii="Arial" w:hAnsi="Arial" w:eastAsia="Arial" w:cs="Arial"/>
          <w:sz w:val="22"/>
          <w:szCs w:val="22"/>
          <w:lang w:val="es-PE"/>
        </w:rPr>
        <w:t xml:space="preserve"> en cascada dentro de SSIS. Estas transformaciones operaron en memoria RAM para cruzar las claves naturales (ej. código ubigeo, año/semana) con el Data Warehouse y capturar las Claves Sustitutas (</w:t>
      </w:r>
      <w:r>
        <w:rPr>
          <w:rFonts w:ascii="Consolas" w:hAnsi="Consolas" w:eastAsia="Consolas" w:cs="Consolas"/>
          <w:sz w:val="22"/>
          <w:szCs w:val="22"/>
          <w:lang w:val="es-PE"/>
        </w:rPr>
        <w:t>UbicacionKey</w:t>
      </w:r>
      <w:r>
        <w:rPr>
          <w:rFonts w:ascii="Arial" w:hAnsi="Arial" w:eastAsia="Arial" w:cs="Arial"/>
          <w:sz w:val="22"/>
          <w:szCs w:val="22"/>
          <w:lang w:val="es-PE"/>
        </w:rPr>
        <w:t xml:space="preserve">, </w:t>
      </w:r>
      <w:r>
        <w:rPr>
          <w:rFonts w:ascii="Consolas" w:hAnsi="Consolas" w:eastAsia="Consolas" w:cs="Consolas"/>
          <w:sz w:val="22"/>
          <w:szCs w:val="22"/>
          <w:lang w:val="es-PE"/>
        </w:rPr>
        <w:t>TiempoKey</w:t>
      </w:r>
      <w:r>
        <w:rPr>
          <w:rFonts w:ascii="Arial" w:hAnsi="Arial" w:eastAsia="Arial" w:cs="Arial"/>
          <w:sz w:val="22"/>
          <w:szCs w:val="22"/>
          <w:lang w:val="es-PE"/>
        </w:rPr>
        <w:t xml:space="preserve">, etc.) correspondientes a cada caso. Finalmente, los registros transformados se insertaron mediante un destino OLE DB en </w:t>
      </w:r>
      <w:r>
        <w:rPr>
          <w:rFonts w:ascii="Consolas" w:hAnsi="Consolas" w:eastAsia="Consolas" w:cs="Consolas"/>
          <w:sz w:val="22"/>
          <w:szCs w:val="22"/>
          <w:lang w:val="es-PE"/>
        </w:rPr>
        <w:t>FactCasoDengue</w:t>
      </w:r>
      <w:r>
        <w:rPr>
          <w:rFonts w:ascii="Arial" w:hAnsi="Arial" w:eastAsia="Arial" w:cs="Arial"/>
          <w:sz w:val="22"/>
          <w:szCs w:val="22"/>
          <w:lang w:val="es-PE"/>
        </w:rPr>
        <w:t>.</w:t>
      </w:r>
    </w:p>
    <w:p w14:paraId="63BD6CE0">
      <w:pPr>
        <w:spacing w:before="240" w:beforeAutospacing="0" w:after="240" w:afterAutospacing="0"/>
        <w:rPr>
          <w:rFonts w:ascii="Arial" w:hAnsi="Arial" w:eastAsia="Arial" w:cs="Arial"/>
          <w:sz w:val="22"/>
          <w:szCs w:val="22"/>
          <w:lang w:val="es-PE"/>
        </w:rPr>
      </w:pPr>
    </w:p>
    <w:p w14:paraId="439ACEFC">
      <w:pPr>
        <w:spacing w:before="240" w:beforeAutospacing="0" w:after="240" w:afterAutospacing="0"/>
      </w:pPr>
      <w:r>
        <w:rPr>
          <w:rFonts w:ascii="Arial" w:hAnsi="Arial" w:eastAsia="Arial" w:cs="Arial"/>
          <w:b/>
          <w:bCs/>
          <w:sz w:val="22"/>
          <w:szCs w:val="22"/>
          <w:lang w:val="es-PE"/>
        </w:rPr>
        <w:t>5.4 Evidencia y Log de Ejecución</w:t>
      </w:r>
      <w:r>
        <w:rPr>
          <w:rFonts w:ascii="Arial" w:hAnsi="Arial" w:eastAsia="Arial" w:cs="Arial"/>
          <w:sz w:val="22"/>
          <w:szCs w:val="22"/>
          <w:lang w:val="es-PE"/>
        </w:rPr>
        <w:t xml:space="preserve"> </w:t>
      </w:r>
    </w:p>
    <w:p w14:paraId="53DA4C6A">
      <w:pPr>
        <w:spacing w:before="240" w:beforeAutospacing="0" w:after="240" w:afterAutospacing="0"/>
      </w:pPr>
      <w:r>
        <w:rPr>
          <w:rFonts w:ascii="Arial" w:hAnsi="Arial" w:eastAsia="Arial" w:cs="Arial"/>
          <w:sz w:val="22"/>
          <w:szCs w:val="22"/>
          <w:lang w:val="es-PE"/>
        </w:rPr>
        <w:t>La ejecución del paquete de Integration Services completó la extracción, transformación y carga sin errores de validación, procesando exitosamente los registros desde la capa transaccional hacia el modelo dimensional en estrella.</w:t>
      </w:r>
    </w:p>
    <w:p w14:paraId="3DD63BF8">
      <w:pPr>
        <w:spacing w:before="240" w:beforeAutospacing="0" w:after="240" w:afterAutospacing="0"/>
        <w:rPr>
          <w:rFonts w:ascii="Arial" w:hAnsi="Arial" w:eastAsia="Arial" w:cs="Arial"/>
          <w:sz w:val="22"/>
          <w:szCs w:val="22"/>
          <w:lang w:val="es-PE"/>
        </w:rPr>
      </w:pPr>
    </w:p>
    <w:p w14:paraId="42CE4E26">
      <w:pPr>
        <w:spacing w:before="240" w:beforeAutospacing="0" w:after="240" w:afterAutospacing="0"/>
        <w:rPr>
          <w:rFonts w:ascii="Arial" w:hAnsi="Arial" w:eastAsia="Arial" w:cs="Arial"/>
          <w:sz w:val="22"/>
          <w:szCs w:val="22"/>
          <w:lang w:val="es-PE"/>
        </w:rPr>
      </w:pPr>
    </w:p>
    <w:p w14:paraId="193005EA">
      <w:pPr>
        <w:spacing w:before="240" w:beforeAutospacing="0" w:after="240" w:afterAutospacing="0"/>
        <w:rPr>
          <w:rFonts w:ascii="Arial" w:hAnsi="Arial" w:eastAsia="Arial" w:cs="Arial"/>
          <w:sz w:val="22"/>
          <w:szCs w:val="22"/>
          <w:lang w:val="es-PE"/>
        </w:rPr>
      </w:pPr>
    </w:p>
    <w:p w14:paraId="7624F9E0">
      <w:pPr>
        <w:spacing w:before="240" w:beforeAutospacing="0" w:after="240" w:afterAutospacing="0"/>
        <w:rPr>
          <w:rFonts w:ascii="Arial" w:hAnsi="Arial" w:eastAsia="Arial" w:cs="Arial"/>
          <w:sz w:val="22"/>
          <w:szCs w:val="22"/>
          <w:lang w:val="es-PE"/>
        </w:rPr>
      </w:pPr>
      <w:r>
        <w:drawing>
          <wp:anchor distT="0" distB="0" distL="114300" distR="114300" simplePos="0" relativeHeight="251659264" behindDoc="0" locked="0" layoutInCell="1" allowOverlap="1">
            <wp:simplePos x="0" y="0"/>
            <wp:positionH relativeFrom="column">
              <wp:posOffset>742950</wp:posOffset>
            </wp:positionH>
            <wp:positionV relativeFrom="paragraph">
              <wp:posOffset>114300</wp:posOffset>
            </wp:positionV>
            <wp:extent cx="4433570" cy="3127375"/>
            <wp:effectExtent l="0" t="0" r="0" b="0"/>
            <wp:wrapNone/>
            <wp:docPr id="793227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7262" name="drawing"/>
                    <pic:cNvPicPr>
                      <a:picLocks noChangeAspect="1"/>
                    </pic:cNvPicPr>
                  </pic:nvPicPr>
                  <pic:blipFill>
                    <a:blip r:embed="rId13"/>
                    <a:stretch>
                      <a:fillRect/>
                    </a:stretch>
                  </pic:blipFill>
                  <pic:spPr>
                    <a:xfrm>
                      <a:off x="0" y="0"/>
                      <a:ext cx="4433281" cy="3127688"/>
                    </a:xfrm>
                    <a:prstGeom prst="rect">
                      <a:avLst/>
                    </a:prstGeom>
                  </pic:spPr>
                </pic:pic>
              </a:graphicData>
            </a:graphic>
          </wp:anchor>
        </w:drawing>
      </w:r>
    </w:p>
    <w:p w14:paraId="45432E8A">
      <w:pPr>
        <w:spacing w:before="240" w:beforeAutospacing="0" w:after="240" w:afterAutospacing="0"/>
        <w:rPr>
          <w:rFonts w:ascii="Arial" w:hAnsi="Arial" w:eastAsia="Arial" w:cs="Arial"/>
          <w:sz w:val="22"/>
          <w:szCs w:val="22"/>
          <w:lang w:val="es-PE"/>
        </w:rPr>
      </w:pPr>
    </w:p>
    <w:p w14:paraId="427EC4F0">
      <w:pPr>
        <w:spacing w:before="240" w:beforeAutospacing="0" w:after="240" w:afterAutospacing="0"/>
        <w:rPr>
          <w:rFonts w:ascii="Arial" w:hAnsi="Arial" w:eastAsia="Arial" w:cs="Arial"/>
          <w:sz w:val="22"/>
          <w:szCs w:val="22"/>
          <w:lang w:val="es-PE"/>
        </w:rPr>
      </w:pPr>
    </w:p>
    <w:p w14:paraId="423C5B1F">
      <w:pPr>
        <w:spacing w:before="240" w:beforeAutospacing="0" w:after="240" w:afterAutospacing="0"/>
        <w:rPr>
          <w:rFonts w:ascii="Arial" w:hAnsi="Arial" w:eastAsia="Arial" w:cs="Arial"/>
          <w:sz w:val="22"/>
          <w:szCs w:val="22"/>
          <w:lang w:val="es-PE"/>
        </w:rPr>
      </w:pPr>
    </w:p>
    <w:p w14:paraId="141D30D4">
      <w:pPr>
        <w:spacing w:before="240" w:beforeAutospacing="0" w:after="240" w:afterAutospacing="0"/>
        <w:rPr>
          <w:rFonts w:ascii="Arial" w:hAnsi="Arial" w:eastAsia="Arial" w:cs="Arial"/>
          <w:sz w:val="22"/>
          <w:szCs w:val="22"/>
          <w:lang w:val="es-PE"/>
        </w:rPr>
      </w:pPr>
    </w:p>
    <w:p w14:paraId="6D19B7AC">
      <w:pPr>
        <w:spacing w:before="240" w:beforeAutospacing="0" w:after="240" w:afterAutospacing="0"/>
        <w:rPr>
          <w:rFonts w:ascii="Arial" w:hAnsi="Arial" w:eastAsia="Arial" w:cs="Arial"/>
          <w:sz w:val="22"/>
          <w:szCs w:val="22"/>
          <w:lang w:val="es-PE"/>
        </w:rPr>
      </w:pPr>
    </w:p>
    <w:p w14:paraId="24840399">
      <w:pPr>
        <w:spacing w:before="240" w:beforeAutospacing="0" w:after="240" w:afterAutospacing="0"/>
        <w:rPr>
          <w:rFonts w:ascii="Arial" w:hAnsi="Arial" w:eastAsia="Arial" w:cs="Arial"/>
          <w:sz w:val="22"/>
          <w:szCs w:val="22"/>
          <w:lang w:val="es-PE"/>
        </w:rPr>
      </w:pPr>
    </w:p>
    <w:p w14:paraId="10EEB9E7">
      <w:pPr>
        <w:spacing w:before="240" w:beforeAutospacing="0" w:after="240" w:afterAutospacing="0"/>
        <w:rPr>
          <w:rFonts w:ascii="Arial" w:hAnsi="Arial" w:eastAsia="Arial" w:cs="Arial"/>
          <w:sz w:val="22"/>
          <w:szCs w:val="22"/>
          <w:lang w:val="es-PE"/>
        </w:rPr>
      </w:pPr>
    </w:p>
    <w:p w14:paraId="1D8B45D1">
      <w:pPr>
        <w:spacing w:before="240" w:beforeAutospacing="0" w:after="240" w:afterAutospacing="0"/>
        <w:rPr>
          <w:rFonts w:ascii="Arial" w:hAnsi="Arial" w:eastAsia="Arial" w:cs="Arial"/>
          <w:sz w:val="22"/>
          <w:szCs w:val="22"/>
          <w:lang w:val="es-PE"/>
        </w:rPr>
      </w:pPr>
    </w:p>
    <w:p w14:paraId="0047EEFC">
      <w:pPr>
        <w:spacing w:before="240" w:beforeAutospacing="0" w:after="240" w:afterAutospacing="0"/>
        <w:rPr>
          <w:rFonts w:ascii="Arial" w:hAnsi="Arial" w:eastAsia="Arial" w:cs="Arial"/>
          <w:sz w:val="22"/>
          <w:szCs w:val="22"/>
          <w:lang w:val="es-PE"/>
        </w:rPr>
      </w:pPr>
    </w:p>
    <w:p w14:paraId="1DC7A993">
      <w:pPr>
        <w:spacing w:before="240" w:beforeAutospacing="0" w:after="240" w:afterAutospacing="0"/>
        <w:rPr>
          <w:rFonts w:ascii="Arial" w:hAnsi="Arial" w:eastAsia="Arial" w:cs="Arial"/>
          <w:sz w:val="22"/>
          <w:szCs w:val="22"/>
          <w:lang w:val="es-PE"/>
        </w:rPr>
      </w:pPr>
    </w:p>
    <w:p w14:paraId="729CE4FC">
      <w:pPr>
        <w:spacing w:before="240" w:beforeAutospacing="0" w:after="240" w:afterAutospacing="0"/>
      </w:pPr>
      <w:r>
        <w:rPr>
          <w:rFonts w:ascii="Arial" w:hAnsi="Arial" w:eastAsia="Arial" w:cs="Arial"/>
          <w:sz w:val="22"/>
          <w:szCs w:val="22"/>
          <w:lang w:val="es-PE"/>
        </w:rPr>
        <w:t xml:space="preserve">                                         </w:t>
      </w:r>
      <w:r>
        <w:rPr>
          <w:rFonts w:ascii="Arial" w:hAnsi="Arial" w:eastAsia="Arial" w:cs="Arial"/>
          <w:i/>
          <w:iCs/>
          <w:sz w:val="18"/>
          <w:szCs w:val="18"/>
          <w:lang w:val="es-PE"/>
        </w:rPr>
        <w:t>Figura 1. Carga de Dimensiones en el Flujo de Control</w:t>
      </w:r>
    </w:p>
    <w:p w14:paraId="43F60D0E">
      <w:pPr>
        <w:spacing w:before="240" w:beforeAutospacing="0" w:after="240" w:afterAutospacing="0"/>
        <w:rPr>
          <w:rFonts w:ascii="Arial" w:hAnsi="Arial" w:eastAsia="Arial" w:cs="Arial"/>
          <w:i/>
          <w:iCs/>
          <w:sz w:val="18"/>
          <w:szCs w:val="18"/>
          <w:lang w:val="es-PE"/>
        </w:rPr>
      </w:pPr>
    </w:p>
    <w:p w14:paraId="06CB70D5">
      <w:pPr>
        <w:spacing w:before="240" w:beforeAutospacing="0" w:after="240" w:afterAutospacing="0"/>
        <w:rPr>
          <w:rFonts w:ascii="Arial" w:hAnsi="Arial" w:eastAsia="Arial" w:cs="Arial"/>
          <w:i/>
          <w:iCs/>
          <w:sz w:val="18"/>
          <w:szCs w:val="18"/>
          <w:lang w:val="es-PE"/>
        </w:rPr>
      </w:pPr>
    </w:p>
    <w:p w14:paraId="0B269061">
      <w:pPr>
        <w:spacing w:before="240" w:beforeAutospacing="0" w:after="240" w:afterAutospacing="0"/>
        <w:rPr>
          <w:rFonts w:ascii="Arial" w:hAnsi="Arial" w:eastAsia="Arial" w:cs="Arial"/>
          <w:i/>
          <w:iCs/>
          <w:sz w:val="18"/>
          <w:szCs w:val="18"/>
          <w:lang w:val="es-PE"/>
        </w:rPr>
      </w:pPr>
      <w:r>
        <w:drawing>
          <wp:anchor distT="0" distB="0" distL="114300" distR="114300" simplePos="0" relativeHeight="251659264" behindDoc="0" locked="0" layoutInCell="1" allowOverlap="1">
            <wp:simplePos x="0" y="0"/>
            <wp:positionH relativeFrom="column">
              <wp:posOffset>552450</wp:posOffset>
            </wp:positionH>
            <wp:positionV relativeFrom="paragraph">
              <wp:posOffset>104775</wp:posOffset>
            </wp:positionV>
            <wp:extent cx="4534535" cy="2439035"/>
            <wp:effectExtent l="0" t="0" r="0" b="0"/>
            <wp:wrapNone/>
            <wp:docPr id="979082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2188" name="drawing"/>
                    <pic:cNvPicPr>
                      <a:picLocks noChangeAspect="1"/>
                    </pic:cNvPicPr>
                  </pic:nvPicPr>
                  <pic:blipFill>
                    <a:blip r:embed="rId14"/>
                    <a:stretch>
                      <a:fillRect/>
                    </a:stretch>
                  </pic:blipFill>
                  <pic:spPr>
                    <a:xfrm>
                      <a:off x="0" y="0"/>
                      <a:ext cx="4534655" cy="2438740"/>
                    </a:xfrm>
                    <a:prstGeom prst="rect">
                      <a:avLst/>
                    </a:prstGeom>
                  </pic:spPr>
                </pic:pic>
              </a:graphicData>
            </a:graphic>
          </wp:anchor>
        </w:drawing>
      </w:r>
    </w:p>
    <w:p w14:paraId="710D3C7D">
      <w:pPr>
        <w:spacing w:before="240" w:beforeAutospacing="0" w:after="240" w:afterAutospacing="0"/>
        <w:rPr>
          <w:rFonts w:ascii="Arial" w:hAnsi="Arial" w:eastAsia="Arial" w:cs="Arial"/>
          <w:i/>
          <w:iCs/>
          <w:sz w:val="18"/>
          <w:szCs w:val="18"/>
          <w:lang w:val="es-PE"/>
        </w:rPr>
      </w:pPr>
    </w:p>
    <w:p w14:paraId="7B0B49E6">
      <w:pPr>
        <w:spacing w:before="240" w:beforeAutospacing="0" w:after="240" w:afterAutospacing="0"/>
        <w:rPr>
          <w:rFonts w:ascii="Arial" w:hAnsi="Arial" w:eastAsia="Arial" w:cs="Arial"/>
          <w:i/>
          <w:iCs/>
          <w:sz w:val="18"/>
          <w:szCs w:val="18"/>
          <w:lang w:val="es-PE"/>
        </w:rPr>
      </w:pPr>
    </w:p>
    <w:p w14:paraId="67037DC9">
      <w:pPr>
        <w:spacing w:before="240" w:beforeAutospacing="0" w:after="240" w:afterAutospacing="0"/>
        <w:rPr>
          <w:rFonts w:ascii="Arial" w:hAnsi="Arial" w:eastAsia="Arial" w:cs="Arial"/>
          <w:i/>
          <w:iCs/>
          <w:sz w:val="18"/>
          <w:szCs w:val="18"/>
          <w:lang w:val="es-PE"/>
        </w:rPr>
      </w:pPr>
    </w:p>
    <w:p w14:paraId="0256E87F">
      <w:pPr>
        <w:spacing w:before="240" w:beforeAutospacing="0" w:after="240" w:afterAutospacing="0"/>
        <w:rPr>
          <w:rFonts w:ascii="Arial" w:hAnsi="Arial" w:eastAsia="Arial" w:cs="Arial"/>
          <w:i/>
          <w:iCs/>
          <w:sz w:val="18"/>
          <w:szCs w:val="18"/>
          <w:lang w:val="es-PE"/>
        </w:rPr>
      </w:pPr>
    </w:p>
    <w:p w14:paraId="1A25315C">
      <w:pPr>
        <w:spacing w:before="240" w:beforeAutospacing="0" w:after="240" w:afterAutospacing="0"/>
        <w:rPr>
          <w:rFonts w:ascii="Arial" w:hAnsi="Arial" w:eastAsia="Arial" w:cs="Arial"/>
          <w:i/>
          <w:iCs/>
          <w:sz w:val="18"/>
          <w:szCs w:val="18"/>
          <w:lang w:val="es-PE"/>
        </w:rPr>
      </w:pPr>
    </w:p>
    <w:p w14:paraId="2961361D">
      <w:pPr>
        <w:spacing w:before="240" w:beforeAutospacing="0" w:after="240" w:afterAutospacing="0"/>
        <w:rPr>
          <w:rFonts w:ascii="Arial" w:hAnsi="Arial" w:eastAsia="Arial" w:cs="Arial"/>
          <w:i/>
          <w:iCs/>
          <w:sz w:val="18"/>
          <w:szCs w:val="18"/>
          <w:lang w:val="es-PE"/>
        </w:rPr>
      </w:pPr>
    </w:p>
    <w:p w14:paraId="4C3F3CA2">
      <w:pPr>
        <w:spacing w:before="240" w:beforeAutospacing="0" w:after="240" w:afterAutospacing="0"/>
        <w:rPr>
          <w:rFonts w:ascii="Arial" w:hAnsi="Arial" w:eastAsia="Arial" w:cs="Arial"/>
          <w:i/>
          <w:iCs/>
          <w:sz w:val="18"/>
          <w:szCs w:val="18"/>
          <w:lang w:val="es-PE"/>
        </w:rPr>
      </w:pPr>
    </w:p>
    <w:p w14:paraId="503B1835">
      <w:pPr>
        <w:spacing w:before="240" w:beforeAutospacing="0" w:after="240" w:afterAutospacing="0"/>
        <w:rPr>
          <w:rFonts w:ascii="Arial" w:hAnsi="Arial" w:eastAsia="Arial" w:cs="Arial"/>
          <w:i/>
          <w:iCs/>
          <w:sz w:val="18"/>
          <w:szCs w:val="18"/>
          <w:lang w:val="es-PE"/>
        </w:rPr>
      </w:pPr>
    </w:p>
    <w:p w14:paraId="776A846E">
      <w:pPr>
        <w:spacing w:before="240" w:beforeAutospacing="0" w:after="240" w:afterAutospacing="0"/>
      </w:pPr>
      <w:r>
        <w:rPr>
          <w:rFonts w:ascii="Arial" w:hAnsi="Arial" w:eastAsia="Arial" w:cs="Arial"/>
          <w:i/>
          <w:iCs/>
          <w:sz w:val="18"/>
          <w:szCs w:val="18"/>
          <w:lang w:val="es-PE"/>
        </w:rPr>
        <w:t xml:space="preserve">                                         Figura 2. Carga de Datos en la Dimensión Diagnostico</w:t>
      </w:r>
    </w:p>
    <w:p w14:paraId="44DD2F2F">
      <w:pPr>
        <w:spacing w:before="240" w:beforeAutospacing="0" w:after="240" w:afterAutospacing="0"/>
        <w:rPr>
          <w:rFonts w:ascii="Arial" w:hAnsi="Arial" w:eastAsia="Arial" w:cs="Arial"/>
          <w:i/>
          <w:iCs/>
          <w:sz w:val="18"/>
          <w:szCs w:val="18"/>
          <w:lang w:val="es-PE"/>
        </w:rPr>
      </w:pPr>
    </w:p>
    <w:p w14:paraId="6B775F4F">
      <w:pPr>
        <w:spacing w:before="240" w:beforeAutospacing="0" w:after="240" w:afterAutospacing="0"/>
        <w:rPr>
          <w:rFonts w:ascii="Arial" w:hAnsi="Arial" w:eastAsia="Arial" w:cs="Arial"/>
          <w:i/>
          <w:iCs/>
          <w:sz w:val="18"/>
          <w:szCs w:val="18"/>
          <w:lang w:val="es-PE"/>
        </w:rPr>
      </w:pPr>
    </w:p>
    <w:p w14:paraId="66ECC809">
      <w:pPr>
        <w:spacing w:before="240" w:beforeAutospacing="0" w:after="240" w:afterAutospacing="0"/>
        <w:rPr>
          <w:rFonts w:ascii="Arial" w:hAnsi="Arial" w:eastAsia="Arial" w:cs="Arial"/>
          <w:i/>
          <w:iCs/>
          <w:sz w:val="18"/>
          <w:szCs w:val="18"/>
          <w:lang w:val="es-PE"/>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95250</wp:posOffset>
            </wp:positionV>
            <wp:extent cx="5024755" cy="3897630"/>
            <wp:effectExtent l="0" t="0" r="0" b="0"/>
            <wp:wrapNone/>
            <wp:docPr id="1004717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7560" name="drawing"/>
                    <pic:cNvPicPr>
                      <a:picLocks noChangeAspect="1"/>
                    </pic:cNvPicPr>
                  </pic:nvPicPr>
                  <pic:blipFill>
                    <a:blip r:embed="rId15"/>
                    <a:stretch>
                      <a:fillRect/>
                    </a:stretch>
                  </pic:blipFill>
                  <pic:spPr>
                    <a:xfrm>
                      <a:off x="0" y="0"/>
                      <a:ext cx="5024774" cy="3897420"/>
                    </a:xfrm>
                    <a:prstGeom prst="rect">
                      <a:avLst/>
                    </a:prstGeom>
                  </pic:spPr>
                </pic:pic>
              </a:graphicData>
            </a:graphic>
          </wp:anchor>
        </w:drawing>
      </w:r>
    </w:p>
    <w:p w14:paraId="02559BCE">
      <w:pPr>
        <w:spacing w:before="240" w:beforeAutospacing="0" w:after="240" w:afterAutospacing="0"/>
        <w:rPr>
          <w:rFonts w:ascii="Arial" w:hAnsi="Arial" w:eastAsia="Arial" w:cs="Arial"/>
          <w:i/>
          <w:iCs/>
          <w:sz w:val="18"/>
          <w:szCs w:val="18"/>
          <w:lang w:val="es-PE"/>
        </w:rPr>
      </w:pPr>
    </w:p>
    <w:p w14:paraId="664B8F91">
      <w:pPr>
        <w:spacing w:before="240" w:beforeAutospacing="0" w:after="240" w:afterAutospacing="0"/>
        <w:rPr>
          <w:rFonts w:ascii="Arial" w:hAnsi="Arial" w:eastAsia="Arial" w:cs="Arial"/>
          <w:i/>
          <w:iCs/>
          <w:sz w:val="18"/>
          <w:szCs w:val="18"/>
          <w:lang w:val="es-PE"/>
        </w:rPr>
      </w:pPr>
    </w:p>
    <w:p w14:paraId="5486144D">
      <w:pPr>
        <w:spacing w:before="240" w:beforeAutospacing="0" w:after="240" w:afterAutospacing="0"/>
        <w:rPr>
          <w:rFonts w:ascii="Arial" w:hAnsi="Arial" w:eastAsia="Arial" w:cs="Arial"/>
          <w:i/>
          <w:iCs/>
          <w:sz w:val="18"/>
          <w:szCs w:val="18"/>
          <w:lang w:val="es-PE"/>
        </w:rPr>
      </w:pPr>
    </w:p>
    <w:p w14:paraId="580D6E03">
      <w:pPr>
        <w:spacing w:before="240" w:beforeAutospacing="0" w:after="240" w:afterAutospacing="0"/>
        <w:rPr>
          <w:rFonts w:ascii="Arial" w:hAnsi="Arial" w:eastAsia="Arial" w:cs="Arial"/>
          <w:i/>
          <w:iCs/>
          <w:sz w:val="18"/>
          <w:szCs w:val="18"/>
          <w:lang w:val="es-PE"/>
        </w:rPr>
      </w:pPr>
    </w:p>
    <w:p w14:paraId="5CB8F0B3">
      <w:pPr>
        <w:spacing w:before="240" w:beforeAutospacing="0" w:after="240" w:afterAutospacing="0"/>
        <w:rPr>
          <w:rFonts w:ascii="Arial" w:hAnsi="Arial" w:eastAsia="Arial" w:cs="Arial"/>
          <w:i/>
          <w:iCs/>
          <w:sz w:val="18"/>
          <w:szCs w:val="18"/>
          <w:lang w:val="es-PE"/>
        </w:rPr>
      </w:pPr>
    </w:p>
    <w:p w14:paraId="006723AE">
      <w:pPr>
        <w:spacing w:before="240" w:beforeAutospacing="0" w:after="240" w:afterAutospacing="0"/>
      </w:pPr>
      <w:r>
        <w:rPr>
          <w:rFonts w:ascii="Arial" w:hAnsi="Arial" w:eastAsia="Arial" w:cs="Arial"/>
          <w:i/>
          <w:iCs/>
          <w:sz w:val="18"/>
          <w:szCs w:val="18"/>
          <w:lang w:val="es-PE"/>
        </w:rPr>
        <w:t xml:space="preserve"> </w:t>
      </w:r>
    </w:p>
    <w:p w14:paraId="5659AB8B">
      <w:pPr>
        <w:spacing w:before="240" w:beforeAutospacing="0" w:after="240" w:afterAutospacing="0"/>
        <w:rPr>
          <w:rFonts w:ascii="Arial" w:hAnsi="Arial" w:eastAsia="Arial" w:cs="Arial"/>
          <w:i/>
          <w:iCs/>
          <w:sz w:val="18"/>
          <w:szCs w:val="18"/>
          <w:lang w:val="es-PE"/>
        </w:rPr>
      </w:pPr>
    </w:p>
    <w:p w14:paraId="46AF0E02">
      <w:pPr>
        <w:spacing w:before="240" w:beforeAutospacing="0" w:after="240" w:afterAutospacing="0"/>
        <w:rPr>
          <w:rFonts w:ascii="Arial" w:hAnsi="Arial" w:eastAsia="Arial" w:cs="Arial"/>
          <w:i/>
          <w:iCs/>
          <w:sz w:val="18"/>
          <w:szCs w:val="18"/>
          <w:lang w:val="es-PE"/>
        </w:rPr>
      </w:pPr>
    </w:p>
    <w:p w14:paraId="34150802">
      <w:pPr>
        <w:spacing w:before="240" w:beforeAutospacing="0" w:after="240" w:afterAutospacing="0"/>
        <w:rPr>
          <w:rFonts w:ascii="Arial" w:hAnsi="Arial" w:eastAsia="Arial" w:cs="Arial"/>
          <w:i/>
          <w:iCs/>
          <w:sz w:val="18"/>
          <w:szCs w:val="18"/>
          <w:lang w:val="es-PE"/>
        </w:rPr>
      </w:pPr>
    </w:p>
    <w:p w14:paraId="430D2EDA">
      <w:pPr>
        <w:spacing w:before="240" w:beforeAutospacing="0" w:after="240" w:afterAutospacing="0"/>
        <w:rPr>
          <w:rFonts w:ascii="Arial" w:hAnsi="Arial" w:eastAsia="Arial" w:cs="Arial"/>
          <w:i/>
          <w:iCs/>
          <w:sz w:val="18"/>
          <w:szCs w:val="18"/>
          <w:lang w:val="es-PE"/>
        </w:rPr>
      </w:pPr>
    </w:p>
    <w:p w14:paraId="6D3A1B1C">
      <w:pPr>
        <w:spacing w:before="240" w:beforeAutospacing="0" w:after="240" w:afterAutospacing="0"/>
        <w:rPr>
          <w:rFonts w:ascii="Arial" w:hAnsi="Arial" w:eastAsia="Arial" w:cs="Arial"/>
          <w:i/>
          <w:iCs/>
          <w:sz w:val="18"/>
          <w:szCs w:val="18"/>
          <w:lang w:val="es-PE"/>
        </w:rPr>
      </w:pPr>
    </w:p>
    <w:p w14:paraId="6EEE0160">
      <w:pPr>
        <w:spacing w:before="240" w:beforeAutospacing="0" w:after="240" w:afterAutospacing="0"/>
        <w:rPr>
          <w:rFonts w:ascii="Arial" w:hAnsi="Arial" w:eastAsia="Arial" w:cs="Arial"/>
          <w:i/>
          <w:iCs/>
          <w:sz w:val="18"/>
          <w:szCs w:val="18"/>
          <w:lang w:val="es-PE"/>
        </w:rPr>
      </w:pPr>
    </w:p>
    <w:p w14:paraId="3C64BE56">
      <w:pPr>
        <w:spacing w:before="240" w:beforeAutospacing="0" w:after="240" w:afterAutospacing="0"/>
        <w:rPr>
          <w:rFonts w:ascii="Arial" w:hAnsi="Arial" w:eastAsia="Arial" w:cs="Arial"/>
          <w:i/>
          <w:iCs/>
          <w:sz w:val="18"/>
          <w:szCs w:val="18"/>
          <w:lang w:val="es-PE"/>
        </w:rPr>
      </w:pPr>
    </w:p>
    <w:p w14:paraId="2B97E59B">
      <w:pPr>
        <w:spacing w:before="240" w:beforeAutospacing="0" w:after="240" w:afterAutospacing="0"/>
      </w:pPr>
      <w:r>
        <w:rPr>
          <w:rFonts w:ascii="Arial" w:hAnsi="Arial" w:eastAsia="Arial" w:cs="Arial"/>
          <w:i/>
          <w:iCs/>
          <w:sz w:val="18"/>
          <w:szCs w:val="18"/>
          <w:lang w:val="es-PE"/>
        </w:rPr>
        <w:t xml:space="preserve">                                     Figura 3. Carga de la Tabla de Hechos (Transformación y Búsqueda)</w:t>
      </w:r>
    </w:p>
    <w:p w14:paraId="4FA2AE18">
      <w:pPr>
        <w:spacing w:before="240" w:beforeAutospacing="0" w:after="240" w:afterAutospacing="0"/>
      </w:pPr>
      <w:r>
        <w:rPr>
          <w:rFonts w:ascii="Arial" w:hAnsi="Arial" w:eastAsia="Arial" w:cs="Arial"/>
          <w:b/>
          <w:bCs/>
          <w:sz w:val="22"/>
          <w:szCs w:val="22"/>
          <w:lang w:val="es-PE"/>
        </w:rPr>
        <w:t>Paso 6: Construcción de dashboard BI y análisis OLAP</w:t>
      </w:r>
    </w:p>
    <w:p w14:paraId="3C4931C1">
      <w:pPr>
        <w:spacing w:before="240" w:beforeAutospacing="0" w:after="240" w:afterAutospacing="0"/>
      </w:pPr>
      <w:r>
        <w:rPr>
          <w:rFonts w:ascii="Arial" w:hAnsi="Arial" w:eastAsia="Arial" w:cs="Arial"/>
          <w:b/>
          <w:bCs/>
          <w:sz w:val="22"/>
          <w:szCs w:val="22"/>
          <w:lang w:val="es-PE"/>
        </w:rPr>
        <w:t>6.1 Conexión y Modelado en Power BI</w:t>
      </w:r>
      <w:r>
        <w:rPr>
          <w:rFonts w:ascii="Arial" w:hAnsi="Arial" w:eastAsia="Arial" w:cs="Arial"/>
          <w:sz w:val="22"/>
          <w:szCs w:val="22"/>
          <w:lang w:val="es-PE"/>
        </w:rPr>
        <w:t xml:space="preserve"> </w:t>
      </w:r>
    </w:p>
    <w:p w14:paraId="1045A222">
      <w:pPr>
        <w:spacing w:before="240" w:beforeAutospacing="0" w:after="240" w:afterAutospacing="0"/>
      </w:pPr>
      <w:r>
        <w:rPr>
          <w:rFonts w:ascii="Arial" w:hAnsi="Arial" w:eastAsia="Arial" w:cs="Arial"/>
          <w:sz w:val="22"/>
          <w:szCs w:val="22"/>
          <w:lang w:val="es-PE"/>
        </w:rPr>
        <w:t>La capa de explotación analítica se implementó en Power BI Desktop, conectando la herramienta al repositorio local (</w:t>
      </w:r>
      <w:r>
        <w:rPr>
          <w:rFonts w:ascii="Consolas" w:hAnsi="Consolas" w:eastAsia="Consolas" w:cs="Consolas"/>
          <w:sz w:val="22"/>
          <w:szCs w:val="22"/>
          <w:lang w:val="es-PE"/>
        </w:rPr>
        <w:t>DIRESA_LaLibertad_DWH</w:t>
      </w:r>
      <w:r>
        <w:rPr>
          <w:rFonts w:ascii="Arial" w:hAnsi="Arial" w:eastAsia="Arial" w:cs="Arial"/>
          <w:sz w:val="22"/>
          <w:szCs w:val="22"/>
          <w:lang w:val="es-PE"/>
        </w:rPr>
        <w:t xml:space="preserve">) en modo de conectividad </w:t>
      </w:r>
      <w:r>
        <w:rPr>
          <w:rFonts w:ascii="Arial" w:hAnsi="Arial" w:eastAsia="Arial" w:cs="Arial"/>
          <w:i/>
          <w:iCs/>
          <w:sz w:val="22"/>
          <w:szCs w:val="22"/>
          <w:lang w:val="es-PE"/>
        </w:rPr>
        <w:t>Importar</w:t>
      </w:r>
      <w:r>
        <w:rPr>
          <w:rFonts w:ascii="Arial" w:hAnsi="Arial" w:eastAsia="Arial" w:cs="Arial"/>
          <w:sz w:val="22"/>
          <w:szCs w:val="22"/>
          <w:lang w:val="es-PE"/>
        </w:rPr>
        <w:t xml:space="preserve">. Esto permitió cargar la tabla de hechos </w:t>
      </w:r>
      <w:r>
        <w:rPr>
          <w:rFonts w:ascii="Consolas" w:hAnsi="Consolas" w:eastAsia="Consolas" w:cs="Consolas"/>
          <w:sz w:val="22"/>
          <w:szCs w:val="22"/>
          <w:lang w:val="es-PE"/>
        </w:rPr>
        <w:t>FactCasoDengue</w:t>
      </w:r>
      <w:r>
        <w:rPr>
          <w:rFonts w:ascii="Arial" w:hAnsi="Arial" w:eastAsia="Arial" w:cs="Arial"/>
          <w:sz w:val="22"/>
          <w:szCs w:val="22"/>
          <w:lang w:val="es-PE"/>
        </w:rPr>
        <w:t xml:space="preserve"> y las dimensiones desnormalizadas (</w:t>
      </w:r>
      <w:r>
        <w:rPr>
          <w:rFonts w:ascii="Consolas" w:hAnsi="Consolas" w:eastAsia="Consolas" w:cs="Consolas"/>
          <w:sz w:val="22"/>
          <w:szCs w:val="22"/>
          <w:lang w:val="es-PE"/>
        </w:rPr>
        <w:t>DimTiempo</w:t>
      </w:r>
      <w:r>
        <w:rPr>
          <w:rFonts w:ascii="Arial" w:hAnsi="Arial" w:eastAsia="Arial" w:cs="Arial"/>
          <w:sz w:val="22"/>
          <w:szCs w:val="22"/>
          <w:lang w:val="es-PE"/>
        </w:rPr>
        <w:t xml:space="preserve">, </w:t>
      </w:r>
      <w:r>
        <w:rPr>
          <w:rFonts w:ascii="Consolas" w:hAnsi="Consolas" w:eastAsia="Consolas" w:cs="Consolas"/>
          <w:sz w:val="22"/>
          <w:szCs w:val="22"/>
          <w:lang w:val="es-PE"/>
        </w:rPr>
        <w:t>DimUbicacion</w:t>
      </w:r>
      <w:r>
        <w:rPr>
          <w:rFonts w:ascii="Arial" w:hAnsi="Arial" w:eastAsia="Arial" w:cs="Arial"/>
          <w:sz w:val="22"/>
          <w:szCs w:val="22"/>
          <w:lang w:val="es-PE"/>
        </w:rPr>
        <w:t xml:space="preserve">, </w:t>
      </w:r>
      <w:r>
        <w:rPr>
          <w:rFonts w:ascii="Consolas" w:hAnsi="Consolas" w:eastAsia="Consolas" w:cs="Consolas"/>
          <w:sz w:val="22"/>
          <w:szCs w:val="22"/>
          <w:lang w:val="es-PE"/>
        </w:rPr>
        <w:t>DimDemografia</w:t>
      </w:r>
      <w:r>
        <w:rPr>
          <w:rFonts w:ascii="Arial" w:hAnsi="Arial" w:eastAsia="Arial" w:cs="Arial"/>
          <w:sz w:val="22"/>
          <w:szCs w:val="22"/>
          <w:lang w:val="es-PE"/>
        </w:rPr>
        <w:t xml:space="preserve">, </w:t>
      </w:r>
      <w:r>
        <w:rPr>
          <w:rFonts w:ascii="Consolas" w:hAnsi="Consolas" w:eastAsia="Consolas" w:cs="Consolas"/>
          <w:sz w:val="22"/>
          <w:szCs w:val="22"/>
          <w:lang w:val="es-PE"/>
        </w:rPr>
        <w:t>DimDiagnostico</w:t>
      </w:r>
      <w:r>
        <w:rPr>
          <w:rFonts w:ascii="Arial" w:hAnsi="Arial" w:eastAsia="Arial" w:cs="Arial"/>
          <w:sz w:val="22"/>
          <w:szCs w:val="22"/>
          <w:lang w:val="es-PE"/>
        </w:rPr>
        <w:t>) directamente en la memoria RAM, optimizando la velocidad de respuesta gráfica frente a los 876,686 registros históricos procesados. Las relaciones (1 a N) se formaron automáticamente mediante las claves sustitutas generadas en la fase ETL del Paso 5.</w:t>
      </w:r>
    </w:p>
    <w:p w14:paraId="477B373F">
      <w:pPr>
        <w:spacing w:before="240" w:beforeAutospacing="0" w:after="240" w:afterAutospacing="0"/>
      </w:pPr>
      <w:r>
        <w:rPr>
          <w:rFonts w:ascii="Arial" w:hAnsi="Arial" w:eastAsia="Arial" w:cs="Arial"/>
          <w:b/>
          <w:bCs/>
          <w:sz w:val="22"/>
          <w:szCs w:val="22"/>
          <w:lang w:val="es-PE"/>
        </w:rPr>
        <w:t>6.2 KPIs, Metadatos y Gobernanza de Datos</w:t>
      </w:r>
      <w:r>
        <w:rPr>
          <w:rFonts w:ascii="Arial" w:hAnsi="Arial" w:eastAsia="Arial" w:cs="Arial"/>
          <w:sz w:val="22"/>
          <w:szCs w:val="22"/>
          <w:lang w:val="es-PE"/>
        </w:rPr>
        <w:t xml:space="preserve"> </w:t>
      </w:r>
    </w:p>
    <w:p w14:paraId="16276501">
      <w:pPr>
        <w:spacing w:before="240" w:beforeAutospacing="0" w:after="240" w:afterAutospacing="0"/>
      </w:pPr>
      <w:r>
        <w:rPr>
          <w:rFonts w:ascii="Arial" w:hAnsi="Arial" w:eastAsia="Arial" w:cs="Arial"/>
          <w:sz w:val="22"/>
          <w:szCs w:val="22"/>
          <w:lang w:val="es-PE"/>
        </w:rPr>
        <w:t>Para responder a las necesidades analíticas del equipo de gestión de datos de la DIRESA La Libertad, se reemplazaron los cálculos implícitos por medidas explícitas en lenguaje DAX. A continuación, se presenta la matriz de gobernanza y metadatos para los tres Indicadores Clave de Desempeño (KPIs) implementados en el dashboard:</w:t>
      </w:r>
    </w:p>
    <w:tbl>
      <w:tblPr>
        <w:tblStyle w:val="9"/>
        <w:tblW w:w="0" w:type="auto"/>
        <w:tblInd w:w="0" w:type="dxa"/>
        <w:tblLayout w:type="autofit"/>
        <w:tblCellMar>
          <w:top w:w="0" w:type="dxa"/>
          <w:left w:w="108" w:type="dxa"/>
          <w:bottom w:w="0" w:type="dxa"/>
          <w:right w:w="108" w:type="dxa"/>
        </w:tblCellMar>
      </w:tblPr>
      <w:tblGrid>
        <w:gridCol w:w="1493"/>
        <w:gridCol w:w="1890"/>
        <w:gridCol w:w="4074"/>
        <w:gridCol w:w="2263"/>
      </w:tblGrid>
      <w:tr w14:paraId="3BA85DD7">
        <w:tblPrEx>
          <w:tblCellMar>
            <w:top w:w="0" w:type="dxa"/>
            <w:left w:w="108" w:type="dxa"/>
            <w:bottom w:w="0" w:type="dxa"/>
            <w:right w:w="108" w:type="dxa"/>
          </w:tblCellMar>
        </w:tblPrEx>
        <w:trPr>
          <w:trHeight w:val="300" w:hRule="atLeast"/>
        </w:trPr>
        <w:tc>
          <w:tcPr>
            <w:tcW w:w="14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8DB257">
            <w:pPr>
              <w:spacing w:before="0" w:beforeAutospacing="0" w:after="0" w:afterAutospacing="0"/>
            </w:pPr>
            <w:r>
              <w:rPr>
                <w:b/>
                <w:bCs/>
                <w:color w:val="1F1F1F"/>
              </w:rPr>
              <w:t>Nombre del KPI</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66E5C0">
            <w:pPr>
              <w:spacing w:before="0" w:beforeAutospacing="0" w:after="0" w:afterAutospacing="0"/>
            </w:pPr>
            <w:r>
              <w:rPr>
                <w:b/>
                <w:bCs/>
                <w:color w:val="1F1F1F"/>
              </w:rPr>
              <w:t>Fuente de Datos</w:t>
            </w:r>
          </w:p>
        </w:tc>
        <w:tc>
          <w:tcPr>
            <w:tcW w:w="31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D8F954">
            <w:pPr>
              <w:spacing w:before="0" w:beforeAutospacing="0" w:after="0" w:afterAutospacing="0"/>
            </w:pPr>
            <w:r>
              <w:rPr>
                <w:b/>
                <w:bCs/>
                <w:color w:val="1F1F1F"/>
              </w:rPr>
              <w:t>Fórmula de Cálculo (DAX)</w:t>
            </w:r>
          </w:p>
        </w:tc>
        <w:tc>
          <w:tcPr>
            <w:tcW w:w="28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4A38CC">
            <w:pPr>
              <w:spacing w:before="0" w:beforeAutospacing="0" w:after="0" w:afterAutospacing="0"/>
            </w:pPr>
            <w:r>
              <w:rPr>
                <w:b/>
                <w:bCs/>
                <w:color w:val="1F1F1F"/>
              </w:rPr>
              <w:t>Criterios de Calidad</w:t>
            </w:r>
          </w:p>
        </w:tc>
      </w:tr>
      <w:tr w14:paraId="5576E5E4">
        <w:tblPrEx>
          <w:tblCellMar>
            <w:top w:w="0" w:type="dxa"/>
            <w:left w:w="108" w:type="dxa"/>
            <w:bottom w:w="0" w:type="dxa"/>
            <w:right w:w="108" w:type="dxa"/>
          </w:tblCellMar>
        </w:tblPrEx>
        <w:trPr>
          <w:trHeight w:val="300" w:hRule="atLeast"/>
        </w:trPr>
        <w:tc>
          <w:tcPr>
            <w:tcW w:w="14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FC0880">
            <w:pPr>
              <w:spacing w:before="0" w:beforeAutospacing="0" w:after="0" w:afterAutospacing="0"/>
            </w:pPr>
            <w:r>
              <w:rPr>
                <w:b/>
                <w:bCs/>
                <w:color w:val="1F1F1F"/>
              </w:rPr>
              <w:t>Carga de Morbilidad Histórica (Total Casos)</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14C594">
            <w:pPr>
              <w:spacing w:before="0" w:beforeAutospacing="0" w:after="0" w:afterAutospacing="0"/>
            </w:pPr>
            <w:r>
              <w:rPr>
                <w:color w:val="1F1F1F"/>
              </w:rPr>
              <w:t xml:space="preserve">Tabla </w:t>
            </w:r>
            <w:r>
              <w:rPr>
                <w:rFonts w:ascii="Consolas" w:hAnsi="Consolas" w:eastAsia="Consolas" w:cs="Consolas"/>
                <w:b w:val="0"/>
                <w:bCs w:val="0"/>
                <w:i w:val="0"/>
                <w:iCs w:val="0"/>
                <w:color w:val="1F1F1F"/>
                <w:sz w:val="22"/>
                <w:szCs w:val="22"/>
              </w:rPr>
              <w:t>FactCasoDengue</w:t>
            </w:r>
          </w:p>
        </w:tc>
        <w:tc>
          <w:tcPr>
            <w:tcW w:w="31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F87683">
            <w:pPr>
              <w:spacing w:before="0" w:beforeAutospacing="0" w:after="0" w:afterAutospacing="0"/>
            </w:pPr>
            <w:r>
              <w:rPr>
                <w:rFonts w:ascii="Consolas" w:hAnsi="Consolas" w:eastAsia="Consolas" w:cs="Consolas"/>
                <w:b w:val="0"/>
                <w:bCs w:val="0"/>
                <w:i w:val="0"/>
                <w:iCs w:val="0"/>
                <w:color w:val="1F1F1F"/>
                <w:sz w:val="22"/>
                <w:szCs w:val="22"/>
              </w:rPr>
              <w:t>Total Casos = SUM(FactCasoDengue[CantidadCasos])</w:t>
            </w:r>
          </w:p>
        </w:tc>
        <w:tc>
          <w:tcPr>
            <w:tcW w:w="28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2A658E">
            <w:pPr>
              <w:spacing w:before="0" w:beforeAutospacing="0" w:after="0" w:afterAutospacing="0"/>
            </w:pPr>
            <w:r>
              <w:rPr>
                <w:color w:val="1F1F1F"/>
              </w:rPr>
              <w:t xml:space="preserve">Datos depurados mediante el procedimiento </w:t>
            </w:r>
            <w:r>
              <w:rPr>
                <w:rFonts w:ascii="Consolas" w:hAnsi="Consolas" w:eastAsia="Consolas" w:cs="Consolas"/>
                <w:b w:val="0"/>
                <w:bCs w:val="0"/>
                <w:i w:val="0"/>
                <w:iCs w:val="0"/>
                <w:color w:val="1F1F1F"/>
                <w:sz w:val="22"/>
                <w:szCs w:val="22"/>
              </w:rPr>
              <w:t>sp_ValidarStaging</w:t>
            </w:r>
            <w:r>
              <w:rPr>
                <w:color w:val="1F1F1F"/>
              </w:rPr>
              <w:t>. Exclusión de duplicados exactos (152,737 filas).</w:t>
            </w:r>
          </w:p>
        </w:tc>
      </w:tr>
      <w:tr w14:paraId="048E6EB2">
        <w:tblPrEx>
          <w:tblCellMar>
            <w:top w:w="0" w:type="dxa"/>
            <w:left w:w="108" w:type="dxa"/>
            <w:bottom w:w="0" w:type="dxa"/>
            <w:right w:w="108" w:type="dxa"/>
          </w:tblCellMar>
        </w:tblPrEx>
        <w:trPr>
          <w:trHeight w:val="300" w:hRule="atLeast"/>
        </w:trPr>
        <w:tc>
          <w:tcPr>
            <w:tcW w:w="14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E6F119">
            <w:pPr>
              <w:spacing w:before="0" w:beforeAutospacing="0" w:after="0" w:afterAutospacing="0"/>
            </w:pPr>
            <w:r>
              <w:rPr>
                <w:b/>
                <w:bCs/>
                <w:color w:val="1F1F1F"/>
              </w:rPr>
              <w:t>Perfil Demográfico de Riesgo (Edad Promedio)</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E2130B">
            <w:pPr>
              <w:spacing w:before="0" w:beforeAutospacing="0" w:after="0" w:afterAutospacing="0"/>
            </w:pPr>
            <w:r>
              <w:rPr>
                <w:color w:val="1F1F1F"/>
              </w:rPr>
              <w:t xml:space="preserve">Tabla </w:t>
            </w:r>
            <w:r>
              <w:rPr>
                <w:rFonts w:ascii="Consolas" w:hAnsi="Consolas" w:eastAsia="Consolas" w:cs="Consolas"/>
                <w:b w:val="0"/>
                <w:bCs w:val="0"/>
                <w:i w:val="0"/>
                <w:iCs w:val="0"/>
                <w:color w:val="1F1F1F"/>
                <w:sz w:val="22"/>
                <w:szCs w:val="22"/>
              </w:rPr>
              <w:t>FactCasoDengue</w:t>
            </w:r>
          </w:p>
        </w:tc>
        <w:tc>
          <w:tcPr>
            <w:tcW w:w="31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22D090">
            <w:pPr>
              <w:spacing w:before="0" w:beforeAutospacing="0" w:after="0" w:afterAutospacing="0"/>
            </w:pPr>
            <w:r>
              <w:rPr>
                <w:rFonts w:ascii="Consolas" w:hAnsi="Consolas" w:eastAsia="Consolas" w:cs="Consolas"/>
                <w:b w:val="0"/>
                <w:bCs w:val="0"/>
                <w:i w:val="0"/>
                <w:iCs w:val="0"/>
                <w:color w:val="1F1F1F"/>
                <w:sz w:val="22"/>
                <w:szCs w:val="22"/>
              </w:rPr>
              <w:t>Edad Promedio = AVERAGE(FactCasoDengue[EdadReal])</w:t>
            </w:r>
          </w:p>
        </w:tc>
        <w:tc>
          <w:tcPr>
            <w:tcW w:w="28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DF16E9">
            <w:pPr>
              <w:spacing w:before="0" w:beforeAutospacing="0" w:after="0" w:afterAutospacing="0"/>
            </w:pPr>
            <w:r>
              <w:rPr>
                <w:color w:val="1F1F1F"/>
              </w:rPr>
              <w:t>Exclusión de registros con edades físicamente imposibles en el ETL inicial (anulación de datos &gt;120 años según tipo_edad).</w:t>
            </w:r>
          </w:p>
        </w:tc>
      </w:tr>
      <w:tr w14:paraId="44C9FC36">
        <w:tblPrEx>
          <w:tblCellMar>
            <w:top w:w="0" w:type="dxa"/>
            <w:left w:w="108" w:type="dxa"/>
            <w:bottom w:w="0" w:type="dxa"/>
            <w:right w:w="108" w:type="dxa"/>
          </w:tblCellMar>
        </w:tblPrEx>
        <w:trPr>
          <w:trHeight w:val="300" w:hRule="atLeast"/>
        </w:trPr>
        <w:tc>
          <w:tcPr>
            <w:tcW w:w="14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B38D12">
            <w:pPr>
              <w:spacing w:before="0" w:beforeAutospacing="0" w:after="0" w:afterAutospacing="0"/>
            </w:pPr>
            <w:r>
              <w:rPr>
                <w:b/>
                <w:bCs/>
                <w:color w:val="1F1F1F"/>
              </w:rPr>
              <w:t>Concentración Geográfica de Riesgo</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FFD536">
            <w:pPr>
              <w:spacing w:before="0" w:beforeAutospacing="0" w:after="0" w:afterAutospacing="0"/>
            </w:pPr>
            <w:r>
              <w:rPr>
                <w:color w:val="1F1F1F"/>
              </w:rPr>
              <w:t xml:space="preserve">Tablas </w:t>
            </w:r>
            <w:r>
              <w:rPr>
                <w:rFonts w:ascii="Consolas" w:hAnsi="Consolas" w:eastAsia="Consolas" w:cs="Consolas"/>
                <w:b w:val="0"/>
                <w:bCs w:val="0"/>
                <w:i w:val="0"/>
                <w:iCs w:val="0"/>
                <w:color w:val="1F1F1F"/>
                <w:sz w:val="22"/>
                <w:szCs w:val="22"/>
              </w:rPr>
              <w:t>FactCasoDengue</w:t>
            </w:r>
            <w:r>
              <w:rPr>
                <w:color w:val="1F1F1F"/>
              </w:rPr>
              <w:t xml:space="preserve"> y </w:t>
            </w:r>
            <w:r>
              <w:rPr>
                <w:rFonts w:ascii="Consolas" w:hAnsi="Consolas" w:eastAsia="Consolas" w:cs="Consolas"/>
                <w:b w:val="0"/>
                <w:bCs w:val="0"/>
                <w:i w:val="0"/>
                <w:iCs w:val="0"/>
                <w:color w:val="1F1F1F"/>
                <w:sz w:val="22"/>
                <w:szCs w:val="22"/>
              </w:rPr>
              <w:t>DimUbicacion</w:t>
            </w:r>
          </w:p>
        </w:tc>
        <w:tc>
          <w:tcPr>
            <w:tcW w:w="31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490502">
            <w:pPr>
              <w:spacing w:before="0" w:beforeAutospacing="0" w:after="0" w:afterAutospacing="0"/>
            </w:pPr>
            <w:r>
              <w:rPr>
                <w:rFonts w:ascii="Consolas" w:hAnsi="Consolas" w:eastAsia="Consolas" w:cs="Consolas"/>
                <w:b w:val="0"/>
                <w:bCs w:val="0"/>
                <w:i w:val="0"/>
                <w:iCs w:val="0"/>
                <w:color w:val="1F1F1F"/>
                <w:sz w:val="22"/>
                <w:szCs w:val="22"/>
              </w:rPr>
              <w:t>Total Casos</w:t>
            </w:r>
            <w:r>
              <w:rPr>
                <w:color w:val="1F1F1F"/>
              </w:rPr>
              <w:t xml:space="preserve"> segmentado por </w:t>
            </w:r>
            <w:r>
              <w:rPr>
                <w:rFonts w:ascii="Consolas" w:hAnsi="Consolas" w:eastAsia="Consolas" w:cs="Consolas"/>
                <w:b w:val="0"/>
                <w:bCs w:val="0"/>
                <w:i w:val="0"/>
                <w:iCs w:val="0"/>
                <w:color w:val="1F1F1F"/>
                <w:sz w:val="22"/>
                <w:szCs w:val="22"/>
              </w:rPr>
              <w:t>DimUbicacion[Distrito]</w:t>
            </w:r>
            <w:r>
              <w:rPr>
                <w:color w:val="1F1F1F"/>
              </w:rPr>
              <w:t xml:space="preserve"> en gráfico de barras</w:t>
            </w:r>
          </w:p>
        </w:tc>
        <w:tc>
          <w:tcPr>
            <w:tcW w:w="28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A36E51">
            <w:pPr>
              <w:spacing w:before="0" w:beforeAutospacing="0" w:after="0" w:afterAutospacing="0"/>
            </w:pPr>
            <w:r>
              <w:rPr>
                <w:color w:val="1F1F1F"/>
              </w:rPr>
              <w:t>Resolución de inconsistencias Ubigeo-DIRESA (181,404 filas afectadas) corregidas por la moda geográfica en la capa Staging.</w:t>
            </w:r>
          </w:p>
        </w:tc>
      </w:tr>
    </w:tbl>
    <w:p w14:paraId="2150C706">
      <w:pPr>
        <w:spacing w:before="240" w:beforeAutospacing="0" w:after="240" w:afterAutospacing="0"/>
        <w:rPr>
          <w:rFonts w:ascii="Arial" w:hAnsi="Arial" w:eastAsia="Arial" w:cs="Arial"/>
          <w:sz w:val="22"/>
          <w:szCs w:val="22"/>
          <w:lang w:val="es-PE"/>
        </w:rPr>
      </w:pPr>
    </w:p>
    <w:p w14:paraId="4B473985">
      <w:pPr>
        <w:spacing w:before="0" w:beforeAutospacing="0" w:after="240" w:afterAutospacing="0"/>
      </w:pPr>
      <w:r>
        <w:rPr>
          <w:rFonts w:ascii="Arial" w:hAnsi="Arial" w:eastAsia="Arial" w:cs="Arial"/>
          <w:b/>
          <w:bCs/>
          <w:sz w:val="22"/>
          <w:szCs w:val="22"/>
          <w:lang w:val="es-PE"/>
        </w:rPr>
        <w:t>6.3 Análisis OLAP (Operación Slice and Dice)</w:t>
      </w:r>
      <w:r>
        <w:rPr>
          <w:rFonts w:ascii="Arial" w:hAnsi="Arial" w:eastAsia="Arial" w:cs="Arial"/>
          <w:sz w:val="22"/>
          <w:szCs w:val="22"/>
          <w:lang w:val="es-PE"/>
        </w:rPr>
        <w:t xml:space="preserve"> </w:t>
      </w:r>
    </w:p>
    <w:p w14:paraId="1512486B">
      <w:pPr>
        <w:spacing w:before="0" w:beforeAutospacing="0" w:after="240" w:afterAutospacing="0"/>
      </w:pPr>
      <w:r>
        <w:rPr>
          <w:rFonts w:ascii="Arial" w:hAnsi="Arial" w:eastAsia="Arial" w:cs="Arial"/>
          <w:sz w:val="22"/>
          <w:szCs w:val="22"/>
          <w:lang w:val="es-PE"/>
        </w:rPr>
        <w:t xml:space="preserve">El panel analítico permite la navegación interactiva a través del Data Warehouse mediante la operación OLAP de </w:t>
      </w:r>
      <w:r>
        <w:rPr>
          <w:rFonts w:ascii="Arial" w:hAnsi="Arial" w:eastAsia="Arial" w:cs="Arial"/>
          <w:b/>
          <w:bCs/>
          <w:sz w:val="22"/>
          <w:szCs w:val="22"/>
          <w:lang w:val="es-PE"/>
        </w:rPr>
        <w:t>Slice and Dice</w:t>
      </w:r>
      <w:r>
        <w:rPr>
          <w:rFonts w:ascii="Arial" w:hAnsi="Arial" w:eastAsia="Arial" w:cs="Arial"/>
          <w:sz w:val="22"/>
          <w:szCs w:val="22"/>
          <w:lang w:val="es-PE"/>
        </w:rPr>
        <w:t xml:space="preserve"> (Cortar y Rebanar). Esta técnica multidimensional se materializa a través de los segmentadores de datos ubicados en la zona superior derecha del panel: </w:t>
      </w:r>
    </w:p>
    <w:p w14:paraId="5A7CC1FF">
      <w:pPr>
        <w:pStyle w:val="20"/>
        <w:numPr>
          <w:ilvl w:val="0"/>
          <w:numId w:val="7"/>
        </w:numPr>
        <w:spacing w:before="0" w:beforeAutospacing="0" w:after="240" w:afterAutospacing="0"/>
        <w:rPr>
          <w:rFonts w:ascii="Arial" w:hAnsi="Arial" w:eastAsia="Arial" w:cs="Arial"/>
          <w:sz w:val="22"/>
          <w:szCs w:val="22"/>
          <w:lang w:val="es-PE"/>
        </w:rPr>
      </w:pPr>
      <w:r>
        <w:rPr>
          <w:rFonts w:ascii="Arial" w:hAnsi="Arial" w:eastAsia="Arial" w:cs="Arial"/>
          <w:b/>
          <w:bCs/>
          <w:sz w:val="22"/>
          <w:szCs w:val="22"/>
          <w:lang w:val="es-PE"/>
        </w:rPr>
        <w:t>Slice (Cortar):</w:t>
      </w:r>
      <w:r>
        <w:rPr>
          <w:rFonts w:ascii="Arial" w:hAnsi="Arial" w:eastAsia="Arial" w:cs="Arial"/>
          <w:sz w:val="22"/>
          <w:szCs w:val="22"/>
          <w:lang w:val="es-PE"/>
        </w:rPr>
        <w:t xml:space="preserve"> Al seleccionar un parámetro en el filtro </w:t>
      </w:r>
      <w:r>
        <w:rPr>
          <w:rFonts w:ascii="Consolas" w:hAnsi="Consolas" w:eastAsia="Consolas" w:cs="Consolas"/>
          <w:sz w:val="22"/>
          <w:szCs w:val="22"/>
          <w:lang w:val="es-PE"/>
        </w:rPr>
        <w:t>Anio</w:t>
      </w:r>
      <w:r>
        <w:rPr>
          <w:rFonts w:ascii="Arial" w:hAnsi="Arial" w:eastAsia="Arial" w:cs="Arial"/>
          <w:sz w:val="22"/>
          <w:szCs w:val="22"/>
          <w:lang w:val="es-PE"/>
        </w:rPr>
        <w:t xml:space="preserve"> (ej. 2017), el sistema genera un "corte" en el modelo, aislando únicamente los casos epidemiológicos correspondientes a ese periodo temporal.</w:t>
      </w:r>
    </w:p>
    <w:p w14:paraId="0A2F3C8A">
      <w:pPr>
        <w:pStyle w:val="20"/>
        <w:numPr>
          <w:ilvl w:val="0"/>
          <w:numId w:val="7"/>
        </w:numPr>
        <w:spacing w:before="0" w:beforeAutospacing="0" w:after="240" w:afterAutospacing="0"/>
        <w:rPr>
          <w:rFonts w:ascii="Arial" w:hAnsi="Arial" w:eastAsia="Arial" w:cs="Arial"/>
          <w:sz w:val="22"/>
          <w:szCs w:val="22"/>
          <w:lang w:val="es-PE"/>
        </w:rPr>
      </w:pPr>
      <w:r>
        <w:rPr>
          <w:rFonts w:ascii="Arial" w:hAnsi="Arial" w:eastAsia="Arial" w:cs="Arial"/>
          <w:b/>
          <w:bCs/>
          <w:sz w:val="22"/>
          <w:szCs w:val="22"/>
          <w:lang w:val="es-PE"/>
        </w:rPr>
        <w:t>Dice (Rebanar):</w:t>
      </w:r>
      <w:r>
        <w:rPr>
          <w:rFonts w:ascii="Arial" w:hAnsi="Arial" w:eastAsia="Arial" w:cs="Arial"/>
          <w:sz w:val="22"/>
          <w:szCs w:val="22"/>
          <w:lang w:val="es-PE"/>
        </w:rPr>
        <w:t xml:space="preserve"> Al añadir una segunda dimensión al filtro, seleccionando una variante en el segmentador </w:t>
      </w:r>
      <w:r>
        <w:rPr>
          <w:rFonts w:ascii="Consolas" w:hAnsi="Consolas" w:eastAsia="Consolas" w:cs="Consolas"/>
          <w:sz w:val="22"/>
          <w:szCs w:val="22"/>
          <w:lang w:val="es-PE"/>
        </w:rPr>
        <w:t>Enfermedad</w:t>
      </w:r>
      <w:r>
        <w:rPr>
          <w:rFonts w:ascii="Arial" w:hAnsi="Arial" w:eastAsia="Arial" w:cs="Arial"/>
          <w:sz w:val="22"/>
          <w:szCs w:val="22"/>
          <w:lang w:val="es-PE"/>
        </w:rPr>
        <w:t xml:space="preserve"> (ej. DENGUE GRAVE), se intersectan dos subconjuntos, aislando un bloque de datos altamente específico. Todas las visualizaciones (tarjetas de KPI, tendencias y distribuciones demográficas) se recalculan en tiempo real bajo estas intersecciones dimensionales para facilitar el análisis focalizado.</w:t>
      </w:r>
    </w:p>
    <w:p w14:paraId="723D24C7">
      <w:pPr>
        <w:spacing w:before="0" w:beforeAutospacing="0" w:after="240" w:afterAutospacing="0"/>
        <w:rPr>
          <w:rFonts w:ascii="Arial" w:hAnsi="Arial" w:eastAsia="Arial" w:cs="Arial"/>
          <w:sz w:val="22"/>
          <w:szCs w:val="22"/>
          <w:lang w:val="es-PE"/>
        </w:rPr>
      </w:pPr>
    </w:p>
    <w:p w14:paraId="1A40E811">
      <w:pPr>
        <w:spacing w:before="240" w:beforeAutospacing="0" w:after="240" w:afterAutospacing="0"/>
        <w:rPr>
          <w:rFonts w:ascii="Arial" w:hAnsi="Arial" w:eastAsia="Arial" w:cs="Arial"/>
          <w:i/>
          <w:iCs/>
          <w:sz w:val="18"/>
          <w:szCs w:val="18"/>
          <w:lang w:val="es-PE"/>
        </w:rPr>
      </w:pPr>
    </w:p>
    <w:p w14:paraId="7F67CC68">
      <w:pPr>
        <w:spacing w:before="240" w:beforeAutospacing="0" w:after="240" w:afterAutospacing="0"/>
        <w:rPr>
          <w:rFonts w:ascii="Arial" w:hAnsi="Arial" w:eastAsia="Arial" w:cs="Arial"/>
          <w:i/>
          <w:iCs/>
          <w:sz w:val="18"/>
          <w:szCs w:val="18"/>
          <w:lang w:val="es-PE"/>
        </w:rPr>
      </w:pPr>
    </w:p>
    <w:p w14:paraId="06B9D0EB">
      <w:pPr>
        <w:spacing w:before="240" w:beforeAutospacing="0" w:after="240" w:afterAutospacing="0"/>
        <w:rPr>
          <w:rFonts w:ascii="Arial" w:hAnsi="Arial" w:eastAsia="Arial" w:cs="Arial"/>
          <w:i/>
          <w:iCs/>
          <w:sz w:val="18"/>
          <w:szCs w:val="18"/>
          <w:lang w:val="es-PE"/>
        </w:rPr>
      </w:pPr>
      <w:r>
        <w:drawing>
          <wp:anchor distT="0" distB="0" distL="114300" distR="114300" simplePos="0" relativeHeight="251659264" behindDoc="0" locked="0" layoutInCell="1" allowOverlap="1">
            <wp:simplePos x="0" y="0"/>
            <wp:positionH relativeFrom="column">
              <wp:posOffset>-352425</wp:posOffset>
            </wp:positionH>
            <wp:positionV relativeFrom="paragraph">
              <wp:posOffset>85725</wp:posOffset>
            </wp:positionV>
            <wp:extent cx="6852920" cy="3810635"/>
            <wp:effectExtent l="0" t="0" r="0" b="0"/>
            <wp:wrapNone/>
            <wp:docPr id="179825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6313" name="drawing"/>
                    <pic:cNvPicPr>
                      <a:picLocks noChangeAspect="1"/>
                    </pic:cNvPicPr>
                  </pic:nvPicPr>
                  <pic:blipFill>
                    <a:blip r:embed="rId16"/>
                    <a:stretch>
                      <a:fillRect/>
                    </a:stretch>
                  </pic:blipFill>
                  <pic:spPr>
                    <a:xfrm>
                      <a:off x="0" y="0"/>
                      <a:ext cx="6852886" cy="3810821"/>
                    </a:xfrm>
                    <a:prstGeom prst="rect">
                      <a:avLst/>
                    </a:prstGeom>
                  </pic:spPr>
                </pic:pic>
              </a:graphicData>
            </a:graphic>
          </wp:anchor>
        </w:drawing>
      </w:r>
    </w:p>
    <w:p w14:paraId="0B127E36">
      <w:pPr>
        <w:spacing w:before="240" w:beforeAutospacing="0" w:after="240" w:afterAutospacing="0"/>
        <w:rPr>
          <w:rFonts w:ascii="Arial" w:hAnsi="Arial" w:eastAsia="Arial" w:cs="Arial"/>
          <w:i/>
          <w:iCs/>
          <w:sz w:val="18"/>
          <w:szCs w:val="18"/>
          <w:lang w:val="es-PE"/>
        </w:rPr>
      </w:pPr>
    </w:p>
    <w:p w14:paraId="146D87F5">
      <w:pPr>
        <w:spacing w:before="240" w:beforeAutospacing="0" w:after="240" w:afterAutospacing="0"/>
        <w:rPr>
          <w:rFonts w:ascii="Arial" w:hAnsi="Arial" w:eastAsia="Arial" w:cs="Arial"/>
          <w:i/>
          <w:iCs/>
          <w:sz w:val="18"/>
          <w:szCs w:val="18"/>
          <w:lang w:val="es-PE"/>
        </w:rPr>
      </w:pPr>
    </w:p>
    <w:p w14:paraId="1501F0F9">
      <w:pPr>
        <w:spacing w:before="240" w:beforeAutospacing="0" w:after="240" w:afterAutospacing="0"/>
        <w:rPr>
          <w:rFonts w:ascii="Arial" w:hAnsi="Arial" w:eastAsia="Arial" w:cs="Arial"/>
          <w:i/>
          <w:iCs/>
          <w:sz w:val="18"/>
          <w:szCs w:val="18"/>
          <w:lang w:val="es-PE"/>
        </w:rPr>
      </w:pPr>
    </w:p>
    <w:p w14:paraId="361EA1B7">
      <w:pPr>
        <w:spacing w:before="240" w:beforeAutospacing="0" w:after="240" w:afterAutospacing="0"/>
        <w:rPr>
          <w:rFonts w:ascii="Arial" w:hAnsi="Arial" w:eastAsia="Arial" w:cs="Arial"/>
          <w:i/>
          <w:iCs/>
          <w:sz w:val="18"/>
          <w:szCs w:val="18"/>
          <w:lang w:val="es-PE"/>
        </w:rPr>
      </w:pPr>
    </w:p>
    <w:p w14:paraId="610C2CA2">
      <w:pPr>
        <w:spacing w:before="240" w:beforeAutospacing="0" w:after="240" w:afterAutospacing="0"/>
        <w:rPr>
          <w:rFonts w:ascii="Arial" w:hAnsi="Arial" w:eastAsia="Arial" w:cs="Arial"/>
          <w:i/>
          <w:iCs/>
          <w:sz w:val="18"/>
          <w:szCs w:val="18"/>
          <w:lang w:val="es-PE"/>
        </w:rPr>
      </w:pPr>
    </w:p>
    <w:p w14:paraId="00DBBA86">
      <w:pPr>
        <w:spacing w:before="240" w:beforeAutospacing="0" w:after="240" w:afterAutospacing="0"/>
        <w:rPr>
          <w:rFonts w:ascii="Arial" w:hAnsi="Arial" w:eastAsia="Arial" w:cs="Arial"/>
          <w:i/>
          <w:iCs/>
          <w:sz w:val="18"/>
          <w:szCs w:val="18"/>
          <w:lang w:val="es-PE"/>
        </w:rPr>
      </w:pPr>
    </w:p>
    <w:p w14:paraId="18DE8F79">
      <w:pPr>
        <w:spacing w:before="240" w:beforeAutospacing="0" w:after="240" w:afterAutospacing="0"/>
        <w:rPr>
          <w:rFonts w:ascii="Arial" w:hAnsi="Arial" w:eastAsia="Arial" w:cs="Arial"/>
          <w:i/>
          <w:iCs/>
          <w:sz w:val="18"/>
          <w:szCs w:val="18"/>
          <w:lang w:val="es-PE"/>
        </w:rPr>
      </w:pPr>
    </w:p>
    <w:p w14:paraId="0D75A2A6">
      <w:pPr>
        <w:spacing w:before="240" w:beforeAutospacing="0" w:after="240" w:afterAutospacing="0"/>
        <w:rPr>
          <w:rFonts w:ascii="Arial" w:hAnsi="Arial" w:eastAsia="Arial" w:cs="Arial"/>
          <w:i/>
          <w:iCs/>
          <w:sz w:val="18"/>
          <w:szCs w:val="18"/>
          <w:lang w:val="es-PE"/>
        </w:rPr>
      </w:pPr>
    </w:p>
    <w:p w14:paraId="5046BB51">
      <w:pPr>
        <w:spacing w:before="240" w:beforeAutospacing="0" w:after="240" w:afterAutospacing="0"/>
        <w:rPr>
          <w:rFonts w:ascii="Arial" w:hAnsi="Arial" w:eastAsia="Arial" w:cs="Arial"/>
          <w:i/>
          <w:iCs/>
          <w:sz w:val="18"/>
          <w:szCs w:val="18"/>
          <w:lang w:val="es-PE"/>
        </w:rPr>
      </w:pPr>
    </w:p>
    <w:p w14:paraId="37946B93">
      <w:pPr>
        <w:spacing w:before="240" w:beforeAutospacing="0" w:after="240" w:afterAutospacing="0"/>
        <w:rPr>
          <w:rFonts w:ascii="Arial" w:hAnsi="Arial" w:eastAsia="Arial" w:cs="Arial"/>
          <w:i/>
          <w:iCs/>
          <w:sz w:val="18"/>
          <w:szCs w:val="18"/>
          <w:lang w:val="es-PE"/>
        </w:rPr>
      </w:pPr>
    </w:p>
    <w:p w14:paraId="71A929A3">
      <w:pPr>
        <w:spacing w:before="240" w:beforeAutospacing="0" w:after="240" w:afterAutospacing="0"/>
        <w:rPr>
          <w:rFonts w:ascii="Arial" w:hAnsi="Arial" w:eastAsia="Arial" w:cs="Arial"/>
          <w:i/>
          <w:iCs/>
          <w:sz w:val="18"/>
          <w:szCs w:val="18"/>
          <w:lang w:val="es-PE"/>
        </w:rPr>
      </w:pPr>
    </w:p>
    <w:p w14:paraId="4C4E68AC">
      <w:pPr>
        <w:spacing w:before="240" w:beforeAutospacing="0" w:after="240" w:afterAutospacing="0"/>
        <w:rPr>
          <w:rFonts w:ascii="Arial" w:hAnsi="Arial" w:eastAsia="Arial" w:cs="Arial"/>
          <w:i/>
          <w:iCs/>
          <w:sz w:val="18"/>
          <w:szCs w:val="18"/>
          <w:lang w:val="es-PE"/>
        </w:rPr>
      </w:pPr>
    </w:p>
    <w:p w14:paraId="492CEE2F">
      <w:pPr>
        <w:spacing w:before="240" w:beforeAutospacing="0" w:after="240" w:afterAutospacing="0"/>
        <w:rPr>
          <w:rFonts w:ascii="Arial" w:hAnsi="Arial" w:eastAsia="Arial" w:cs="Arial"/>
          <w:i/>
          <w:iCs/>
          <w:sz w:val="18"/>
          <w:szCs w:val="18"/>
          <w:lang w:val="es-PE"/>
        </w:rPr>
      </w:pPr>
    </w:p>
    <w:p w14:paraId="0F137AB3">
      <w:pPr>
        <w:spacing w:before="240" w:beforeAutospacing="0" w:after="240" w:afterAutospacing="0"/>
        <w:rPr>
          <w:rFonts w:ascii="Arial" w:hAnsi="Arial" w:eastAsia="Arial" w:cs="Arial"/>
          <w:i/>
          <w:iCs/>
          <w:sz w:val="18"/>
          <w:szCs w:val="18"/>
          <w:lang w:val="es-PE"/>
        </w:rPr>
      </w:pPr>
    </w:p>
    <w:p w14:paraId="12F7110F">
      <w:pPr>
        <w:spacing w:before="240" w:beforeAutospacing="0" w:after="240" w:afterAutospacing="0"/>
        <w:rPr>
          <w:rFonts w:ascii="Arial" w:hAnsi="Arial" w:eastAsia="Arial" w:cs="Arial"/>
          <w:i/>
          <w:iCs/>
          <w:sz w:val="18"/>
          <w:szCs w:val="18"/>
          <w:lang w:val="es-PE"/>
        </w:rPr>
      </w:pPr>
      <w:r>
        <w:rPr>
          <w:rFonts w:ascii="Arial" w:hAnsi="Arial" w:eastAsia="Arial" w:cs="Arial"/>
          <w:i/>
          <w:iCs/>
          <w:sz w:val="18"/>
          <w:szCs w:val="18"/>
          <w:lang w:val="es-PE"/>
        </w:rPr>
        <w:t xml:space="preserve">                                                            Figura 1.</w:t>
      </w:r>
      <w:r>
        <w:rPr>
          <w:rFonts w:ascii="Arial" w:hAnsi="Arial" w:eastAsia="Arial" w:cs="Arial"/>
          <w:i w:val="0"/>
          <w:iCs w:val="0"/>
          <w:sz w:val="18"/>
          <w:szCs w:val="18"/>
          <w:lang w:val="es-PE"/>
        </w:rPr>
        <w:t xml:space="preserve"> </w:t>
      </w:r>
      <w:r>
        <w:rPr>
          <w:rFonts w:ascii="Arial" w:hAnsi="Arial" w:eastAsia="Arial" w:cs="Arial"/>
          <w:i/>
          <w:iCs/>
          <w:sz w:val="18"/>
          <w:szCs w:val="18"/>
          <w:lang w:val="es-PE"/>
        </w:rPr>
        <w:t>Panel del BI General de la DIRESA</w:t>
      </w:r>
    </w:p>
    <w:p w14:paraId="2053F9F8">
      <w:pPr>
        <w:spacing w:before="240" w:beforeAutospacing="0" w:after="240" w:afterAutospacing="0"/>
        <w:rPr>
          <w:rFonts w:ascii="Arial" w:hAnsi="Arial" w:eastAsia="Arial" w:cs="Arial"/>
          <w:i/>
          <w:iCs/>
          <w:sz w:val="18"/>
          <w:szCs w:val="18"/>
          <w:lang w:val="es-PE"/>
        </w:rPr>
      </w:pPr>
    </w:p>
    <w:p w14:paraId="4A4FE9B9">
      <w:pPr>
        <w:spacing w:before="240" w:beforeAutospacing="0" w:after="240" w:afterAutospacing="0"/>
        <w:rPr>
          <w:rFonts w:ascii="Arial" w:hAnsi="Arial" w:eastAsia="Arial" w:cs="Arial"/>
          <w:i/>
          <w:iCs/>
          <w:sz w:val="18"/>
          <w:szCs w:val="18"/>
          <w:lang w:val="es-PE"/>
        </w:rPr>
      </w:pPr>
    </w:p>
    <w:p w14:paraId="7BD34C8C">
      <w:pPr>
        <w:spacing w:before="240" w:beforeAutospacing="0" w:after="240" w:afterAutospacing="0"/>
        <w:rPr>
          <w:rFonts w:ascii="Arial" w:hAnsi="Arial" w:eastAsia="Arial" w:cs="Arial"/>
          <w:i/>
          <w:iCs/>
          <w:sz w:val="18"/>
          <w:szCs w:val="18"/>
          <w:lang w:val="es-PE"/>
        </w:rPr>
      </w:pPr>
      <w:r>
        <w:drawing>
          <wp:anchor distT="0" distB="0" distL="114300" distR="114300" simplePos="0" relativeHeight="251659264" behindDoc="0" locked="0" layoutInCell="1" allowOverlap="1">
            <wp:simplePos x="0" y="0"/>
            <wp:positionH relativeFrom="column">
              <wp:posOffset>-504825</wp:posOffset>
            </wp:positionH>
            <wp:positionV relativeFrom="paragraph">
              <wp:posOffset>-200025</wp:posOffset>
            </wp:positionV>
            <wp:extent cx="6868795" cy="3819525"/>
            <wp:effectExtent l="0" t="0" r="0" b="0"/>
            <wp:wrapNone/>
            <wp:docPr id="1170283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3806" name="drawing"/>
                    <pic:cNvPicPr>
                      <a:picLocks noChangeAspect="1"/>
                    </pic:cNvPicPr>
                  </pic:nvPicPr>
                  <pic:blipFill>
                    <a:blip r:embed="rId17"/>
                    <a:stretch>
                      <a:fillRect/>
                    </a:stretch>
                  </pic:blipFill>
                  <pic:spPr>
                    <a:xfrm>
                      <a:off x="0" y="0"/>
                      <a:ext cx="6868540" cy="3819525"/>
                    </a:xfrm>
                    <a:prstGeom prst="rect">
                      <a:avLst/>
                    </a:prstGeom>
                  </pic:spPr>
                </pic:pic>
              </a:graphicData>
            </a:graphic>
          </wp:anchor>
        </w:drawing>
      </w:r>
    </w:p>
    <w:p w14:paraId="4CDAA0DE">
      <w:pPr>
        <w:spacing w:before="240" w:beforeAutospacing="0" w:after="240" w:afterAutospacing="0"/>
        <w:rPr>
          <w:rFonts w:ascii="Arial" w:hAnsi="Arial" w:eastAsia="Arial" w:cs="Arial"/>
          <w:i/>
          <w:iCs/>
          <w:sz w:val="18"/>
          <w:szCs w:val="18"/>
          <w:lang w:val="es-PE"/>
        </w:rPr>
      </w:pPr>
    </w:p>
    <w:p w14:paraId="77BBA072">
      <w:pPr>
        <w:spacing w:before="240" w:beforeAutospacing="0" w:after="240" w:afterAutospacing="0"/>
        <w:rPr>
          <w:rFonts w:ascii="Arial" w:hAnsi="Arial" w:eastAsia="Arial" w:cs="Arial"/>
          <w:i/>
          <w:iCs/>
          <w:sz w:val="18"/>
          <w:szCs w:val="18"/>
          <w:lang w:val="es-PE"/>
        </w:rPr>
      </w:pPr>
    </w:p>
    <w:p w14:paraId="6F436EFA">
      <w:pPr>
        <w:spacing w:before="240" w:beforeAutospacing="0" w:after="240" w:afterAutospacing="0"/>
        <w:rPr>
          <w:rFonts w:ascii="Arial" w:hAnsi="Arial" w:eastAsia="Arial" w:cs="Arial"/>
          <w:i/>
          <w:iCs/>
          <w:sz w:val="18"/>
          <w:szCs w:val="18"/>
          <w:lang w:val="es-PE"/>
        </w:rPr>
      </w:pPr>
    </w:p>
    <w:p w14:paraId="5E5161AE">
      <w:pPr>
        <w:spacing w:before="240" w:beforeAutospacing="0" w:after="240" w:afterAutospacing="0"/>
        <w:rPr>
          <w:rFonts w:ascii="Arial" w:hAnsi="Arial" w:eastAsia="Arial" w:cs="Arial"/>
          <w:i/>
          <w:iCs/>
          <w:sz w:val="18"/>
          <w:szCs w:val="18"/>
          <w:lang w:val="es-PE"/>
        </w:rPr>
      </w:pPr>
    </w:p>
    <w:p w14:paraId="3E24DD5E">
      <w:pPr>
        <w:spacing w:before="240" w:beforeAutospacing="0" w:after="240" w:afterAutospacing="0"/>
        <w:rPr>
          <w:rFonts w:ascii="Arial" w:hAnsi="Arial" w:eastAsia="Arial" w:cs="Arial"/>
          <w:i/>
          <w:iCs/>
          <w:sz w:val="18"/>
          <w:szCs w:val="18"/>
          <w:lang w:val="es-PE"/>
        </w:rPr>
      </w:pPr>
    </w:p>
    <w:p w14:paraId="36F13D22">
      <w:pPr>
        <w:spacing w:before="240" w:beforeAutospacing="0" w:after="240" w:afterAutospacing="0"/>
        <w:rPr>
          <w:rFonts w:ascii="Arial" w:hAnsi="Arial" w:eastAsia="Arial" w:cs="Arial"/>
          <w:i/>
          <w:iCs/>
          <w:sz w:val="18"/>
          <w:szCs w:val="18"/>
          <w:lang w:val="es-PE"/>
        </w:rPr>
      </w:pPr>
    </w:p>
    <w:p w14:paraId="40D6CB2C">
      <w:pPr>
        <w:spacing w:before="240" w:beforeAutospacing="0" w:after="240" w:afterAutospacing="0"/>
        <w:rPr>
          <w:rFonts w:ascii="Arial" w:hAnsi="Arial" w:eastAsia="Arial" w:cs="Arial"/>
          <w:i/>
          <w:iCs/>
          <w:sz w:val="18"/>
          <w:szCs w:val="18"/>
          <w:lang w:val="es-PE"/>
        </w:rPr>
      </w:pPr>
    </w:p>
    <w:p w14:paraId="7BAA94D5">
      <w:pPr>
        <w:spacing w:before="240" w:beforeAutospacing="0" w:after="240" w:afterAutospacing="0"/>
        <w:rPr>
          <w:rFonts w:ascii="Arial" w:hAnsi="Arial" w:eastAsia="Arial" w:cs="Arial"/>
          <w:i/>
          <w:iCs/>
          <w:sz w:val="18"/>
          <w:szCs w:val="18"/>
          <w:lang w:val="es-PE"/>
        </w:rPr>
      </w:pPr>
    </w:p>
    <w:p w14:paraId="3CC31EC0">
      <w:pPr>
        <w:spacing w:before="240" w:beforeAutospacing="0" w:after="240" w:afterAutospacing="0"/>
        <w:rPr>
          <w:rFonts w:ascii="Arial" w:hAnsi="Arial" w:eastAsia="Arial" w:cs="Arial"/>
          <w:i/>
          <w:iCs/>
          <w:sz w:val="18"/>
          <w:szCs w:val="18"/>
          <w:lang w:val="es-PE"/>
        </w:rPr>
      </w:pPr>
    </w:p>
    <w:p w14:paraId="6D82EF5D">
      <w:pPr>
        <w:spacing w:before="240" w:beforeAutospacing="0" w:after="240" w:afterAutospacing="0"/>
        <w:rPr>
          <w:rFonts w:ascii="Arial" w:hAnsi="Arial" w:eastAsia="Arial" w:cs="Arial"/>
          <w:i/>
          <w:iCs/>
          <w:sz w:val="18"/>
          <w:szCs w:val="18"/>
          <w:lang w:val="es-PE"/>
        </w:rPr>
      </w:pPr>
    </w:p>
    <w:p w14:paraId="2A6C436C">
      <w:pPr>
        <w:spacing w:before="240" w:beforeAutospacing="0" w:after="240" w:afterAutospacing="0"/>
        <w:rPr>
          <w:rFonts w:ascii="Arial" w:hAnsi="Arial" w:eastAsia="Arial" w:cs="Arial"/>
          <w:i/>
          <w:iCs/>
          <w:sz w:val="18"/>
          <w:szCs w:val="18"/>
          <w:lang w:val="es-PE"/>
        </w:rPr>
      </w:pPr>
    </w:p>
    <w:p w14:paraId="1D252DE2">
      <w:pPr>
        <w:spacing w:before="240" w:beforeAutospacing="0" w:after="240" w:afterAutospacing="0"/>
        <w:rPr>
          <w:rFonts w:ascii="Arial" w:hAnsi="Arial" w:eastAsia="Arial" w:cs="Arial"/>
          <w:i/>
          <w:iCs/>
          <w:sz w:val="18"/>
          <w:szCs w:val="18"/>
          <w:lang w:val="es-PE"/>
        </w:rPr>
      </w:pPr>
    </w:p>
    <w:p w14:paraId="59F08129">
      <w:pPr>
        <w:spacing w:before="240" w:beforeAutospacing="0" w:after="240" w:afterAutospacing="0"/>
      </w:pPr>
      <w:r>
        <w:rPr>
          <w:rFonts w:ascii="Arial" w:hAnsi="Arial" w:eastAsia="Arial" w:cs="Arial"/>
          <w:i/>
          <w:iCs/>
          <w:sz w:val="18"/>
          <w:szCs w:val="18"/>
          <w:lang w:val="es-PE"/>
        </w:rPr>
        <w:t xml:space="preserve">                                 Figura 2.</w:t>
      </w:r>
      <w:r>
        <w:rPr>
          <w:rFonts w:ascii="Arial" w:hAnsi="Arial" w:eastAsia="Arial" w:cs="Arial"/>
          <w:i w:val="0"/>
          <w:iCs w:val="0"/>
          <w:sz w:val="18"/>
          <w:szCs w:val="18"/>
          <w:lang w:val="es-PE"/>
        </w:rPr>
        <w:t xml:space="preserve"> </w:t>
      </w:r>
      <w:r>
        <w:rPr>
          <w:rFonts w:ascii="Arial" w:hAnsi="Arial" w:eastAsia="Arial" w:cs="Arial"/>
          <w:i/>
          <w:iCs/>
          <w:sz w:val="18"/>
          <w:szCs w:val="18"/>
          <w:lang w:val="es-PE"/>
        </w:rPr>
        <w:t>Operación OLAP Slice/Dice filtrando el modelo por año y diagnóstico</w:t>
      </w:r>
    </w:p>
    <w:p w14:paraId="08ED5A8A">
      <w:pPr>
        <w:spacing w:before="240" w:beforeAutospacing="0" w:after="240" w:afterAutospacing="0"/>
        <w:rPr>
          <w:rFonts w:ascii="Arial" w:hAnsi="Arial" w:eastAsia="Arial" w:cs="Arial"/>
          <w:i/>
          <w:iCs/>
          <w:sz w:val="18"/>
          <w:szCs w:val="18"/>
          <w:lang w:val="es-PE"/>
        </w:rPr>
      </w:pPr>
    </w:p>
    <w:p w14:paraId="1019F992">
      <w:pPr>
        <w:spacing w:before="0" w:beforeAutospacing="0" w:after="240" w:afterAutospacing="0"/>
      </w:pPr>
      <w:r>
        <w:rPr>
          <w:rFonts w:ascii="Arial" w:hAnsi="Arial" w:eastAsia="Arial" w:cs="Arial"/>
          <w:b/>
          <w:bCs/>
          <w:sz w:val="22"/>
          <w:szCs w:val="22"/>
          <w:lang w:val="es-PE"/>
        </w:rPr>
        <w:t>6.4 Narrativa Visual y Respuestas de Negocio</w:t>
      </w:r>
      <w:r>
        <w:rPr>
          <w:rFonts w:ascii="Arial" w:hAnsi="Arial" w:eastAsia="Arial" w:cs="Arial"/>
          <w:sz w:val="22"/>
          <w:szCs w:val="22"/>
          <w:lang w:val="es-PE"/>
        </w:rPr>
        <w:t xml:space="preserve"> </w:t>
      </w:r>
    </w:p>
    <w:p w14:paraId="7B3A0E5F">
      <w:pPr>
        <w:spacing w:before="0" w:beforeAutospacing="0" w:after="240" w:afterAutospacing="0"/>
        <w:rPr>
          <w:rFonts w:ascii="Arial" w:hAnsi="Arial" w:eastAsia="Arial" w:cs="Arial"/>
          <w:sz w:val="22"/>
          <w:szCs w:val="22"/>
          <w:lang w:val="es-PE"/>
        </w:rPr>
      </w:pPr>
      <w:r>
        <w:rPr>
          <w:rFonts w:ascii="Arial" w:hAnsi="Arial" w:eastAsia="Arial" w:cs="Arial"/>
          <w:sz w:val="22"/>
          <w:szCs w:val="22"/>
          <w:lang w:val="es-PE"/>
        </w:rPr>
        <w:t xml:space="preserve">El sistema integrado resuelve la carencia histórica de mecanismos de visualización en la región, respondiendo a dos preguntas críticas de negocio de la DIRESA mediante soporte visual sustentado en datos validados: </w:t>
      </w:r>
    </w:p>
    <w:p w14:paraId="694B95DC">
      <w:pPr>
        <w:pStyle w:val="20"/>
        <w:numPr>
          <w:ilvl w:val="0"/>
          <w:numId w:val="8"/>
        </w:numPr>
        <w:spacing w:before="0" w:beforeAutospacing="0" w:after="240" w:afterAutospacing="0"/>
        <w:rPr>
          <w:rFonts w:ascii="Arial" w:hAnsi="Arial" w:eastAsia="Arial" w:cs="Arial"/>
          <w:b/>
          <w:bCs/>
          <w:sz w:val="22"/>
          <w:szCs w:val="22"/>
          <w:lang w:val="es-PE"/>
        </w:rPr>
      </w:pPr>
      <w:r>
        <w:rPr>
          <w:rFonts w:ascii="Arial" w:hAnsi="Arial" w:eastAsia="Arial" w:cs="Arial"/>
          <w:b/>
          <w:bCs/>
          <w:sz w:val="22"/>
          <w:szCs w:val="22"/>
          <w:lang w:val="es-PE"/>
        </w:rPr>
        <w:t>¿Cuál es la carga de morbilidad histórica y su comportamiento estacional?</w:t>
      </w:r>
    </w:p>
    <w:p w14:paraId="7FECD920">
      <w:pPr>
        <w:spacing w:before="0" w:beforeAutospacing="0" w:after="240" w:afterAutospacing="0"/>
        <w:rPr>
          <w:rFonts w:ascii="Arial" w:hAnsi="Arial" w:eastAsia="Arial" w:cs="Arial"/>
          <w:sz w:val="22"/>
          <w:szCs w:val="22"/>
          <w:lang w:val="es-PE"/>
        </w:rPr>
      </w:pPr>
      <w:r>
        <w:rPr>
          <w:rFonts w:ascii="Arial" w:hAnsi="Arial" w:eastAsia="Arial" w:cs="Arial"/>
          <w:sz w:val="22"/>
          <w:szCs w:val="22"/>
          <w:lang w:val="es-PE"/>
        </w:rPr>
        <w:t>El modelo consolidó un universo auditable de 877 mil contagios válidos. Al graficar la "Tendencia Epidemiológicas" por semana, el panel evidencia un comportamiento cíclico predecible: las notificaciones escalan rápidamente a partir de la semana epidemiológica 10 y alcanzan su carga máxima entre las semanas 15 y 25. Esta evidencia es crítica para que la administración regional programe sus presupuestos y abastezca insumos de fumigación antes de que comience la escalada vectorial, mitigando los brotes estacionales.</w:t>
      </w:r>
    </w:p>
    <w:p w14:paraId="527B6D17">
      <w:pPr>
        <w:pStyle w:val="20"/>
        <w:numPr>
          <w:ilvl w:val="0"/>
          <w:numId w:val="8"/>
        </w:numPr>
        <w:spacing w:before="0" w:beforeAutospacing="0" w:after="240" w:afterAutospacing="0"/>
        <w:rPr>
          <w:rFonts w:ascii="Arial" w:hAnsi="Arial" w:eastAsia="Arial" w:cs="Arial"/>
          <w:b/>
          <w:bCs/>
          <w:sz w:val="22"/>
          <w:szCs w:val="22"/>
          <w:lang w:val="es-PE"/>
        </w:rPr>
      </w:pPr>
      <w:r>
        <w:rPr>
          <w:rFonts w:ascii="Arial" w:hAnsi="Arial" w:eastAsia="Arial" w:cs="Arial"/>
          <w:b/>
          <w:bCs/>
          <w:sz w:val="22"/>
          <w:szCs w:val="22"/>
          <w:lang w:val="es-PE"/>
        </w:rPr>
        <w:t>¿Cuáles son las zonas de mayor riesgo y los grupos demográficos más vulnerables?</w:t>
      </w:r>
    </w:p>
    <w:p w14:paraId="69CCBA06">
      <w:pPr>
        <w:spacing w:before="0" w:beforeAutospacing="0" w:after="240" w:afterAutospacing="0"/>
        <w:rPr>
          <w:rFonts w:ascii="Arial" w:hAnsi="Arial" w:eastAsia="Arial" w:cs="Arial"/>
          <w:sz w:val="22"/>
          <w:szCs w:val="22"/>
          <w:lang w:val="es-PE"/>
        </w:rPr>
      </w:pPr>
      <w:r>
        <w:rPr>
          <w:rFonts w:ascii="Arial" w:hAnsi="Arial" w:eastAsia="Arial" w:cs="Arial"/>
          <w:sz w:val="22"/>
          <w:szCs w:val="22"/>
          <w:lang w:val="es-PE"/>
        </w:rPr>
        <w:t>La visualización de distribución de morbilidad demuestra que el riesgo geográfico no es homogéneo; los distritos de Piura, Castilla y Sullana concentran la mayor cantidad de casos históricos, dictando hacia dónde se deben redirigir los esfuerzos sanitarios de primera línea. A nivel demográfico, el sistema estructuró las edades revelando que la categoría estandarizada de "ADULTO" absorbe el 60.98% del total de notificaciones, situando la edad promedio general de los contagiados en 31.2 años. Estos resultados permiten a la DIRESA optimizar la dotación de personal especializado para atenciones en adultos dentro de los establecimientos de mayor incidencia territorial.</w:t>
      </w:r>
    </w:p>
    <w:p w14:paraId="129E52EE">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7</w:t>
      </w:r>
      <w:r>
        <w:rPr>
          <w:rFonts w:ascii="Arial" w:hAnsi="Arial" w:eastAsia="Arial" w:cs="Arial"/>
          <w:b/>
          <w:bCs/>
          <w:sz w:val="22"/>
          <w:szCs w:val="22"/>
          <w:lang w:val="es-PE"/>
        </w:rPr>
        <w:t xml:space="preserve"> </w:t>
      </w:r>
      <w:r>
        <w:rPr>
          <w:rFonts w:hint="default" w:ascii="Arial" w:hAnsi="Arial" w:eastAsia="Arial" w:cs="Arial"/>
          <w:b/>
          <w:bCs/>
          <w:sz w:val="22"/>
          <w:szCs w:val="22"/>
          <w:lang w:val="es-ES"/>
        </w:rPr>
        <w:t>Integracion, reflexion etica y articulacion:</w:t>
      </w:r>
    </w:p>
    <w:p w14:paraId="47A52221">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+-NUESTRA REFLEXIÓN-+</w:t>
      </w:r>
    </w:p>
    <w:p w14:paraId="58FB4164">
      <w:pPr>
        <w:spacing w:before="240" w:beforeAutospacing="0" w:after="240" w:afterAutospacing="0"/>
        <w:rPr>
          <w:rFonts w:hint="default" w:ascii="Arial" w:hAnsi="Arial" w:eastAsia="Arial" w:cs="Arial"/>
          <w:b/>
          <w:bCs/>
          <w:sz w:val="22"/>
          <w:szCs w:val="22"/>
          <w:lang w:val="es-ES"/>
        </w:rPr>
      </w:pPr>
    </w:p>
    <w:p w14:paraId="5AE8CB0B">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Asumir el desarrollo del proyecto DataSalud Perú para la DIRESA La Libertad nos ha hecho comprender que, detrás de los más de 40 millones de registros históricos del MINSA, no hay simples filas de datos, sino historias clínicas, identidades y vulnerabilidades de pacientes reales. Guiados por el Código de Ética del Colegio de Ingenieros del Perú, reconocemos que nuestra responsabilidad trasciende la simple implementación técnica; se trata de garantizar que la tecnología esté al servicio del bienestar social y respete la dignidad humana. En este sentido, la arquitectura de nuestra base de datos no es neutral, ya que cada decisión de diseño tiene un impacto directo sobre las personas. Durante el proceso, nos enfrentamos a dilemas éticos que requirieron decisiones fundamentadas:</w:t>
      </w:r>
    </w:p>
    <w:p w14:paraId="2B47BF8A">
      <w:pPr>
        <w:spacing w:before="240" w:beforeAutospacing="0" w:after="240" w:afterAutospacing="0"/>
        <w:rPr>
          <w:rFonts w:hint="default" w:ascii="Arial" w:hAnsi="Arial" w:eastAsia="Arial" w:cs="Arial"/>
          <w:b/>
          <w:bCs/>
          <w:sz w:val="22"/>
          <w:szCs w:val="22"/>
          <w:lang w:val="es-ES"/>
        </w:rPr>
      </w:pPr>
    </w:p>
    <w:p w14:paraId="5817CC55">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°PRIMER DILEMA-PRIVACIDAD DEL PACIENTE FRENTE A LA A NALITICA:</w:t>
      </w:r>
    </w:p>
    <w:p w14:paraId="416A2FC0">
      <w:pPr>
        <w:spacing w:before="240" w:beforeAutospacing="0" w:after="240" w:afterAutospacing="0"/>
        <w:rPr>
          <w:rFonts w:hint="default" w:ascii="Arial" w:hAnsi="Arial" w:eastAsia="Arial" w:cs="Arial"/>
          <w:b/>
          <w:bCs/>
          <w:sz w:val="22"/>
          <w:szCs w:val="22"/>
          <w:lang w:val="es-ES"/>
        </w:rPr>
      </w:pPr>
    </w:p>
    <w:p w14:paraId="7D9A65DC">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El primer gran reto fue decidir qué tan accesibles debían ser los datos para el equipo de la DIRESA. Al inicio, parecía más ágil dejar permisos amplios para facilitar la creación rápida de dashboards. Sin embargo, esto exponía a los pacientes a posibles filtraciones o consultas no autorizadas sobre su estado de salud, infringiendo la Ley N.° 29733 de Protección de Datos Personales. Nuestras deciciones fueron priorizar la privacidad mediante un diseño estricto de segregación de roles (administrador, analista de datos, auditor) y la implementación de triggers de auditoría. La concreta conscecuencia de esta decisión es que protegemos a los pacientes contra el uso indebido de su información médica, evitando que sufran discriminación o exposición, aunque esto signifique que el equipo de salud deba seguir protocolos más estrictos para acceder a la base de datos.</w:t>
      </w:r>
    </w:p>
    <w:p w14:paraId="5E741007">
      <w:pPr>
        <w:spacing w:before="240" w:beforeAutospacing="0" w:after="240" w:afterAutospacing="0"/>
        <w:rPr>
          <w:rFonts w:hint="default" w:ascii="Arial" w:hAnsi="Arial" w:eastAsia="Arial" w:cs="Arial"/>
          <w:b/>
          <w:bCs/>
          <w:sz w:val="22"/>
          <w:szCs w:val="22"/>
          <w:lang w:val="es-ES"/>
        </w:rPr>
      </w:pPr>
    </w:p>
    <w:p w14:paraId="1ECC69A6">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°NUESTRO SEGUNDO DILEMA-LA CALIDAD DE LOS DATOS Y LA DISTRIBUCION DE LOS RECURSOS:</w:t>
      </w:r>
    </w:p>
    <w:p w14:paraId="4B0851B3">
      <w:pPr>
        <w:spacing w:before="240" w:beforeAutospacing="0" w:after="240" w:afterAutospacing="0"/>
        <w:rPr>
          <w:rFonts w:hint="default" w:ascii="Arial" w:hAnsi="Arial" w:eastAsia="Arial" w:cs="Arial"/>
          <w:b/>
          <w:bCs/>
          <w:sz w:val="22"/>
          <w:szCs w:val="22"/>
          <w:lang w:val="es-ES"/>
        </w:rPr>
      </w:pPr>
    </w:p>
    <w:p w14:paraId="08FF67C7">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Al analizar los reportes de los 312 establecimientos de salud, notamos una cantidad masiva de valores nulos y registros duplicados. El dilema ético aquí era si debíamos omitir estos registros Sucios para que el dashboard de Power BI se viera más limpio y funcional rápidamente, o si debíamos procesarlos. Lo que hicimos fue implementar procesos ETL rigurosos y procedimientos almacenados con control de excepciones para limpiar y validar la ingesta, en lugar de simplemente eliminar los datos conflictivos. La consecuencia concreta de esta decisión impacta vitalmente a la comunidad: si hubiéramos eliminado los registros incompletos, los KPIs del dashboard podrían haber subrepresentado la necesidad real de ciertas provincias. Un indicador sesgado podría llevar al director regional a enviar menos vacunas o personal a una zona vulnerable, afectando directamente el derecho a la salud de esa población.</w:t>
      </w:r>
    </w:p>
    <w:p w14:paraId="62301BEA">
      <w:pPr>
        <w:spacing w:before="240" w:beforeAutospacing="0" w:after="240" w:afterAutospacing="0"/>
        <w:rPr>
          <w:rFonts w:hint="default" w:ascii="Arial" w:hAnsi="Arial" w:eastAsia="Arial" w:cs="Arial"/>
          <w:b/>
          <w:bCs/>
          <w:sz w:val="22"/>
          <w:szCs w:val="22"/>
          <w:lang w:val="es-ES"/>
        </w:rPr>
      </w:pPr>
    </w:p>
    <w:p w14:paraId="26016A7F">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°TRAYECTORIA DE APRENDIZAJE DE NUESTROS FUNDAMENTOS A NUESTRO FUTURO PROFESIONAL:</w:t>
      </w:r>
    </w:p>
    <w:p w14:paraId="41260A6A">
      <w:pPr>
        <w:spacing w:before="240" w:beforeAutospacing="0" w:after="240" w:afterAutospacing="0"/>
        <w:rPr>
          <w:rFonts w:hint="default" w:ascii="Arial" w:hAnsi="Arial" w:eastAsia="Arial" w:cs="Arial"/>
          <w:b/>
          <w:bCs/>
          <w:sz w:val="22"/>
          <w:szCs w:val="22"/>
          <w:lang w:val="es-ES"/>
        </w:rPr>
      </w:pPr>
    </w:p>
    <w:p w14:paraId="05B3412C">
      <w:pPr>
        <w:spacing w:before="240" w:beforeAutospacing="0" w:after="240" w:afterAutospacing="0"/>
        <w:rPr>
          <w:rFonts w:hint="default" w:ascii="Arial" w:hAnsi="Arial" w:eastAsia="Arial" w:cs="Arial"/>
          <w:b/>
          <w:bCs/>
          <w:sz w:val="22"/>
          <w:szCs w:val="22"/>
          <w:lang w:val="es-ES"/>
        </w:rPr>
      </w:pPr>
      <w:r>
        <w:rPr>
          <w:rFonts w:hint="default" w:ascii="Arial" w:hAnsi="Arial" w:eastAsia="Arial" w:cs="Arial"/>
          <w:b/>
          <w:bCs/>
          <w:sz w:val="22"/>
          <w:szCs w:val="22"/>
          <w:lang w:val="es-ES"/>
        </w:rPr>
        <w:t>Para poder construir soluciones éticas y técnicamente viables, este proyecto integrador se ha apoyado fuertemente en nuestra trayectoria académica. De manera explícita, declaramos que hemos retomado saberes previos del curso Base de Datos (del ciclo 3). Específicamente, aplicamos los fundamentos de modelado relacional (entidad-relacion), la normalización de tablas para evitar redundancias, y la creación de consultas SQL básicas, los cuales sirvieron como cimientos para entender cómo estructurar el Data Warehouse bajo la metodología de Kimball y cómo diseñar nuestras tablas de hechos y dimensiones. Asimismo, el nivel de exigencia de este desafío nos deja preparados para cursos posteriores (Ciencia de Datos, Ingeniería de Software). Para Ciencia de Datos, el uso de Apache Spark y el procesamiento de datos masivos semiestructurados nos ha dado la base necesaria para, en el futuro, entrenar modelos predictivos sobre grandes volúmenes de información médica. Por otro lado, para Ingeniería de Software, el haber trabajado con control de versiones en GitHub, manejado transacciones complejas (COMMIT/ROLLBACK) y evaluado la latencia y escalabilidad entre entornos SQL y NoSQL, nos prepara para diseñar arquitecturas de sistemas robustos, resilientes y orientados a resolver problemas reales bajo normativas estricta</w:t>
      </w:r>
      <w:bookmarkStart w:id="4" w:name="_GoBack"/>
      <w:bookmarkEnd w:id="4"/>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Roboto Mono">
    <w:altName w:val="Segoe Print"/>
    <w:panose1 w:val="00000000000000000000"/>
    <w:charset w:val="00"/>
    <w:family w:val="modern"/>
    <w:pitch w:val="default"/>
    <w:sig w:usb0="00000000" w:usb1="00000000" w:usb2="00000020" w:usb3="00000000" w:csb0="0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autofit"/>
      <w:tblCellMar>
        <w:top w:w="0" w:type="dxa"/>
        <w:left w:w="108" w:type="dxa"/>
        <w:bottom w:w="0" w:type="dxa"/>
        <w:right w:w="108" w:type="dxa"/>
      </w:tblCellMar>
    </w:tblPr>
    <w:tblGrid>
      <w:gridCol w:w="3120"/>
      <w:gridCol w:w="3120"/>
      <w:gridCol w:w="3120"/>
    </w:tblGrid>
    <w:tr w14:paraId="43FE18E5">
      <w:tblPrEx>
        <w:tblCellMar>
          <w:top w:w="0" w:type="dxa"/>
          <w:left w:w="108" w:type="dxa"/>
          <w:bottom w:w="0" w:type="dxa"/>
          <w:right w:w="108" w:type="dxa"/>
        </w:tblCellMar>
      </w:tblPrEx>
      <w:trPr>
        <w:trHeight w:val="300" w:hRule="atLeast"/>
      </w:trPr>
      <w:tc>
        <w:tcPr>
          <w:tcW w:w="3120" w:type="dxa"/>
        </w:tcPr>
        <w:p w14:paraId="0C780F79">
          <w:pPr>
            <w:pStyle w:val="15"/>
            <w:bidi w:val="0"/>
            <w:ind w:left="-115"/>
            <w:jc w:val="left"/>
          </w:pPr>
        </w:p>
      </w:tc>
      <w:tc>
        <w:tcPr>
          <w:tcW w:w="3120" w:type="dxa"/>
        </w:tcPr>
        <w:p w14:paraId="6CA299A9">
          <w:pPr>
            <w:pStyle w:val="15"/>
            <w:bidi w:val="0"/>
            <w:jc w:val="center"/>
          </w:pPr>
        </w:p>
      </w:tc>
      <w:tc>
        <w:tcPr>
          <w:tcW w:w="3120" w:type="dxa"/>
        </w:tcPr>
        <w:p w14:paraId="7E8EE0E8">
          <w:pPr>
            <w:pStyle w:val="15"/>
            <w:bidi w:val="0"/>
            <w:ind w:right="-115"/>
            <w:jc w:val="right"/>
          </w:pPr>
        </w:p>
      </w:tc>
    </w:tr>
  </w:tbl>
  <w:p w14:paraId="1279F058">
    <w:pPr>
      <w:pStyle w:val="16"/>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autofit"/>
      <w:tblCellMar>
        <w:top w:w="0" w:type="dxa"/>
        <w:left w:w="108" w:type="dxa"/>
        <w:bottom w:w="0" w:type="dxa"/>
        <w:right w:w="108" w:type="dxa"/>
      </w:tblCellMar>
    </w:tblPr>
    <w:tblGrid>
      <w:gridCol w:w="3120"/>
      <w:gridCol w:w="3120"/>
      <w:gridCol w:w="3120"/>
    </w:tblGrid>
    <w:tr w14:paraId="3C349B45">
      <w:tblPrEx>
        <w:tblCellMar>
          <w:top w:w="0" w:type="dxa"/>
          <w:left w:w="108" w:type="dxa"/>
          <w:bottom w:w="0" w:type="dxa"/>
          <w:right w:w="108" w:type="dxa"/>
        </w:tblCellMar>
      </w:tblPrEx>
      <w:trPr>
        <w:trHeight w:val="300" w:hRule="atLeast"/>
      </w:trPr>
      <w:tc>
        <w:tcPr>
          <w:tcW w:w="3120" w:type="dxa"/>
        </w:tcPr>
        <w:p w14:paraId="450CD980">
          <w:pPr>
            <w:pStyle w:val="15"/>
            <w:bidi w:val="0"/>
            <w:ind w:left="-115"/>
            <w:jc w:val="left"/>
          </w:pPr>
        </w:p>
      </w:tc>
      <w:tc>
        <w:tcPr>
          <w:tcW w:w="3120" w:type="dxa"/>
        </w:tcPr>
        <w:p w14:paraId="754F99DC">
          <w:pPr>
            <w:pStyle w:val="15"/>
            <w:bidi w:val="0"/>
            <w:jc w:val="center"/>
          </w:pPr>
        </w:p>
      </w:tc>
      <w:tc>
        <w:tcPr>
          <w:tcW w:w="3120" w:type="dxa"/>
        </w:tcPr>
        <w:p w14:paraId="5BA9C841">
          <w:pPr>
            <w:pStyle w:val="15"/>
            <w:bidi w:val="0"/>
            <w:ind w:right="-115"/>
            <w:jc w:val="right"/>
          </w:pPr>
        </w:p>
      </w:tc>
    </w:tr>
  </w:tbl>
  <w:p w14:paraId="52BAA47C">
    <w:pPr>
      <w:pStyle w:val="15"/>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81BA4"/>
    <w:multiLevelType w:val="multilevel"/>
    <w:tmpl w:val="0A481BA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C9A193A"/>
    <w:multiLevelType w:val="multilevel"/>
    <w:tmpl w:val="0C9A193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38067731"/>
    <w:multiLevelType w:val="multilevel"/>
    <w:tmpl w:val="38067731"/>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nsid w:val="415D317E"/>
    <w:multiLevelType w:val="multilevel"/>
    <w:tmpl w:val="415D31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46014C1A"/>
    <w:multiLevelType w:val="multilevel"/>
    <w:tmpl w:val="46014C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6721CD56"/>
    <w:multiLevelType w:val="multilevel"/>
    <w:tmpl w:val="6721CD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76DA47DE"/>
    <w:multiLevelType w:val="multilevel"/>
    <w:tmpl w:val="76DA47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793B3080"/>
    <w:multiLevelType w:val="multilevel"/>
    <w:tmpl w:val="793B3080"/>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2"/>
    <w:lvlOverride w:ilvl="0">
      <w:startOverride w:val="1"/>
    </w:lvlOverride>
  </w:num>
  <w:num w:numId="2">
    <w:abstractNumId w:val="1"/>
    <w:lvlOverride w:ilvl="0">
      <w:startOverride w:val="1"/>
    </w:lvlOverride>
  </w:num>
  <w:num w:numId="3">
    <w:abstractNumId w:val="7"/>
  </w:num>
  <w:num w:numId="4">
    <w:abstractNumId w:val="6"/>
  </w:num>
  <w:num w:numId="5">
    <w:abstractNumId w:val="5"/>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E4E"/>
    <w:rsid w:val="002555BC"/>
    <w:rsid w:val="00507A29"/>
    <w:rsid w:val="006C21EF"/>
    <w:rsid w:val="00737845"/>
    <w:rsid w:val="008924E9"/>
    <w:rsid w:val="00976F36"/>
    <w:rsid w:val="009E7E4E"/>
    <w:rsid w:val="00A7116B"/>
    <w:rsid w:val="00A96AD8"/>
    <w:rsid w:val="00C617F1"/>
    <w:rsid w:val="00DB6734"/>
    <w:rsid w:val="00EA74C0"/>
    <w:rsid w:val="00F557CC"/>
    <w:rsid w:val="01ECA5D9"/>
    <w:rsid w:val="06833D39"/>
    <w:rsid w:val="0BCC28E7"/>
    <w:rsid w:val="0C97E36E"/>
    <w:rsid w:val="0DDC6B8F"/>
    <w:rsid w:val="0FF909E0"/>
    <w:rsid w:val="12802AA3"/>
    <w:rsid w:val="12D6BCAA"/>
    <w:rsid w:val="17A06298"/>
    <w:rsid w:val="187A646D"/>
    <w:rsid w:val="1C39702F"/>
    <w:rsid w:val="1CDA5E9D"/>
    <w:rsid w:val="1E0E8459"/>
    <w:rsid w:val="2115D7ED"/>
    <w:rsid w:val="22E235F4"/>
    <w:rsid w:val="29B2C517"/>
    <w:rsid w:val="2B2EAE6E"/>
    <w:rsid w:val="32153BB7"/>
    <w:rsid w:val="323802A8"/>
    <w:rsid w:val="32E6DD0D"/>
    <w:rsid w:val="346CF50E"/>
    <w:rsid w:val="347E3BAB"/>
    <w:rsid w:val="35FA3D9C"/>
    <w:rsid w:val="37B5B86E"/>
    <w:rsid w:val="3A9400DB"/>
    <w:rsid w:val="3BB56488"/>
    <w:rsid w:val="3E01F13C"/>
    <w:rsid w:val="4018862B"/>
    <w:rsid w:val="412C04C2"/>
    <w:rsid w:val="428272F5"/>
    <w:rsid w:val="46110DE9"/>
    <w:rsid w:val="46EC44F9"/>
    <w:rsid w:val="4A79A91E"/>
    <w:rsid w:val="5137459C"/>
    <w:rsid w:val="57FFA99D"/>
    <w:rsid w:val="593F8E61"/>
    <w:rsid w:val="595A1815"/>
    <w:rsid w:val="59794472"/>
    <w:rsid w:val="5A080E9C"/>
    <w:rsid w:val="5DEFC840"/>
    <w:rsid w:val="5E257CAD"/>
    <w:rsid w:val="5F075B97"/>
    <w:rsid w:val="60A388BE"/>
    <w:rsid w:val="65E1B595"/>
    <w:rsid w:val="669B6DAC"/>
    <w:rsid w:val="66B30EAD"/>
    <w:rsid w:val="68F148AF"/>
    <w:rsid w:val="690F6F99"/>
    <w:rsid w:val="6D3E590D"/>
    <w:rsid w:val="6E50228E"/>
    <w:rsid w:val="6EA5A2B3"/>
    <w:rsid w:val="6FF86ACF"/>
    <w:rsid w:val="71035CCA"/>
    <w:rsid w:val="73400790"/>
    <w:rsid w:val="740A596D"/>
    <w:rsid w:val="771856DB"/>
    <w:rsid w:val="7A0C5A66"/>
    <w:rsid w:val="7A380D55"/>
    <w:rsid w:val="7AE2DBAB"/>
    <w:rsid w:val="7E0E9267"/>
    <w:rsid w:val="7F7904A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lang w:val="es-PE" w:eastAsia="es-PE" w:bidi="ar-SA"/>
    </w:rPr>
  </w:style>
  <w:style w:type="paragraph" w:styleId="2">
    <w:name w:val="heading 1"/>
    <w:link w:val="23"/>
    <w:qFormat/>
    <w:uiPriority w:val="9"/>
    <w:pPr>
      <w:outlineLvl w:val="0"/>
    </w:pPr>
    <w:rPr>
      <w:rFonts w:ascii="Times New Roman" w:hAnsi="Times New Roman" w:eastAsia="Times New Roman" w:cs="Times New Roman"/>
      <w:color w:val="2E74B5"/>
      <w:sz w:val="32"/>
      <w:szCs w:val="32"/>
      <w:lang w:val="es-PE" w:eastAsia="es-PE" w:bidi="ar-SA"/>
    </w:rPr>
  </w:style>
  <w:style w:type="paragraph" w:styleId="3">
    <w:name w:val="heading 2"/>
    <w:link w:val="24"/>
    <w:unhideWhenUsed/>
    <w:qFormat/>
    <w:uiPriority w:val="9"/>
    <w:pPr>
      <w:outlineLvl w:val="1"/>
    </w:pPr>
    <w:rPr>
      <w:rFonts w:ascii="Times New Roman" w:hAnsi="Times New Roman" w:eastAsia="Times New Roman" w:cs="Times New Roman"/>
      <w:color w:val="2E74B5"/>
      <w:sz w:val="26"/>
      <w:szCs w:val="26"/>
      <w:lang w:val="es-PE" w:eastAsia="es-PE"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s-PE" w:eastAsia="es-PE"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s-PE" w:eastAsia="es-PE"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s-PE" w:eastAsia="es-PE"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s-PE" w:eastAsia="es-PE" w:bidi="ar-SA"/>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21"/>
    <w:semiHidden/>
    <w:unhideWhenUsed/>
    <w:qFormat/>
    <w:uiPriority w:val="99"/>
    <w:rPr>
      <w:rFonts w:ascii="Times New Roman" w:hAnsi="Times New Roman" w:eastAsia="Times New Roman" w:cs="Times New Roman"/>
      <w:lang w:val="es-PE" w:eastAsia="es-PE" w:bidi="ar-SA"/>
    </w:rPr>
  </w:style>
  <w:style w:type="paragraph" w:styleId="14">
    <w:name w:val="endnote text"/>
    <w:link w:val="22"/>
    <w:semiHidden/>
    <w:unhideWhenUsed/>
    <w:qFormat/>
    <w:uiPriority w:val="99"/>
    <w:rPr>
      <w:rFonts w:ascii="Times New Roman" w:hAnsi="Times New Roman" w:eastAsia="Times New Roman" w:cs="Times New Roman"/>
      <w:lang w:val="es-PE" w:eastAsia="es-PE" w:bidi="ar-SA"/>
    </w:rPr>
  </w:style>
  <w:style w:type="paragraph" w:styleId="15">
    <w:name w:val="header"/>
    <w:basedOn w:val="1"/>
    <w:unhideWhenUsed/>
    <w:qFormat/>
    <w:uiPriority w:val="99"/>
    <w:pPr>
      <w:tabs>
        <w:tab w:val="center" w:pos="4680"/>
        <w:tab w:val="right" w:pos="9360"/>
      </w:tabs>
      <w:spacing w:after="0" w:line="240" w:lineRule="auto"/>
    </w:pPr>
  </w:style>
  <w:style w:type="paragraph" w:styleId="16">
    <w:name w:val="footer"/>
    <w:basedOn w:val="1"/>
    <w:unhideWhenUsed/>
    <w:uiPriority w:val="99"/>
    <w:pPr>
      <w:tabs>
        <w:tab w:val="center" w:pos="4680"/>
        <w:tab w:val="right" w:pos="9360"/>
      </w:tabs>
      <w:spacing w:after="0" w:line="240" w:lineRule="auto"/>
    </w:pPr>
  </w:style>
  <w:style w:type="paragraph" w:styleId="17">
    <w:name w:val="Title"/>
    <w:qFormat/>
    <w:uiPriority w:val="10"/>
    <w:rPr>
      <w:rFonts w:ascii="Times New Roman" w:hAnsi="Times New Roman" w:eastAsia="Times New Roman" w:cs="Times New Roman"/>
      <w:sz w:val="56"/>
      <w:szCs w:val="56"/>
      <w:lang w:val="es-PE" w:eastAsia="es-PE" w:bidi="ar-SA"/>
    </w:rPr>
  </w:style>
  <w:style w:type="table" w:styleId="18">
    <w:name w:val="Table Grid"/>
    <w:basedOn w:val="9"/>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19">
    <w:name w:val="Texto en negrita1"/>
    <w:qFormat/>
    <w:uiPriority w:val="0"/>
    <w:rPr>
      <w:rFonts w:ascii="Times New Roman" w:hAnsi="Times New Roman" w:eastAsia="Times New Roman" w:cs="Times New Roman"/>
      <w:b/>
      <w:bCs/>
      <w:lang w:val="es-PE" w:eastAsia="es-PE" w:bidi="ar-SA"/>
    </w:rPr>
  </w:style>
  <w:style w:type="paragraph" w:styleId="20">
    <w:name w:val="List Paragraph"/>
    <w:qFormat/>
    <w:uiPriority w:val="0"/>
    <w:rPr>
      <w:rFonts w:ascii="Times New Roman" w:hAnsi="Times New Roman" w:eastAsia="Times New Roman" w:cs="Times New Roman"/>
      <w:lang w:val="es-PE" w:eastAsia="es-PE" w:bidi="ar-SA"/>
    </w:rPr>
  </w:style>
  <w:style w:type="character" w:customStyle="1" w:styleId="21">
    <w:name w:val="Texto nota pie Car"/>
    <w:link w:val="13"/>
    <w:semiHidden/>
    <w:unhideWhenUsed/>
    <w:qFormat/>
    <w:uiPriority w:val="99"/>
    <w:rPr>
      <w:sz w:val="20"/>
      <w:szCs w:val="20"/>
    </w:rPr>
  </w:style>
  <w:style w:type="character" w:customStyle="1" w:styleId="22">
    <w:name w:val="Texto nota al final Car"/>
    <w:link w:val="14"/>
    <w:semiHidden/>
    <w:unhideWhenUsed/>
    <w:uiPriority w:val="99"/>
    <w:rPr>
      <w:sz w:val="20"/>
      <w:szCs w:val="20"/>
    </w:rPr>
  </w:style>
  <w:style w:type="character" w:customStyle="1" w:styleId="23">
    <w:name w:val="Título 1 Car"/>
    <w:basedOn w:val="8"/>
    <w:link w:val="2"/>
    <w:uiPriority w:val="9"/>
    <w:rPr>
      <w:color w:val="2E74B5"/>
      <w:sz w:val="32"/>
      <w:szCs w:val="32"/>
    </w:rPr>
  </w:style>
  <w:style w:type="character" w:customStyle="1" w:styleId="24">
    <w:name w:val="Título 2 Car"/>
    <w:basedOn w:val="8"/>
    <w:link w:val="3"/>
    <w:uiPriority w:val="9"/>
    <w:rPr>
      <w:color w:val="2E74B5"/>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1869</Words>
  <Characters>11110</Characters>
  <TotalTime>3</TotalTime>
  <ScaleCrop>false</ScaleCrop>
  <LinksUpToDate>false</LinksUpToDate>
  <CharactersWithSpaces>12768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2026-09-24T22:37:00Z</dcterms:created>
  <dc:creator>Un-named</dc:creator>
  <cp:lastModifiedBy>mateo</cp:lastModifiedBy>
  <dcterms:modified xsi:type="dcterms:W3CDTF">2026-10-09T00:08:50Z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eyJoZGlkIjoiYzc2OGVkYWIxNmZkMWFjMmQxZDYwYzg3MDM3MzRhMDIifQ==</vt:lpwstr>
  </property>
  <property fmtid="{D5CDD505-2E9C-101B-9397-08002B2CF9AE}" pid="3" name="KSOProductBuildVer">
    <vt:lpwstr>3082-12.1.0.28485</vt:lpwstr>
  </property>
  <property fmtid="{D5CDD505-2E9C-101B-9397-08002B2CF9AE}" pid="4" name="ICV">
    <vt:lpwstr>9F0CA6E746654B5AAC582D6BF634481B_13</vt:lpwstr>
  </property>
</Properties>
</file>