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6B"/>
          <w:sz w:val="56"/>
          <w:szCs w:val="56"/>
        </w:rPr>
        <w:t xml:space="preserve">TCG FREIGHT BROKER PLATFORM</w:t>
      </w:r>
    </w:p>
    <w:p>
      <w:pPr>
        <w:spacing w:before="0" w:after="160"/>
        <w:jc w:val="center"/>
      </w:pPr>
      <w:r>
        <w:rPr>
          <w:rFonts w:ascii="Arial" w:cs="Arial" w:eastAsia="Arial" w:hAnsi="Arial"/>
          <w:color w:val="2E75B6"/>
          <w:sz w:val="36"/>
          <w:szCs w:val="36"/>
        </w:rPr>
        <w:t xml:space="preserve">Architecture Specification</w:t>
      </w:r>
    </w:p>
    <w:p>
      <w:pPr>
        <w:spacing w:before="0" w:after="80"/>
        <w:jc w:val="center"/>
      </w:pPr>
      <w:r>
        <w:rPr>
          <w:rFonts w:ascii="Arial" w:cs="Arial" w:eastAsia="Arial" w:hAnsi="Arial"/>
          <w:i/>
          <w:iCs/>
          <w:color w:val="555555"/>
          <w:sz w:val="28"/>
          <w:szCs w:val="28"/>
        </w:rPr>
        <w:t xml:space="preserve">.NET  ·  SQL Server  ·  React</w:t>
      </w:r>
    </w:p>
    <w:p>
      <w:pPr>
        <w:spacing w:before="480" w:after="80"/>
        <w:jc w:val="center"/>
      </w:pPr>
      <w:r>
        <w:rPr>
          <w:rFonts w:ascii="Arial" w:cs="Arial" w:eastAsia="Arial" w:hAnsi="Arial"/>
          <w:color w:val="888888"/>
          <w:sz w:val="20"/>
          <w:szCs w:val="20"/>
        </w:rPr>
        <w:t xml:space="preserve">Version 1.0  |  March 10, 2026</w:t>
      </w:r>
    </w:p>
    <w:p>
      <w:pPr>
        <w:spacing w:before="0" w:after="80"/>
        <w:jc w:val="center"/>
      </w:pPr>
      <w:r>
        <w:rPr>
          <w:rFonts w:ascii="Arial" w:cs="Arial" w:eastAsia="Arial" w:hAnsi="Arial"/>
          <w:i/>
          <w:iCs/>
          <w:color w:val="888888"/>
          <w:sz w:val="18"/>
          <w:szCs w:val="18"/>
        </w:rPr>
        <w:t xml:space="preserve">Confidential — Internal Use Only</w:t>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1. Overview</w:t>
      </w:r>
    </w:p>
    <w:p>
      <w:pPr>
        <w:spacing w:before="80" w:after="100"/>
      </w:pPr>
      <w:r>
        <w:rPr>
          <w:rFonts w:ascii="Arial" w:cs="Arial" w:eastAsia="Arial" w:hAnsi="Arial"/>
          <w:sz w:val="20"/>
          <w:szCs w:val="20"/>
        </w:rPr>
        <w:t xml:space="preserve">The TCG Freight Broker Platform is an internal load management and decision engine used to evaluate, accept, and reject freight loads sourced from e2open and DAT. It enforces GP% floors, tracks contract obligations by lane, records every decision in a full audit trail, and surfaces performance analytics for account managers and finance.</w:t>
      </w:r>
    </w:p>
    <w:p>
      <w:pPr>
        <w:spacing w:before="80" w:after="80"/>
      </w:pPr>
      <w:r>
        <w:t xml:space="preserve"/>
      </w:r>
    </w:p>
    <w:p>
      <w:pPr>
        <w:spacing w:before="80" w:after="100"/>
      </w:pPr>
      <w:r>
        <w:rPr>
          <w:rFonts w:ascii="Arial" w:cs="Arial" w:eastAsia="Arial" w:hAnsi="Arial"/>
          <w:sz w:val="20"/>
          <w:szCs w:val="20"/>
        </w:rPr>
        <w:t xml:space="preserve">This document specifies the full re-architecture of the current HTML prototype into a production-grade, three-tier application using:</w:t>
      </w:r>
    </w:p>
    <w:p>
      <w:pPr>
        <w:pStyle w:val="ListParagraph"/>
        <w:numPr>
          <w:ilvl w:val="0"/>
          <w:numId w:val="2"/>
        </w:numPr>
        <w:spacing w:before="40" w:after="40"/>
      </w:pPr>
      <w:r>
        <w:rPr>
          <w:rFonts w:ascii="Arial" w:cs="Arial" w:eastAsia="Arial" w:hAnsi="Arial"/>
          <w:sz w:val="20"/>
          <w:szCs w:val="20"/>
        </w:rPr>
        <w:t xml:space="preserve">.NET 8 Web API — backend business logic, rules engine, authentication</w:t>
      </w:r>
    </w:p>
    <w:p>
      <w:pPr>
        <w:pStyle w:val="ListParagraph"/>
        <w:numPr>
          <w:ilvl w:val="0"/>
          <w:numId w:val="2"/>
        </w:numPr>
        <w:spacing w:before="40" w:after="40"/>
      </w:pPr>
      <w:r>
        <w:rPr>
          <w:rFonts w:ascii="Arial" w:cs="Arial" w:eastAsia="Arial" w:hAnsi="Arial"/>
          <w:sz w:val="20"/>
          <w:szCs w:val="20"/>
        </w:rPr>
        <w:t xml:space="preserve">SQL Server 2022 — persistent data store for loads, lanes, clients, users, and audit</w:t>
      </w:r>
    </w:p>
    <w:p>
      <w:pPr>
        <w:pStyle w:val="ListParagraph"/>
        <w:numPr>
          <w:ilvl w:val="0"/>
          <w:numId w:val="2"/>
        </w:numPr>
        <w:spacing w:before="40" w:after="40"/>
      </w:pPr>
      <w:r>
        <w:rPr>
          <w:rFonts w:ascii="Arial" w:cs="Arial" w:eastAsia="Arial" w:hAnsi="Arial"/>
          <w:sz w:val="20"/>
          <w:szCs w:val="20"/>
        </w:rPr>
        <w:t xml:space="preserve">React 18 + TypeScript — responsive single-page frontend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D5E8F0" w:val="clear"/>
            <w:tcMar>
              <w:top w:type="dxa" w:w="100"/>
              <w:left w:type="dxa" w:w="200"/>
              <w:bottom w:type="dxa" w:w="100"/>
              <w:right w:type="dxa" w:w="120"/>
            </w:tcMar>
          </w:tcPr>
          <w:p>
            <w:r>
              <w:rPr>
                <w:rFonts w:ascii="Arial" w:cs="Arial" w:eastAsia="Arial" w:hAnsi="Arial"/>
                <w:i/>
                <w:iCs/>
                <w:color w:val="1F497D"/>
                <w:sz w:val="20"/>
                <w:szCs w:val="20"/>
              </w:rPr>
              <w:t xml:space="preserve">The prototype (tcg-freight-broker.html) contains 84 functions and ~2,000 lines of JavaScript. All data is currently in-memory. This spec translates every feature into a durable, multi-user production system.</w:t>
            </w:r>
          </w:p>
        </w:tc>
      </w:tr>
    </w:tbl>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2. System Architecture</w:t>
      </w:r>
    </w:p>
    <w:p>
      <w:pPr>
        <w:pStyle w:val="Heading2"/>
        <w:spacing w:before="280" w:after="120"/>
      </w:pPr>
      <w:r>
        <w:rPr>
          <w:rFonts w:ascii="Arial" w:cs="Arial" w:eastAsia="Arial" w:hAnsi="Arial"/>
          <w:b/>
          <w:bCs/>
          <w:color w:val="2E75B6"/>
          <w:sz w:val="28"/>
          <w:szCs w:val="28"/>
        </w:rPr>
        <w:t xml:space="preserve">2.1 High-Level Diagram</w:t>
      </w:r>
    </w:p>
    <w:p>
      <w:pPr>
        <w:spacing w:before="80" w:after="100"/>
      </w:pPr>
      <w:r>
        <w:rPr>
          <w:rFonts w:ascii="Arial" w:cs="Arial" w:eastAsia="Arial" w:hAnsi="Arial"/>
          <w:sz w:val="20"/>
          <w:szCs w:val="20"/>
        </w:rPr>
        <w:t xml:space="preserve">The system follows a standard three-tier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9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Presentation</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React 18 + TypeScript + Vite</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SPA — tabs, tables, decision UI, audit views</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API</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.NET 8 Minimal API / Web API</w:t>
            </w:r>
          </w:p>
        </w:tc>
        <w:tc>
          <w:tcPr>
            <w:tcW w:type="dxa" w:w="3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Business logic, rules engine, auth, e2open integration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Data</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SQL Server 2022 + EF Core 8</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Persistence — loads, lanes, clients, users, audit log</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Auth</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ASP.NET Core Identity + JWT</w:t>
            </w:r>
          </w:p>
        </w:tc>
        <w:tc>
          <w:tcPr>
            <w:tcW w:type="dxa" w:w="3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Role-based access: Admin, Broker, Viewer</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Real-time</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SignalR</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Push new loads to connected clients without polling</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External</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e2open REST API</w:t>
            </w:r>
          </w:p>
        </w:tc>
        <w:tc>
          <w:tcPr>
            <w:tcW w:type="dxa" w:w="3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 source (inbound) + decision acknowledgement (outbound)</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External</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 API</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Spot rate lookups per lane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2.2 Solution Structure</w:t>
      </w:r>
    </w:p>
    <w:p>
      <w:pPr>
        <w:spacing w:before="60" w:after="60"/>
        <w:ind w:left="720"/>
      </w:pPr>
      <w:r>
        <w:rPr>
          <w:rFonts w:ascii="Courier New" w:cs="Courier New" w:eastAsia="Courier New" w:hAnsi="Courier New"/>
          <w:color w:val="1F497D"/>
          <w:sz w:val="18"/>
          <w:szCs w:val="18"/>
        </w:rPr>
        <w:t xml:space="preserve">TCG.FreightBroker.sln</w:t>
      </w:r>
    </w:p>
    <w:p>
      <w:pPr>
        <w:spacing w:before="60" w:after="60"/>
        <w:ind w:left="720"/>
      </w:pPr>
      <w:r>
        <w:rPr>
          <w:rFonts w:ascii="Courier New" w:cs="Courier New" w:eastAsia="Courier New" w:hAnsi="Courier New"/>
          <w:color w:val="1F497D"/>
          <w:sz w:val="18"/>
          <w:szCs w:val="18"/>
        </w:rPr>
        <w:t xml:space="preserve">├── src/</w:t>
      </w:r>
    </w:p>
    <w:p>
      <w:pPr>
        <w:spacing w:before="60" w:after="60"/>
        <w:ind w:left="720"/>
      </w:pPr>
      <w:r>
        <w:rPr>
          <w:rFonts w:ascii="Courier New" w:cs="Courier New" w:eastAsia="Courier New" w:hAnsi="Courier New"/>
          <w:color w:val="1F497D"/>
          <w:sz w:val="18"/>
          <w:szCs w:val="18"/>
        </w:rPr>
        <w:t xml:space="preserve">│   ├── TCG.FreightBroker.Api          (.NET 8 Web API)</w:t>
      </w:r>
    </w:p>
    <w:p>
      <w:pPr>
        <w:spacing w:before="60" w:after="60"/>
        <w:ind w:left="720"/>
      </w:pPr>
      <w:r>
        <w:rPr>
          <w:rFonts w:ascii="Courier New" w:cs="Courier New" w:eastAsia="Courier New" w:hAnsi="Courier New"/>
          <w:color w:val="1F497D"/>
          <w:sz w:val="18"/>
          <w:szCs w:val="18"/>
        </w:rPr>
        <w:t xml:space="preserve">│   ├── TCG.FreightBroker.Core          (Domain models, interfaces)</w:t>
      </w:r>
    </w:p>
    <w:p>
      <w:pPr>
        <w:spacing w:before="60" w:after="60"/>
        <w:ind w:left="720"/>
      </w:pPr>
      <w:r>
        <w:rPr>
          <w:rFonts w:ascii="Courier New" w:cs="Courier New" w:eastAsia="Courier New" w:hAnsi="Courier New"/>
          <w:color w:val="1F497D"/>
          <w:sz w:val="18"/>
          <w:szCs w:val="18"/>
        </w:rPr>
        <w:t xml:space="preserve">│   ├── TCG.FreightBroker.Application   (CQRS handlers, services)</w:t>
      </w:r>
    </w:p>
    <w:p>
      <w:pPr>
        <w:spacing w:before="60" w:after="60"/>
        <w:ind w:left="720"/>
      </w:pPr>
      <w:r>
        <w:rPr>
          <w:rFonts w:ascii="Courier New" w:cs="Courier New" w:eastAsia="Courier New" w:hAnsi="Courier New"/>
          <w:color w:val="1F497D"/>
          <w:sz w:val="18"/>
          <w:szCs w:val="18"/>
        </w:rPr>
        <w:t xml:space="preserve">│   ├── TCG.FreightBroker.Infrastructure (EF Core, SQL, external APIs)</w:t>
      </w:r>
    </w:p>
    <w:p>
      <w:pPr>
        <w:spacing w:before="60" w:after="60"/>
        <w:ind w:left="720"/>
      </w:pPr>
      <w:r>
        <w:rPr>
          <w:rFonts w:ascii="Courier New" w:cs="Courier New" w:eastAsia="Courier New" w:hAnsi="Courier New"/>
          <w:color w:val="1F497D"/>
          <w:sz w:val="18"/>
          <w:szCs w:val="18"/>
        </w:rPr>
        <w:t xml:space="preserve">│   └── TCG.FreightBroker.Web           (React 18 + TypeScript SPA)</w:t>
      </w:r>
    </w:p>
    <w:p>
      <w:pPr>
        <w:spacing w:before="60" w:after="60"/>
        <w:ind w:left="720"/>
      </w:pPr>
      <w:r>
        <w:rPr>
          <w:rFonts w:ascii="Courier New" w:cs="Courier New" w:eastAsia="Courier New" w:hAnsi="Courier New"/>
          <w:color w:val="1F497D"/>
          <w:sz w:val="18"/>
          <w:szCs w:val="18"/>
        </w:rPr>
        <w:t xml:space="preserve">└── tests/</w:t>
      </w:r>
    </w:p>
    <w:p>
      <w:pPr>
        <w:spacing w:before="60" w:after="60"/>
        <w:ind w:left="720"/>
      </w:pPr>
      <w:r>
        <w:rPr>
          <w:rFonts w:ascii="Courier New" w:cs="Courier New" w:eastAsia="Courier New" w:hAnsi="Courier New"/>
          <w:color w:val="1F497D"/>
          <w:sz w:val="18"/>
          <w:szCs w:val="18"/>
        </w:rPr>
        <w:t xml:space="preserve">    ├── TCG.FreightBroker.UnitTests</w:t>
      </w:r>
    </w:p>
    <w:p>
      <w:pPr>
        <w:spacing w:before="60" w:after="60"/>
        <w:ind w:left="720"/>
      </w:pPr>
      <w:r>
        <w:rPr>
          <w:rFonts w:ascii="Courier New" w:cs="Courier New" w:eastAsia="Courier New" w:hAnsi="Courier New"/>
          <w:color w:val="1F497D"/>
          <w:sz w:val="18"/>
          <w:szCs w:val="18"/>
        </w:rPr>
        <w:t xml:space="preserve">    └── TCG.FreightBroker.IntegrationTests</w:t>
      </w:r>
    </w:p>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3. Database Schema (SQL Server)</w:t>
      </w:r>
    </w:p>
    <w:p>
      <w:pPr>
        <w:pStyle w:val="Heading2"/>
        <w:spacing w:before="280" w:after="120"/>
      </w:pPr>
      <w:r>
        <w:rPr>
          <w:rFonts w:ascii="Arial" w:cs="Arial" w:eastAsia="Arial" w:hAnsi="Arial"/>
          <w:b/>
          <w:bCs/>
          <w:color w:val="2E75B6"/>
          <w:sz w:val="28"/>
          <w:szCs w:val="28"/>
        </w:rPr>
        <w:t xml:space="preserve">3.1 Tables</w:t>
      </w:r>
    </w:p>
    <w:p>
      <w:pPr>
        <w:pStyle w:val="Heading3"/>
        <w:spacing w:before="200" w:after="80"/>
      </w:pPr>
      <w:r>
        <w:rPr>
          <w:rFonts w:ascii="Arial" w:cs="Arial" w:eastAsia="Arial" w:hAnsi="Arial"/>
          <w:b/>
          <w:bCs/>
          <w:color w:val="000000"/>
          <w:sz w:val="24"/>
          <w:szCs w:val="24"/>
        </w:rPr>
        <w:t xml:space="preserve">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rPr>
          <w:tblHeader/>
        </w:trPr>
        <w:tc>
          <w:tcPr>
            <w:tcW w:type="dxa" w:w="1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LaneId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 IDENTITY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PK</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LaneName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NVARCHAR(200)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UNIQUE</w:t>
            </w:r>
          </w:p>
        </w:tc>
        <w:tc>
          <w:tcPr>
            <w:tcW w:type="dxa" w:w="4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e.g. Grand Rapids, MI → Alsip, IL</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LaneType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NVARCHAR(10)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CTR or SPOT</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ContractAmount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w:t>
            </w:r>
          </w:p>
        </w:tc>
        <w:tc>
          <w:tcPr>
            <w:tcW w:type="dxa" w:w="4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Contract rate ($)</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SpotRate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 spot rate</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WeeklyMinimum</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NULL</w:t>
            </w:r>
          </w:p>
        </w:tc>
        <w:tc>
          <w:tcPr>
            <w:tcW w:type="dxa" w:w="4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Contract weekly load obligation</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AvgRevenue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Historical avg revenue</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AvgProfit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NULL</w:t>
            </w:r>
          </w:p>
        </w:tc>
        <w:tc>
          <w:tcPr>
            <w:tcW w:type="dxa" w:w="4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Historical avg GP$</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TotalProfit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DECIMAL(12,2)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YTD cumulative GP$</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YtdLoads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NULL DEFAULT 0</w:t>
            </w:r>
          </w:p>
        </w:tc>
        <w:tc>
          <w:tcPr>
            <w:tcW w:type="dxa" w:w="4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YTD load count</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Notes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NVARCHAR(500)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Lane-level notes</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IsActive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BIT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1</w:t>
            </w:r>
          </w:p>
        </w:tc>
        <w:tc>
          <w:tcPr>
            <w:tcW w:type="dxa" w:w="4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Soft delete</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CreatedAt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DATETIME2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 DEFAULT GETUTCDATE()</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UpdatedAt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DATETIME2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NULL</w:t>
            </w:r>
          </w:p>
        </w:tc>
        <w:tc>
          <w:tcPr>
            <w:tcW w:type="dxa" w:w="4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bl>
    <w:p>
      <w:pPr>
        <w:spacing w:before="80" w:after="80"/>
      </w:pPr>
      <w:r>
        <w:t xml:space="preserve"/>
      </w:r>
    </w:p>
    <w:p>
      <w:pPr>
        <w:pStyle w:val="Heading3"/>
        <w:spacing w:before="200" w:after="80"/>
      </w:pPr>
      <w:r>
        <w:rPr>
          <w:rFonts w:ascii="Arial" w:cs="Arial" w:eastAsia="Arial" w:hAnsi="Arial"/>
          <w:b/>
          <w:bCs/>
          <w:color w:val="000000"/>
          <w:sz w:val="24"/>
          <w:szCs w:val="24"/>
        </w:rP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rPr>
          <w:tblHeader/>
        </w:trPr>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5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ClientId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 IDENTITY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PK</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ClientCode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NVARCHAR(20)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UNIQUE</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e.g. REYES</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ClientName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NVARCHAR(100)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GpTarget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DECIMAL(5,2)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10.0</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 floor override</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AutoAccept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BIT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 DEFAULT 1</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Enable auto-accept for this client</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IsActive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BIT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1</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CreatedAt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DATETIME2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 DEFAULT GETUTCDATE()</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80" w:after="80"/>
      </w:pPr>
      <w:r>
        <w:t xml:space="preserve"/>
      </w:r>
    </w:p>
    <w:p>
      <w:pPr>
        <w:pStyle w:val="Heading3"/>
        <w:spacing w:before="200" w:after="80"/>
      </w:pPr>
      <w:r>
        <w:rPr>
          <w:rFonts w:ascii="Arial" w:cs="Arial" w:eastAsia="Arial" w:hAnsi="Arial"/>
          <w:b/>
          <w:bCs/>
          <w:color w:val="000000"/>
          <w:sz w:val="24"/>
          <w:szCs w:val="24"/>
        </w:rPr>
        <w:t xml:space="preserve">ClientLanes (junction)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ClientLaneId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 IDENTITY</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PK</w:t>
            </w:r>
          </w:p>
        </w:tc>
        <w:tc>
          <w:tcPr>
            <w:tcW w:type="dxa" w:w="3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ClientId</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FK → Clients</w:t>
            </w:r>
          </w:p>
        </w:tc>
        <w:tc>
          <w:tcPr>
            <w:tcW w:type="dxa" w:w="3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LaneId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FK → Lanes</w:t>
            </w:r>
          </w:p>
        </w:tc>
        <w:tc>
          <w:tcPr>
            <w:tcW w:type="dxa" w:w="3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80" w:after="80"/>
      </w:pPr>
      <w:r>
        <w:t xml:space="preserve"/>
      </w:r>
    </w:p>
    <w:p>
      <w:pPr>
        <w:pStyle w:val="Heading3"/>
        <w:spacing w:before="200" w:after="80"/>
      </w:pPr>
      <w:r>
        <w:rPr>
          <w:rFonts w:ascii="Arial" w:cs="Arial" w:eastAsia="Arial" w:hAnsi="Arial"/>
          <w:b/>
          <w:bCs/>
          <w:color w:val="000000"/>
          <w:sz w:val="24"/>
          <w:szCs w:val="24"/>
        </w:rPr>
        <w:t xml:space="preserve">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rPr>
          <w:tblHeader/>
        </w:trPr>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LoadId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 IDENTITY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PK</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LoadNumber</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NVARCHAR(20)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UNIQUE</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LD-10001 format</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LaneId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FK → Lanes NOT 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ClientId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FK → Clients NULL</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CarrierCost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Our cost (carrier)</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CustomerRate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Billed to customer</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ContractRate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Contract obligation rate</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SpotRate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DAT spot at time of load</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GpDollar</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 COMPUTED</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CustomerRate - CarrierCost</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GpPercent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DECIMAL(5,2)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COMPUTED</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GpDollar / CustomerRate * 100</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CtrGpPercent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DECIMAL(5,2)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(ContractRate - CarrierCost) / ContractRate * 100</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IsContract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BIT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0</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Contract vs spot load</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WeeklyMinAtTime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Snapshot of wk obligation</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Status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NVARCHAR(20)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'Pending'</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Pending, Accepted, Rejected</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AiRecommendation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NVARCHAR(20)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AUTO-ACCEPT, REVIEW, REJECT</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AiScore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NULL</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Rules engine score</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Source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NVARCHAR(20)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 DEFAULT 'e2open'</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e2open or DAT</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E2openSent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BIT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0</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Acknowledgement sent</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E2openSentAt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DATETIME2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ReceivedAt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DATETIME2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GETUTCDATE()</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DecisionAt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DATETIME2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When accepted/rejected</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DecisionBy</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FK → Users NULL</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User who decided</w:t>
            </w:r>
          </w:p>
        </w:tc>
      </w:tr>
    </w:tbl>
    <w:p>
      <w:pPr>
        <w:spacing w:before="80" w:after="80"/>
      </w:pPr>
      <w:r>
        <w:t xml:space="preserve"/>
      </w:r>
    </w:p>
    <w:p>
      <w:pPr>
        <w:pStyle w:val="Heading3"/>
        <w:spacing w:before="200" w:after="80"/>
      </w:pPr>
      <w:r>
        <w:rPr>
          <w:rFonts w:ascii="Arial" w:cs="Arial" w:eastAsia="Arial" w:hAnsi="Arial"/>
          <w:b/>
          <w:bCs/>
          <w:color w:val="000000"/>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rPr>
          <w:tblHeader/>
        </w:trPr>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UserId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 IDENTITY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PK</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Username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NVARCHAR(50)</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UNIQUE</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FullName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NVARCHAR(100)</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Email</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NVARCHAR(200)</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UNIQUE</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PasswordHash</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NVARCHAR(500)</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BCrypt hash</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Role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NVARCHAR(20)</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'Broker'</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 Broker, Viewer</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IsActive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BIT</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 DEFAULT 1</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LastLoginAt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DATETIME2</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NULL</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CreatedAt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DATETIME2</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 DEFAULT GETUTCDATE()</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80" w:after="80"/>
      </w:pPr>
      <w:r>
        <w:t xml:space="preserve"/>
      </w:r>
    </w:p>
    <w:p>
      <w:pPr>
        <w:pStyle w:val="Heading3"/>
        <w:spacing w:before="200" w:after="80"/>
      </w:pPr>
      <w:r>
        <w:rPr>
          <w:rFonts w:ascii="Arial" w:cs="Arial" w:eastAsia="Arial" w:hAnsi="Arial"/>
          <w:b/>
          <w:bCs/>
          <w:color w:val="000000"/>
          <w:sz w:val="24"/>
          <w:szCs w:val="24"/>
        </w:rPr>
        <w:t xml:space="preserve">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rPr>
          <w:tblHeader/>
        </w:trPr>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5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AuditId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BIGINT IDENTITY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PK</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Action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NVARCHAR(50)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LOAD_ACCEPT, LOAD_REJECT, LOGIN, etc.</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Detail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NVARCHAR(1000)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Human-readable description</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LoadId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FK → Loads NULL</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UserId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FK → Users NULL</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 = system action</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GpDollar</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DECIMAL(10,2)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NULL</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 at decision time</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GpPercent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DECIMAL(5,2)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at decision time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CreatedAt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DATETIME2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 DEFAULT GETUTCDATE()</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IpAddress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NVARCHAR(50)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Client IP for security</w:t>
            </w:r>
          </w:p>
        </w:tc>
      </w:tr>
    </w:tbl>
    <w:p>
      <w:pPr>
        <w:spacing w:before="80" w:after="80"/>
      </w:pPr>
      <w:r>
        <w:t xml:space="preserve"/>
      </w:r>
    </w:p>
    <w:p>
      <w:pPr>
        <w:pStyle w:val="Heading3"/>
        <w:spacing w:before="200" w:after="80"/>
      </w:pPr>
      <w:r>
        <w:rPr>
          <w:rFonts w:ascii="Arial" w:cs="Arial" w:eastAsia="Arial" w:hAnsi="Arial"/>
          <w:b/>
          <w:bCs/>
          <w:color w:val="000000"/>
          <w:sz w:val="24"/>
          <w:szCs w:val="24"/>
        </w:rPr>
        <w:t xml:space="preserve">SystemParameters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rPr>
          <w:tblHeader/>
        </w:trPr>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ParamKey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NVARCHAR(100)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PK</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e.g. CtrGPFloor</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ParamValue</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NVARCHAR(200)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NOT NULL</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Description</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NVARCHAR(500)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NULL</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UpdatedBy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FK → Users NULL</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UpdatedAt</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DATETIME2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NOT NULL DEFAULT GETUTCDATE()</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4. API Endpoints (.NET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D5E8F0" w:val="clear"/>
            <w:tcMar>
              <w:top w:type="dxa" w:w="100"/>
              <w:left w:type="dxa" w:w="200"/>
              <w:bottom w:type="dxa" w:w="100"/>
              <w:right w:type="dxa" w:w="120"/>
            </w:tcMar>
          </w:tcPr>
          <w:p>
            <w:r>
              <w:rPr>
                <w:rFonts w:ascii="Arial" w:cs="Arial" w:eastAsia="Arial" w:hAnsi="Arial"/>
                <w:i/>
                <w:iCs/>
                <w:color w:val="1F497D"/>
                <w:sz w:val="20"/>
                <w:szCs w:val="20"/>
              </w:rPr>
              <w:t xml:space="preserve">Base URL: /api/v1   |   Auth: Bearer JWT token required on all endpoints except /auth/login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/auth/login</w:t>
            </w:r>
          </w:p>
        </w:tc>
        <w:tc>
          <w:tcPr>
            <w:tcW w:type="dxa" w:w="6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Username + password → JWT access token + refresh token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POST</w:t>
            </w:r>
          </w:p>
        </w:tc>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/auth/refresh</w:t>
            </w:r>
          </w:p>
        </w:tc>
        <w:tc>
          <w:tcPr>
            <w:tcW w:type="dxa" w:w="6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Refresh token → new access token</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/auth/logout</w:t>
            </w:r>
          </w:p>
        </w:tc>
        <w:tc>
          <w:tcPr>
            <w:tcW w:type="dxa" w:w="6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Invalidate refresh token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4.2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160"/>
        <w:gridCol w:w="1200"/>
      </w:tblGrid>
      <w:tr>
        <w:trPr>
          <w:tblHeader/>
        </w:trPr>
        <w:tc>
          <w:tcPr>
            <w:tcW w:type="dxa" w:w="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/loads</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Paginated load list. Filter: status, clientId, laneId, dateFrom, dateTo</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/loads/{id}</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Single load with full evaluation details</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/loads</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Create / ingest a new load (from e2open webhook)</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 System</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PATCH</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/loads/{id}/accept</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Manually accept a load</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 Broker</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PATCH</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/loads/{id}/reject</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Manually reject a load</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 Broker</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POST</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/loads/batch-accept</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Accept array of load IDs</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 Broker</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/loads/batch-reject</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Reject array of load IDs</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 Broker</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/loads/{id}/evaluation</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Run rules engine on load, return full score breakdown</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All</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4.3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w:trPr>
          <w:tblHeader/>
        </w:trPr>
        <w:tc>
          <w:tcPr>
            <w:tcW w:type="dxa" w:w="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/lanes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 lanes with current week booking counts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/lanes/{id}</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Lane detail with history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/lanes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Create lane</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PUT</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/lanes/{id}</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Update lane rates/settings</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DELETE</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/lanes/{id}</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Soft delete lane</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/lanes/{id}/performance</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 history, weekly fill rate, AI accuracy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All</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4.4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560"/>
        <w:gridCol w:w="1800"/>
      </w:tblGrid>
      <w:tr>
        <w:trPr>
          <w:tblHeader/>
        </w:trPr>
        <w:tc>
          <w:tcPr>
            <w:tcW w:type="dxa" w:w="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/clients</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 clients with assigned lanes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POST</w:t>
            </w:r>
          </w:p>
        </w:tc>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/clients</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Create client</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PUT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/clients/{id}</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Update GP target, auto-accept flag, lanes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DELETE</w:t>
            </w:r>
          </w:p>
        </w:tc>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/clients/{id}</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Soft delete</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4.5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1800"/>
      </w:tblGrid>
      <w:tr>
        <w:trPr>
          <w:tblHeader/>
        </w:trPr>
        <w:tc>
          <w:tcPr>
            <w:tcW w:type="dxa" w:w="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9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/audit</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Paginated audit log. Filter: action, userId, loadId, dateFrom, dateTo</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/audit/summary</w:t>
            </w:r>
          </w:p>
        </w:tc>
        <w:tc>
          <w:tcPr>
            <w:tcW w:type="dxa" w:w="3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Stats: decisions by user, GP totals, daily breakdown</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/audit/users/{userId}/decisions</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 manual decisions for a specific user with GP totals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/audit/export</w:t>
            </w:r>
          </w:p>
        </w:tc>
        <w:tc>
          <w:tcPr>
            <w:tcW w:type="dxa" w:w="3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Download CSV</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4.6 Analytics /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360"/>
        <w:gridCol w:w="1800"/>
      </w:tblGrid>
      <w:tr>
        <w:trPr>
          <w:tblHeader/>
        </w:trPr>
        <w:tc>
          <w:tcPr>
            <w:tcW w:type="dxa" w:w="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/analytics/weekly</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Current week fill rate, loads by status, GP summary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/analytics/daily-accepted</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Accepted loads grouped by day with GP totals</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/analytics/lanes/performance</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Per-lane: avg GP$, avg GP%, YTD loads, fill rate</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/analytics/clients/performance</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Per-client: accepts, rejects, GP$, GP%</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All</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4.7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360"/>
        <w:gridCol w:w="1600"/>
      </w:tblGrid>
      <w:tr>
        <w:trPr>
          <w:tblHeader/>
        </w:trPr>
        <w:tc>
          <w:tcPr>
            <w:tcW w:type="dxa" w:w="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/system/parameters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 all tuning parameters (GP floors, margins, etc.)</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PUT</w:t>
            </w:r>
          </w:p>
        </w:tc>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/system/parameters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Update parameters — logged to audit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/users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List all users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POST</w:t>
            </w:r>
          </w:p>
        </w:tc>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/users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Create user</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PUT</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/users/{id}</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Update user role/status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GET</w:t>
            </w:r>
          </w:p>
        </w:tc>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/integrations/e2open/status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e2open connection health</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w:t>
            </w:r>
          </w:p>
        </w:tc>
      </w:tr>
      <w:tr>
        <w:tc>
          <w:tcPr>
            <w:tcW w:type="dxa" w:w="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/integrations/e2open/test</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Send test acknowledgement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r>
    </w:tbl>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5. Rules Engine (.NET Service)</w:t>
      </w:r>
    </w:p>
    <w:p>
      <w:pPr>
        <w:spacing w:before="80" w:after="100"/>
      </w:pPr>
      <w:r>
        <w:rPr>
          <w:rFonts w:ascii="Arial" w:cs="Arial" w:eastAsia="Arial" w:hAnsi="Arial"/>
          <w:sz w:val="20"/>
          <w:szCs w:val="20"/>
        </w:rPr>
        <w:t xml:space="preserve">The core decision logic from the prototype's evaluate() function translates to a LoadEvaluationService in the Application layer.</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5.1 Evaluation Rules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900"/>
        <w:gridCol w:w="4060"/>
      </w:tblGrid>
      <w:tr>
        <w:trPr>
          <w:tblHeader/>
        </w:trPr>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Pass Condition</w:t>
            </w:r>
          </w:p>
        </w:tc>
        <w:tc>
          <w:tcPr>
            <w:tcW w:type="dxa" w:w="9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40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Block</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CtrGP% &gt;= GP Floor</w:t>
            </w:r>
          </w:p>
        </w:tc>
        <w:tc>
          <w:tcPr>
            <w:tcW w:type="dxa" w:w="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−25 (blocks auto-accept)</w:t>
            </w:r>
          </w:p>
        </w:tc>
        <w:tc>
          <w:tcPr>
            <w:tcW w:type="dxa" w:w="4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Client GP target overrides global floor</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Contract Obligation</w:t>
            </w:r>
          </w:p>
        </w:tc>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WeeklyBooked &lt; WeeklyMin AND days remaining &gt; 0</w:t>
            </w:r>
          </w:p>
        </w:tc>
        <w:tc>
          <w:tcPr>
            <w:tcW w:type="dxa" w:w="9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c>
          <w:tcPr>
            <w:tcW w:type="dxa" w:w="40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Urgency multiplier applied near week-end</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CTR Rate GP</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CtrGP% &gt;= floor</w:t>
            </w:r>
          </w:p>
        </w:tc>
        <w:tc>
          <w:tcPr>
            <w:tcW w:type="dxa" w:w="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+15</w:t>
            </w:r>
          </w:p>
        </w:tc>
        <w:tc>
          <w:tcPr>
            <w:tcW w:type="dxa" w:w="4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Checked against client or global floor</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Margin — CTR</w:t>
            </w:r>
          </w:p>
        </w:tc>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GpPercent &gt;= CtrMarginNormal (8%)</w:t>
            </w:r>
          </w:p>
        </w:tc>
        <w:tc>
          <w:tcPr>
            <w:tcW w:type="dxa" w:w="9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+10 / override</w:t>
            </w:r>
          </w:p>
        </w:tc>
        <w:tc>
          <w:tcPr>
            <w:tcW w:type="dxa" w:w="40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CtrMarginFloor (5%) for obligation loads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Margin — Spot</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GpPercent &gt;= SpotMarginFloor (14%)</w:t>
            </w:r>
          </w:p>
        </w:tc>
        <w:tc>
          <w:tcPr>
            <w:tcW w:type="dxa" w:w="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4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Profit</w:t>
            </w:r>
          </w:p>
        </w:tc>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GpDollar &gt; 0</w:t>
            </w:r>
          </w:p>
        </w:tc>
        <w:tc>
          <w:tcPr>
            <w:tcW w:type="dxa" w:w="9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+10</w:t>
            </w:r>
          </w:p>
        </w:tc>
        <w:tc>
          <w:tcPr>
            <w:tcW w:type="dxa" w:w="40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Can override on obligation loads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 Tolerance</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CustomerRate within X% of spot</w:t>
            </w:r>
          </w:p>
        </w:tc>
        <w:tc>
          <w:tcPr>
            <w:tcW w:type="dxa" w:w="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4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Default tolerance 5%</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Spot Block</w:t>
            </w:r>
          </w:p>
        </w:tc>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SpotRate / CustomerRate &lt; threshold</w:t>
            </w:r>
          </w:p>
        </w:tc>
        <w:tc>
          <w:tcPr>
            <w:tcW w:type="dxa" w:w="9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40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Default threshold 20%</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Urgency</w:t>
            </w:r>
          </w:p>
        </w:tc>
        <w:tc>
          <w:tcPr>
            <w:tcW w:type="dxa" w:w="2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Low remaining loads for week</w:t>
            </w:r>
          </w:p>
        </w:tc>
        <w:tc>
          <w:tcPr>
            <w:tcW w:type="dxa" w:w="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4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Days and count thresholds configurable</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Client Hold</w:t>
            </w:r>
          </w:p>
        </w:tc>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Client.AutoAccept = true</w:t>
            </w:r>
          </w:p>
        </w:tc>
        <w:tc>
          <w:tcPr>
            <w:tcW w:type="dxa" w:w="9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Blocks auto-accept</w:t>
            </w:r>
          </w:p>
        </w:tc>
        <w:tc>
          <w:tcPr>
            <w:tcW w:type="dxa" w:w="40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Manual review required</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5.2 Recommendation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Score Range / Condition</w:t>
            </w:r>
          </w:p>
        </w:tc>
        <w:tc>
          <w:tcPr>
            <w:tcW w:type="dxa" w:w="58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Blocked</w:t>
            </w:r>
          </w:p>
        </w:tc>
        <w:tc>
          <w:tcPr>
            <w:tcW w:type="dxa" w:w="58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GP-BLOCK (never auto-accept)</w:t>
            </w:r>
          </w:p>
        </w:tc>
      </w:tr>
      <w:tr>
        <w:tc>
          <w:tcPr>
            <w:tcW w:type="dxa" w:w="3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Score &gt;= 25 and not blocked</w:t>
            </w:r>
          </w:p>
        </w:tc>
        <w:tc>
          <w:tcPr>
            <w:tcW w:type="dxa" w:w="58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AUTO-ACCEPT</w:t>
            </w:r>
          </w:p>
        </w:tc>
      </w:tr>
      <w:tr>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Score &gt;= 10</w:t>
            </w:r>
          </w:p>
        </w:tc>
        <w:tc>
          <w:tcPr>
            <w:tcW w:type="dxa" w:w="58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REVIEW</w:t>
            </w:r>
          </w:p>
        </w:tc>
      </w:tr>
      <w:tr>
        <w:tc>
          <w:tcPr>
            <w:tcW w:type="dxa" w:w="3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Score &lt; 10 or profit &lt; 0</w:t>
            </w:r>
          </w:p>
        </w:tc>
        <w:tc>
          <w:tcPr>
            <w:tcW w:type="dxa" w:w="58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REJECT</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5.3 Auto-booking Loop</w:t>
      </w:r>
    </w:p>
    <w:p>
      <w:pPr>
        <w:spacing w:before="80" w:after="100"/>
      </w:pPr>
      <w:r>
        <w:rPr>
          <w:rFonts w:ascii="Arial" w:cs="Arial" w:eastAsia="Arial" w:hAnsi="Arial"/>
          <w:sz w:val="20"/>
          <w:szCs w:val="20"/>
        </w:rPr>
        <w:t xml:space="preserve">A background service (IHostedService) runs every 3 seconds replicating the prototype's tick() function:</w:t>
      </w:r>
    </w:p>
    <w:p>
      <w:pPr>
        <w:pStyle w:val="ListParagraph"/>
        <w:numPr>
          <w:ilvl w:val="0"/>
          <w:numId w:val="2"/>
        </w:numPr>
        <w:spacing w:before="40" w:after="40"/>
      </w:pPr>
      <w:r>
        <w:rPr>
          <w:rFonts w:ascii="Arial" w:cs="Arial" w:eastAsia="Arial" w:hAnsi="Arial"/>
          <w:sz w:val="20"/>
          <w:szCs w:val="20"/>
        </w:rPr>
        <w:t xml:space="preserve">Fetch all pending loads from DB</w:t>
      </w:r>
    </w:p>
    <w:p>
      <w:pPr>
        <w:pStyle w:val="ListParagraph"/>
        <w:numPr>
          <w:ilvl w:val="0"/>
          <w:numId w:val="2"/>
        </w:numPr>
        <w:spacing w:before="40" w:after="40"/>
      </w:pPr>
      <w:r>
        <w:rPr>
          <w:rFonts w:ascii="Arial" w:cs="Arial" w:eastAsia="Arial" w:hAnsi="Arial"/>
          <w:sz w:val="20"/>
          <w:szCs w:val="20"/>
        </w:rPr>
        <w:t xml:space="preserve">Run LoadEvaluationService on each</w:t>
      </w:r>
    </w:p>
    <w:p>
      <w:pPr>
        <w:pStyle w:val="ListParagraph"/>
        <w:numPr>
          <w:ilvl w:val="0"/>
          <w:numId w:val="2"/>
        </w:numPr>
        <w:spacing w:before="40" w:after="40"/>
      </w:pPr>
      <w:r>
        <w:rPr>
          <w:rFonts w:ascii="Arial" w:cs="Arial" w:eastAsia="Arial" w:hAnsi="Arial"/>
          <w:sz w:val="20"/>
          <w:szCs w:val="20"/>
        </w:rPr>
        <w:t xml:space="preserve">Auto-accept loads scoring AUTO-ACCEPT (where not on client hold)</w:t>
      </w:r>
    </w:p>
    <w:p>
      <w:pPr>
        <w:pStyle w:val="ListParagraph"/>
        <w:numPr>
          <w:ilvl w:val="0"/>
          <w:numId w:val="2"/>
        </w:numPr>
        <w:spacing w:before="40" w:after="40"/>
      </w:pPr>
      <w:r>
        <w:rPr>
          <w:rFonts w:ascii="Arial" w:cs="Arial" w:eastAsia="Arial" w:hAnsi="Arial"/>
          <w:sz w:val="20"/>
          <w:szCs w:val="20"/>
        </w:rPr>
        <w:t xml:space="preserve">Emit SignalR event to notify connected React clients</w:t>
      </w:r>
    </w:p>
    <w:p>
      <w:pPr>
        <w:pStyle w:val="ListParagraph"/>
        <w:numPr>
          <w:ilvl w:val="0"/>
          <w:numId w:val="2"/>
        </w:numPr>
        <w:spacing w:before="40" w:after="40"/>
      </w:pPr>
      <w:r>
        <w:rPr>
          <w:rFonts w:ascii="Arial" w:cs="Arial" w:eastAsia="Arial" w:hAnsi="Arial"/>
          <w:sz w:val="20"/>
          <w:szCs w:val="20"/>
        </w:rPr>
        <w:t xml:space="preserve">Log every decision to AuditLog with GP$ and GP%</w:t>
      </w:r>
    </w:p>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6. React Frontend</w:t>
      </w:r>
    </w:p>
    <w:p>
      <w:pPr>
        <w:pStyle w:val="Heading2"/>
        <w:spacing w:before="280" w:after="120"/>
      </w:pPr>
      <w:r>
        <w:rPr>
          <w:rFonts w:ascii="Arial" w:cs="Arial" w:eastAsia="Arial" w:hAnsi="Arial"/>
          <w:b/>
          <w:bCs/>
          <w:color w:val="2E75B6"/>
          <w:sz w:val="28"/>
          <w:szCs w:val="28"/>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React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18.x</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UI framework</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TypeScript</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5.x</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Type safety</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Vite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5.x</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Build tool / dev server</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React Query (TanStack)</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5.x</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Server state, caching, refetch</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Zustand</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4.x</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Client state (selected loads, filters, UI mode)</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React Router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6.x</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Tab-level routing</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Axios</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1.x</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HTTP client with JWT interceptor</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@microsoft/signalr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8.x</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Real-time load push</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Recharts</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2.x</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charts, weekly fill rate</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Tailwind CSS</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3.x</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Utility styling</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shadcn/ui</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latest</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Component library (tables, dialogs, badges)</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date-fns</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3.x</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Date formatting</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6.2 Page /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5160"/>
      </w:tblGrid>
      <w:tr>
        <w:trPr>
          <w:tblHeader/>
        </w:trPr>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/decisions</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Decisions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DecisionsPage</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Pending list, checkboxes, batch accept/reject, confirmation bar</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/board</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Board</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BoardPage</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Full load history, status filter, GP$ / GP% columns</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/tracker</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Tracker</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TrackerPage</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Weekly fill KPIs, by-client summary, by-lane summary</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/tester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Tester</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TesterPage</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Manual load eval, persistent result panel, clear button</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AdminPage</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Sub-tabs: Clients, Integrations, Users, Audit, KPIs</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/admin/audit</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Audit</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AuditTab</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Full log, GP columns, drill-down by user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/admin/tune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Tune</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TuneTab</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floors, margin sliders, override toggles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6.3 Key Components</w:t>
      </w:r>
    </w:p>
    <w:p>
      <w:pPr>
        <w:pStyle w:val="Heading3"/>
        <w:spacing w:before="200" w:after="80"/>
      </w:pPr>
      <w:r>
        <w:rPr>
          <w:rFonts w:ascii="Arial" w:cs="Arial" w:eastAsia="Arial" w:hAnsi="Arial"/>
          <w:b/>
          <w:bCs/>
          <w:color w:val="000000"/>
          <w:sz w:val="24"/>
          <w:szCs w:val="24"/>
        </w:rPr>
        <w:t xml:space="preserve">ConfirmationBar</w:t>
      </w:r>
    </w:p>
    <w:p>
      <w:pPr>
        <w:spacing w:before="80" w:after="100"/>
      </w:pPr>
      <w:r>
        <w:rPr>
          <w:rFonts w:ascii="Arial" w:cs="Arial" w:eastAsia="Arial" w:hAnsi="Arial"/>
          <w:sz w:val="20"/>
          <w:szCs w:val="20"/>
        </w:rPr>
        <w:t xml:space="preserve">Fixed bottom bar (position: fixed, bottom: 0) that appears when a single load is pending confirmation (20s timer with SVG countdown ring) or when a batch action is queued. Consumes confirmStore (Zustand).</w:t>
      </w:r>
    </w:p>
    <w:p>
      <w:pPr>
        <w:spacing w:before="80" w:after="80"/>
      </w:pPr>
      <w:r>
        <w:t xml:space="preserve"/>
      </w:r>
    </w:p>
    <w:p>
      <w:pPr>
        <w:pStyle w:val="Heading3"/>
        <w:spacing w:before="200" w:after="80"/>
      </w:pPr>
      <w:r>
        <w:rPr>
          <w:rFonts w:ascii="Arial" w:cs="Arial" w:eastAsia="Arial" w:hAnsi="Arial"/>
          <w:b/>
          <w:bCs/>
          <w:color w:val="000000"/>
          <w:sz w:val="24"/>
          <w:szCs w:val="24"/>
        </w:rPr>
        <w:t xml:space="preserve">DecisionsTable</w:t>
      </w:r>
    </w:p>
    <w:p>
      <w:pPr>
        <w:spacing w:before="80" w:after="100"/>
      </w:pPr>
      <w:r>
        <w:rPr>
          <w:rFonts w:ascii="Arial" w:cs="Arial" w:eastAsia="Arial" w:hAnsi="Arial"/>
          <w:sz w:val="20"/>
          <w:szCs w:val="20"/>
        </w:rPr>
        <w:t xml:space="preserve">Virtualized table of pending/rejected loads with per-row checkboxes, select-all header checkbox, and batch action bar. Checkboxes update local Zustand state without triggering a server refetch on every click.</w:t>
      </w:r>
    </w:p>
    <w:p>
      <w:pPr>
        <w:spacing w:before="80" w:after="80"/>
      </w:pPr>
      <w:r>
        <w:t xml:space="preserve"/>
      </w:r>
    </w:p>
    <w:p>
      <w:pPr>
        <w:pStyle w:val="Heading3"/>
        <w:spacing w:before="200" w:after="80"/>
      </w:pPr>
      <w:r>
        <w:rPr>
          <w:rFonts w:ascii="Arial" w:cs="Arial" w:eastAsia="Arial" w:hAnsi="Arial"/>
          <w:b/>
          <w:bCs/>
          <w:color w:val="000000"/>
          <w:sz w:val="24"/>
          <w:szCs w:val="24"/>
        </w:rPr>
        <w:t xml:space="preserve">AcceptedDrillDown</w:t>
      </w:r>
    </w:p>
    <w:p>
      <w:pPr>
        <w:spacing w:before="80" w:after="100"/>
      </w:pPr>
      <w:r>
        <w:rPr>
          <w:rFonts w:ascii="Arial" w:cs="Arial" w:eastAsia="Arial" w:hAnsi="Arial"/>
          <w:sz w:val="20"/>
          <w:szCs w:val="20"/>
        </w:rPr>
        <w:t xml:space="preserve">Two-level drill: day summary list → day detail table. Clicking a day filters the load list by that date. Clicking a load row opens LoadDetailModal.</w:t>
      </w:r>
    </w:p>
    <w:p>
      <w:pPr>
        <w:spacing w:before="80" w:after="80"/>
      </w:pPr>
      <w:r>
        <w:t xml:space="preserve"/>
      </w:r>
    </w:p>
    <w:p>
      <w:pPr>
        <w:pStyle w:val="Heading3"/>
        <w:spacing w:before="200" w:after="80"/>
      </w:pPr>
      <w:r>
        <w:rPr>
          <w:rFonts w:ascii="Arial" w:cs="Arial" w:eastAsia="Arial" w:hAnsi="Arial"/>
          <w:b/>
          <w:bCs/>
          <w:color w:val="000000"/>
          <w:sz w:val="24"/>
          <w:szCs w:val="24"/>
        </w:rPr>
        <w:t xml:space="preserve">AuditUserDrillDown</w:t>
      </w:r>
    </w:p>
    <w:p>
      <w:pPr>
        <w:spacing w:before="80" w:after="100"/>
      </w:pPr>
      <w:r>
        <w:rPr>
          <w:rFonts w:ascii="Arial" w:cs="Arial" w:eastAsia="Arial" w:hAnsi="Arial"/>
          <w:sz w:val="20"/>
          <w:szCs w:val="20"/>
        </w:rPr>
        <w:t xml:space="preserve">Clicking a user row in the Manual Decisions table filters the audit log to that user's decisions and shows their GP$ total and avg GP%.</w:t>
      </w:r>
    </w:p>
    <w:p>
      <w:pPr>
        <w:spacing w:before="80" w:after="80"/>
      </w:pPr>
      <w:r>
        <w:t xml:space="preserve"/>
      </w:r>
    </w:p>
    <w:p>
      <w:pPr>
        <w:pStyle w:val="Heading3"/>
        <w:spacing w:before="200" w:after="80"/>
      </w:pPr>
      <w:r>
        <w:rPr>
          <w:rFonts w:ascii="Arial" w:cs="Arial" w:eastAsia="Arial" w:hAnsi="Arial"/>
          <w:b/>
          <w:bCs/>
          <w:color w:val="000000"/>
          <w:sz w:val="24"/>
          <w:szCs w:val="24"/>
        </w:rPr>
        <w:t xml:space="preserve">LoadDetailModal</w:t>
      </w:r>
    </w:p>
    <w:p>
      <w:pPr>
        <w:spacing w:before="80" w:after="100"/>
      </w:pPr>
      <w:r>
        <w:rPr>
          <w:rFonts w:ascii="Arial" w:cs="Arial" w:eastAsia="Arial" w:hAnsi="Arial"/>
          <w:sz w:val="20"/>
          <w:szCs w:val="20"/>
        </w:rPr>
        <w:t xml:space="preserve">Full-screen overlay showing load ID, lane, client badge, GP metrics (no CTR GP% — finance only), AI recommendation badge, all rule evaluations, and Accept / Reject buttons that trigger the confirmation bar.</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6.4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Store (Zustand)</w:t>
            </w:r>
          </w:p>
        </w:tc>
        <w:tc>
          <w:tcPr>
            <w:tcW w:type="dxa" w:w="69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State</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authStore</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currentUser, JWT token, role</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confirmStore</w:t>
            </w:r>
          </w:p>
        </w:tc>
        <w:tc>
          <w:tcPr>
            <w:tcW w:type="dxa" w:w="6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pendingConfirm (loadId, action, secondsRemaining), pendingBatch (action, ids)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decisionsStore</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decFilter, decSort, decSortDir, decSelected (Set), decDrillDay</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auditStore</w:t>
            </w:r>
          </w:p>
        </w:tc>
        <w:tc>
          <w:tcPr>
            <w:tcW w:type="dxa" w:w="6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auditFilter, auditSearch, auditDrillUser</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settingsStore</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systemParameters (P object), auto-booking on/off</w:t>
            </w:r>
          </w:p>
        </w:tc>
      </w:tr>
    </w:tbl>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7. Authentication &amp; Role-Based Access</w:t>
      </w:r>
    </w:p>
    <w:p>
      <w:pPr>
        <w:pStyle w:val="Heading2"/>
        <w:spacing w:before="280" w:after="120"/>
      </w:pPr>
      <w:r>
        <w:rPr>
          <w:rFonts w:ascii="Arial" w:cs="Arial" w:eastAsia="Arial" w:hAnsi="Arial"/>
          <w:b/>
          <w:bCs/>
          <w:color w:val="2E75B6"/>
          <w:sz w:val="28"/>
          <w:szCs w:val="28"/>
        </w:rPr>
        <w:t xml:space="preserve">7.1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200"/>
        <w:gridCol w:w="1200"/>
        <w:gridCol w:w="1560"/>
        <w:gridCol w:w="1500"/>
      </w:tblGrid>
      <w:tr>
        <w:trPr>
          <w:tblHeader/>
        </w:trPr>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5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Decisions Tab</w:t>
            </w:r>
          </w:p>
        </w:tc>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Board</w:t>
            </w:r>
          </w:p>
        </w:tc>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Tracker</w:t>
            </w:r>
          </w:p>
        </w:tc>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Tester</w:t>
            </w:r>
          </w:p>
        </w:tc>
        <w:tc>
          <w:tcPr>
            <w:tcW w:type="dxa" w:w="15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Admin</w:t>
            </w:r>
          </w:p>
        </w:tc>
        <w:tc>
          <w:tcPr>
            <w:tcW w:type="dxa" w:w="15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Audit</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Admin</w:t>
            </w:r>
          </w:p>
        </w:tc>
        <w:tc>
          <w:tcPr>
            <w:tcW w:type="dxa" w:w="1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Accept + Reject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View</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View</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View</w:t>
            </w:r>
          </w:p>
        </w:tc>
        <w:tc>
          <w:tcPr>
            <w:tcW w:type="dxa" w:w="1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Full access</w:t>
            </w:r>
          </w:p>
        </w:tc>
        <w:tc>
          <w:tcPr>
            <w:tcW w:type="dxa" w:w="1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Full access</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Broker</w:t>
            </w:r>
          </w:p>
        </w:tc>
        <w:tc>
          <w:tcPr>
            <w:tcW w:type="dxa" w:w="1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Accept + Reject</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View</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View</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View</w:t>
            </w:r>
          </w:p>
        </w:tc>
        <w:tc>
          <w:tcPr>
            <w:tcW w:type="dxa" w:w="1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Read only</w:t>
            </w:r>
          </w:p>
        </w:tc>
        <w:tc>
          <w:tcPr>
            <w:tcW w:type="dxa" w:w="1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Own decisions only</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Viewer</w:t>
            </w:r>
          </w:p>
        </w:tc>
        <w:tc>
          <w:tcPr>
            <w:tcW w:type="dxa" w:w="1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View only</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View</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View</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View</w:t>
            </w:r>
          </w:p>
        </w:tc>
        <w:tc>
          <w:tcPr>
            <w:tcW w:type="dxa" w:w="1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1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7.2 JWT Configuration</w:t>
      </w:r>
    </w:p>
    <w:p>
      <w:pPr>
        <w:pStyle w:val="ListParagraph"/>
        <w:numPr>
          <w:ilvl w:val="0"/>
          <w:numId w:val="2"/>
        </w:numPr>
        <w:spacing w:before="40" w:after="40"/>
      </w:pPr>
      <w:r>
        <w:rPr>
          <w:rFonts w:ascii="Arial" w:cs="Arial" w:eastAsia="Arial" w:hAnsi="Arial"/>
          <w:sz w:val="20"/>
          <w:szCs w:val="20"/>
        </w:rPr>
        <w:t xml:space="preserve">Access token lifetime: 60 minutes</w:t>
      </w:r>
    </w:p>
    <w:p>
      <w:pPr>
        <w:pStyle w:val="ListParagraph"/>
        <w:numPr>
          <w:ilvl w:val="0"/>
          <w:numId w:val="2"/>
        </w:numPr>
        <w:spacing w:before="40" w:after="40"/>
      </w:pPr>
      <w:r>
        <w:rPr>
          <w:rFonts w:ascii="Arial" w:cs="Arial" w:eastAsia="Arial" w:hAnsi="Arial"/>
          <w:sz w:val="20"/>
          <w:szCs w:val="20"/>
        </w:rPr>
        <w:t xml:space="preserve">Refresh token lifetime: 7 days, single-use, rotated on refresh</w:t>
      </w:r>
    </w:p>
    <w:p>
      <w:pPr>
        <w:pStyle w:val="ListParagraph"/>
        <w:numPr>
          <w:ilvl w:val="0"/>
          <w:numId w:val="2"/>
        </w:numPr>
        <w:spacing w:before="40" w:after="40"/>
      </w:pPr>
      <w:r>
        <w:rPr>
          <w:rFonts w:ascii="Arial" w:cs="Arial" w:eastAsia="Arial" w:hAnsi="Arial"/>
          <w:sz w:val="20"/>
          <w:szCs w:val="20"/>
        </w:rPr>
        <w:t xml:space="preserve">Claims: userId, username, role, fullName</w:t>
      </w:r>
    </w:p>
    <w:p>
      <w:pPr>
        <w:pStyle w:val="ListParagraph"/>
        <w:numPr>
          <w:ilvl w:val="0"/>
          <w:numId w:val="2"/>
        </w:numPr>
        <w:spacing w:before="40" w:after="40"/>
      </w:pPr>
      <w:r>
        <w:rPr>
          <w:rFonts w:ascii="Arial" w:cs="Arial" w:eastAsia="Arial" w:hAnsi="Arial"/>
          <w:sz w:val="20"/>
          <w:szCs w:val="20"/>
        </w:rPr>
        <w:t xml:space="preserve">All decisions stamped with DecisionBy (UserId) for full auditability</w:t>
      </w:r>
    </w:p>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8. e2open &amp; DAT Integration</w:t>
      </w:r>
    </w:p>
    <w:p>
      <w:pPr>
        <w:pStyle w:val="Heading2"/>
        <w:spacing w:before="280" w:after="120"/>
      </w:pPr>
      <w:r>
        <w:rPr>
          <w:rFonts w:ascii="Arial" w:cs="Arial" w:eastAsia="Arial" w:hAnsi="Arial"/>
          <w:b/>
          <w:bCs/>
          <w:color w:val="2E75B6"/>
          <w:sz w:val="28"/>
          <w:szCs w:val="28"/>
        </w:rPr>
        <w:t xml:space="preserve">8.1 e2open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2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5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Payload</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Inbound (webhook)</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e2open POSTs new load to /api/v1/loads</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Load details: lane, carrier cost, customer rate, contract rate</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Outbound (acknowledgement)</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 accepted or rejected</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Load ID + decision (Accept/Reject) sent to e2open REST endpoint</w:t>
            </w:r>
          </w:p>
        </w:tc>
      </w:tr>
    </w:tbl>
    <w:p>
      <w:pPr>
        <w:spacing w:before="80" w:after="100"/>
      </w:pPr>
      <w:r>
        <w:rPr>
          <w:rFonts w:ascii="Arial" w:cs="Arial" w:eastAsia="Arial" w:hAnsi="Arial"/>
          <w:sz w:val="20"/>
          <w:szCs w:val="20"/>
        </w:rPr>
        <w:t xml:space="preserve">The e2open base URL and API key are stored in SystemParameters and configurable via Admin → Integrations. All outbound calls are logged to AuditLog with action E2OPEN_SENT.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8.2 DAT</w:t>
      </w:r>
    </w:p>
    <w:p>
      <w:pPr>
        <w:spacing w:before="80" w:after="100"/>
      </w:pPr>
      <w:r>
        <w:rPr>
          <w:rFonts w:ascii="Arial" w:cs="Arial" w:eastAsia="Arial" w:hAnsi="Arial"/>
          <w:sz w:val="20"/>
          <w:szCs w:val="20"/>
        </w:rPr>
        <w:t xml:space="preserve">DAT spot rates are fetched on-demand when a load is ingested and cached for 60 minutes per lane. The DAT API key is stored in SystemParameters. Rates are stored on the Load record at ingestion time for historical accuracy.</w:t>
      </w:r>
    </w:p>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7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Performance</w:t>
            </w:r>
          </w:p>
        </w:tc>
        <w:tc>
          <w:tcPr>
            <w:tcW w:type="dxa" w:w="7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Load list renders &lt; 200ms for up to 10,000 loads (React Query pagination + SQL indexes)</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Real-time</w:t>
            </w:r>
          </w:p>
        </w:tc>
        <w:tc>
          <w:tcPr>
            <w:tcW w:type="dxa" w:w="7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New loads appear on Decisions tab within 3 seconds via SignalR push</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Audit completeness</w:t>
            </w:r>
          </w:p>
        </w:tc>
        <w:tc>
          <w:tcPr>
            <w:tcW w:type="dxa" w:w="7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Every accept/reject records: userId, timestamp, GP$, GP%, loadId, lane</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Security</w:t>
            </w:r>
          </w:p>
        </w:tc>
        <w:tc>
          <w:tcPr>
            <w:tcW w:type="dxa" w:w="7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JWT, HTTPS only, CORS locked to frontend origin, SQL parameterized queries via EF Core</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Scalability</w:t>
            </w:r>
          </w:p>
        </w:tc>
        <w:tc>
          <w:tcPr>
            <w:tcW w:type="dxa" w:w="7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Stateless API — horizontal scale behind load balancer</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Data retention</w:t>
            </w:r>
          </w:p>
        </w:tc>
        <w:tc>
          <w:tcPr>
            <w:tcW w:type="dxa" w:w="7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AuditLog — 7 years minimum (freight compliance requirement)</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Deployment</w:t>
            </w:r>
          </w:p>
        </w:tc>
        <w:tc>
          <w:tcPr>
            <w:tcW w:type="dxa" w:w="7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Docker containers — API + React served from same compose stack or IIS</w:t>
            </w:r>
          </w:p>
        </w:tc>
      </w:tr>
    </w:tbl>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10. Migration Plan from Prototype</w:t>
      </w:r>
    </w:p>
    <w:p>
      <w:pPr>
        <w:pStyle w:val="Heading2"/>
        <w:spacing w:before="280" w:after="120"/>
      </w:pPr>
      <w:r>
        <w:rPr>
          <w:rFonts w:ascii="Arial" w:cs="Arial" w:eastAsia="Arial" w:hAnsi="Arial"/>
          <w:b/>
          <w:bCs/>
          <w:color w:val="2E75B6"/>
          <w:sz w:val="28"/>
          <w:szCs w:val="28"/>
        </w:rPr>
        <w:t xml:space="preserve">Phase 1 — Foundation (Week 1–2)</w:t>
      </w:r>
    </w:p>
    <w:p>
      <w:pPr>
        <w:pStyle w:val="ListParagraph"/>
        <w:numPr>
          <w:ilvl w:val="0"/>
          <w:numId w:val="2"/>
        </w:numPr>
        <w:spacing w:before="40" w:after="40"/>
      </w:pPr>
      <w:r>
        <w:rPr>
          <w:rFonts w:ascii="Arial" w:cs="Arial" w:eastAsia="Arial" w:hAnsi="Arial"/>
          <w:sz w:val="20"/>
          <w:szCs w:val="20"/>
        </w:rPr>
        <w:t xml:space="preserve">SQL Server schema + EF Core migrations</w:t>
      </w:r>
    </w:p>
    <w:p>
      <w:pPr>
        <w:pStyle w:val="ListParagraph"/>
        <w:numPr>
          <w:ilvl w:val="0"/>
          <w:numId w:val="2"/>
        </w:numPr>
        <w:spacing w:before="40" w:after="40"/>
      </w:pPr>
      <w:r>
        <w:rPr>
          <w:rFonts w:ascii="Arial" w:cs="Arial" w:eastAsia="Arial" w:hAnsi="Arial"/>
          <w:sz w:val="20"/>
          <w:szCs w:val="20"/>
        </w:rPr>
        <w:t xml:space="preserve">Seed data: lanes (CL/SL arrays), clients, system parameters, users</w:t>
      </w:r>
    </w:p>
    <w:p>
      <w:pPr>
        <w:pStyle w:val="ListParagraph"/>
        <w:numPr>
          <w:ilvl w:val="0"/>
          <w:numId w:val="2"/>
        </w:numPr>
        <w:spacing w:before="40" w:after="40"/>
      </w:pPr>
      <w:r>
        <w:rPr>
          <w:rFonts w:ascii="Arial" w:cs="Arial" w:eastAsia="Arial" w:hAnsi="Arial"/>
          <w:sz w:val="20"/>
          <w:szCs w:val="20"/>
        </w:rPr>
        <w:t xml:space="preserve">.NET API project setup, JWT auth, basic CRUD endpoints</w:t>
      </w:r>
    </w:p>
    <w:p>
      <w:pPr>
        <w:pStyle w:val="ListParagraph"/>
        <w:numPr>
          <w:ilvl w:val="0"/>
          <w:numId w:val="2"/>
        </w:numPr>
        <w:spacing w:before="40" w:after="40"/>
      </w:pPr>
      <w:r>
        <w:rPr>
          <w:rFonts w:ascii="Arial" w:cs="Arial" w:eastAsia="Arial" w:hAnsi="Arial"/>
          <w:sz w:val="20"/>
          <w:szCs w:val="20"/>
        </w:rPr>
        <w:t xml:space="preserve">React project scaffold, auth flow, tab routing</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Phase 2 — Core Features (Week 3–4)</w:t>
      </w:r>
    </w:p>
    <w:p>
      <w:pPr>
        <w:pStyle w:val="ListParagraph"/>
        <w:numPr>
          <w:ilvl w:val="0"/>
          <w:numId w:val="2"/>
        </w:numPr>
        <w:spacing w:before="40" w:after="40"/>
      </w:pPr>
      <w:r>
        <w:rPr>
          <w:rFonts w:ascii="Arial" w:cs="Arial" w:eastAsia="Arial" w:hAnsi="Arial"/>
          <w:sz w:val="20"/>
          <w:szCs w:val="20"/>
        </w:rPr>
        <w:t xml:space="preserve">Rules engine service (port evaluate() function)</w:t>
      </w:r>
    </w:p>
    <w:p>
      <w:pPr>
        <w:pStyle w:val="ListParagraph"/>
        <w:numPr>
          <w:ilvl w:val="0"/>
          <w:numId w:val="2"/>
        </w:numPr>
        <w:spacing w:before="40" w:after="40"/>
      </w:pPr>
      <w:r>
        <w:rPr>
          <w:rFonts w:ascii="Arial" w:cs="Arial" w:eastAsia="Arial" w:hAnsi="Arial"/>
          <w:sz w:val="20"/>
          <w:szCs w:val="20"/>
        </w:rPr>
        <w:t xml:space="preserve">Auto-booking background service (port tick())</w:t>
      </w:r>
    </w:p>
    <w:p>
      <w:pPr>
        <w:pStyle w:val="ListParagraph"/>
        <w:numPr>
          <w:ilvl w:val="0"/>
          <w:numId w:val="2"/>
        </w:numPr>
        <w:spacing w:before="40" w:after="40"/>
      </w:pPr>
      <w:r>
        <w:rPr>
          <w:rFonts w:ascii="Arial" w:cs="Arial" w:eastAsia="Arial" w:hAnsi="Arial"/>
          <w:sz w:val="20"/>
          <w:szCs w:val="20"/>
        </w:rPr>
        <w:t xml:space="preserve">Load ingestion from e2open webhook</w:t>
      </w:r>
    </w:p>
    <w:p>
      <w:pPr>
        <w:pStyle w:val="ListParagraph"/>
        <w:numPr>
          <w:ilvl w:val="0"/>
          <w:numId w:val="2"/>
        </w:numPr>
        <w:spacing w:before="40" w:after="40"/>
      </w:pPr>
      <w:r>
        <w:rPr>
          <w:rFonts w:ascii="Arial" w:cs="Arial" w:eastAsia="Arial" w:hAnsi="Arial"/>
          <w:sz w:val="20"/>
          <w:szCs w:val="20"/>
        </w:rPr>
        <w:t xml:space="preserve">Decisions tab: pending table, checkboxes, batch confirm bar</w:t>
      </w:r>
    </w:p>
    <w:p>
      <w:pPr>
        <w:pStyle w:val="ListParagraph"/>
        <w:numPr>
          <w:ilvl w:val="0"/>
          <w:numId w:val="2"/>
        </w:numPr>
        <w:spacing w:before="40" w:after="40"/>
      </w:pPr>
      <w:r>
        <w:rPr>
          <w:rFonts w:ascii="Arial" w:cs="Arial" w:eastAsia="Arial" w:hAnsi="Arial"/>
          <w:sz w:val="20"/>
          <w:szCs w:val="20"/>
        </w:rPr>
        <w:t xml:space="preserve">Board tab: full load history with filters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Phase 3 — Analytics &amp; Audit (Week 5)</w:t>
      </w:r>
    </w:p>
    <w:p>
      <w:pPr>
        <w:pStyle w:val="ListParagraph"/>
        <w:numPr>
          <w:ilvl w:val="0"/>
          <w:numId w:val="2"/>
        </w:numPr>
        <w:spacing w:before="40" w:after="40"/>
      </w:pPr>
      <w:r>
        <w:rPr>
          <w:rFonts w:ascii="Arial" w:cs="Arial" w:eastAsia="Arial" w:hAnsi="Arial"/>
          <w:sz w:val="20"/>
          <w:szCs w:val="20"/>
        </w:rPr>
        <w:t xml:space="preserve">Tracker tab: weekly KPIs, client/lane summaries</w:t>
      </w:r>
    </w:p>
    <w:p>
      <w:pPr>
        <w:pStyle w:val="ListParagraph"/>
        <w:numPr>
          <w:ilvl w:val="0"/>
          <w:numId w:val="2"/>
        </w:numPr>
        <w:spacing w:before="40" w:after="40"/>
      </w:pPr>
      <w:r>
        <w:rPr>
          <w:rFonts w:ascii="Arial" w:cs="Arial" w:eastAsia="Arial" w:hAnsi="Arial"/>
          <w:sz w:val="20"/>
          <w:szCs w:val="20"/>
        </w:rPr>
        <w:t xml:space="preserve">Audit tab: full log, GP columns, user drill-down</w:t>
      </w:r>
    </w:p>
    <w:p>
      <w:pPr>
        <w:pStyle w:val="ListParagraph"/>
        <w:numPr>
          <w:ilvl w:val="0"/>
          <w:numId w:val="2"/>
        </w:numPr>
        <w:spacing w:before="40" w:after="40"/>
      </w:pPr>
      <w:r>
        <w:rPr>
          <w:rFonts w:ascii="Arial" w:cs="Arial" w:eastAsia="Arial" w:hAnsi="Arial"/>
          <w:sz w:val="20"/>
          <w:szCs w:val="20"/>
        </w:rPr>
        <w:t xml:space="preserve">Accepted drill-down by day</w:t>
      </w:r>
    </w:p>
    <w:p>
      <w:pPr>
        <w:pStyle w:val="ListParagraph"/>
        <w:numPr>
          <w:ilvl w:val="0"/>
          <w:numId w:val="2"/>
        </w:numPr>
        <w:spacing w:before="40" w:after="40"/>
      </w:pPr>
      <w:r>
        <w:rPr>
          <w:rFonts w:ascii="Arial" w:cs="Arial" w:eastAsia="Arial" w:hAnsi="Arial"/>
          <w:sz w:val="20"/>
          <w:szCs w:val="20"/>
        </w:rPr>
        <w:t xml:space="preserve">Admin: tune parameters, user management, integrations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Phase 4 — Integration &amp; Polish (Week 6)</w:t>
      </w:r>
    </w:p>
    <w:p>
      <w:pPr>
        <w:pStyle w:val="ListParagraph"/>
        <w:numPr>
          <w:ilvl w:val="0"/>
          <w:numId w:val="2"/>
        </w:numPr>
        <w:spacing w:before="40" w:after="40"/>
      </w:pPr>
      <w:r>
        <w:rPr>
          <w:rFonts w:ascii="Arial" w:cs="Arial" w:eastAsia="Arial" w:hAnsi="Arial"/>
          <w:sz w:val="20"/>
          <w:szCs w:val="20"/>
        </w:rPr>
        <w:t xml:space="preserve">e2open outbound acknowledgement</w:t>
      </w:r>
    </w:p>
    <w:p>
      <w:pPr>
        <w:pStyle w:val="ListParagraph"/>
        <w:numPr>
          <w:ilvl w:val="0"/>
          <w:numId w:val="2"/>
        </w:numPr>
        <w:spacing w:before="40" w:after="40"/>
      </w:pPr>
      <w:r>
        <w:rPr>
          <w:rFonts w:ascii="Arial" w:cs="Arial" w:eastAsia="Arial" w:hAnsi="Arial"/>
          <w:sz w:val="20"/>
          <w:szCs w:val="20"/>
        </w:rPr>
        <w:t xml:space="preserve">DAT rate integration</w:t>
      </w:r>
    </w:p>
    <w:p>
      <w:pPr>
        <w:pStyle w:val="ListParagraph"/>
        <w:numPr>
          <w:ilvl w:val="0"/>
          <w:numId w:val="2"/>
        </w:numPr>
        <w:spacing w:before="40" w:after="40"/>
      </w:pPr>
      <w:r>
        <w:rPr>
          <w:rFonts w:ascii="Arial" w:cs="Arial" w:eastAsia="Arial" w:hAnsi="Arial"/>
          <w:sz w:val="20"/>
          <w:szCs w:val="20"/>
        </w:rPr>
        <w:t xml:space="preserve">SignalR real-time push</w:t>
      </w:r>
    </w:p>
    <w:p>
      <w:pPr>
        <w:pStyle w:val="ListParagraph"/>
        <w:numPr>
          <w:ilvl w:val="0"/>
          <w:numId w:val="2"/>
        </w:numPr>
        <w:spacing w:before="40" w:after="40"/>
      </w:pPr>
      <w:r>
        <w:rPr>
          <w:rFonts w:ascii="Arial" w:cs="Arial" w:eastAsia="Arial" w:hAnsi="Arial"/>
          <w:sz w:val="20"/>
          <w:szCs w:val="20"/>
        </w:rPr>
        <w:t xml:space="preserve">End-to-end testing, load testing, security review</w:t>
      </w:r>
    </w:p>
    <w:p>
      <w:pPr>
        <w:pStyle w:val="ListParagraph"/>
        <w:numPr>
          <w:ilvl w:val="0"/>
          <w:numId w:val="2"/>
        </w:numPr>
        <w:spacing w:before="40" w:after="40"/>
      </w:pPr>
      <w:r>
        <w:rPr>
          <w:rFonts w:ascii="Arial" w:cs="Arial" w:eastAsia="Arial" w:hAnsi="Arial"/>
          <w:sz w:val="20"/>
          <w:szCs w:val="20"/>
        </w:rPr>
        <w:t xml:space="preserve">Deployment to staging, UAT with MMeddles</w:t>
      </w:r>
    </w:p>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B3A6B"/>
          <w:sz w:val="36"/>
          <w:szCs w:val="36"/>
        </w:rPr>
        <w:t xml:space="preserve">11. Appendix — Key Business Logic</w:t>
      </w:r>
    </w:p>
    <w:p>
      <w:pPr>
        <w:pStyle w:val="Heading2"/>
        <w:spacing w:before="280" w:after="120"/>
      </w:pPr>
      <w:r>
        <w:rPr>
          <w:rFonts w:ascii="Arial" w:cs="Arial" w:eastAsia="Arial" w:hAnsi="Arial"/>
          <w:b/>
          <w:bCs/>
          <w:color w:val="2E75B6"/>
          <w:sz w:val="28"/>
          <w:szCs w:val="28"/>
        </w:rPr>
        <w:t xml:space="preserve">11.1 GP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45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Used In</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CustomerRate − CarrierCost</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Board, Decisions, Audit, Tracker</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 %</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 / CustomerRate) × 100</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Board, Decisions, color-coded: ≥10% green, 6–9.9% yellow, &lt;6% red</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CTR GP %</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(ContractRate − CarrierCost) / ContractRate × 100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Rules engine, Admin/Finance only (not shown on Board or Decisions)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11.2 Color Coding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5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48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10%</w:t>
            </w:r>
          </w:p>
        </w:tc>
        <w:tc>
          <w:tcPr>
            <w:tcW w:type="dxa" w:w="48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Green</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 %</w:t>
            </w:r>
          </w:p>
        </w:tc>
        <w:tc>
          <w:tcPr>
            <w:tcW w:type="dxa" w:w="2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6.0% – 9.9%</w:t>
            </w:r>
          </w:p>
        </w:tc>
        <w:tc>
          <w:tcPr>
            <w:tcW w:type="dxa" w:w="48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Yellow</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&lt; 6%</w:t>
            </w:r>
          </w:p>
        </w:tc>
        <w:tc>
          <w:tcPr>
            <w:tcW w:type="dxa" w:w="48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Red</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GP $</w:t>
            </w:r>
          </w:p>
        </w:tc>
        <w:tc>
          <w:tcPr>
            <w:tcW w:type="dxa" w:w="2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&gt; 0</w:t>
            </w:r>
          </w:p>
        </w:tc>
        <w:tc>
          <w:tcPr>
            <w:tcW w:type="dxa" w:w="48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Green</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GP $</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 0</w:t>
            </w:r>
          </w:p>
        </w:tc>
        <w:tc>
          <w:tcPr>
            <w:tcW w:type="dxa" w:w="48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Red</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11.3 Default System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2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59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CtrGPFloor</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5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Global GP% floor — minimum CTR GP for auto-accept</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CtrMarginFloor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5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Minimum GP% on contract obligation loads</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CtrMarginNormal</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5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Normal GP% floor for contract loads</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SpotMarginFloor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14%</w:t>
            </w:r>
          </w:p>
        </w:tc>
        <w:tc>
          <w:tcPr>
            <w:tcW w:type="dxa" w:w="5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Minimum GP% for spot loads</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DatTolerance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5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Allowable deviation from DAT spot rate</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SpotBlockThreshold</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c>
          <w:tcPr>
            <w:tcW w:type="dxa" w:w="5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Block spot loads above this multiple of customer rate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UrgencyDays</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2 days</w:t>
            </w:r>
          </w:p>
        </w:tc>
        <w:tc>
          <w:tcPr>
            <w:tcW w:type="dxa" w:w="5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Days remaining to trigger urgency boost</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UrgencyLoads</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5 loads</w:t>
            </w:r>
          </w:p>
        </w:tc>
        <w:tc>
          <w:tcPr>
            <w:tcW w:type="dxa" w:w="5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Remaining loads needed to trigger urgency boost</w:t>
            </w:r>
          </w:p>
        </w:tc>
      </w:tr>
    </w:tbl>
    <w:p>
      <w:pPr>
        <w:spacing w:before="80" w:after="80"/>
      </w:pPr>
      <w:r>
        <w:t xml:space="preserve"/>
      </w:r>
    </w:p>
    <w:p>
      <w:pPr>
        <w:spacing w:before="480"/>
        <w:jc w:val="center"/>
      </w:pPr>
      <w:r>
        <w:rPr>
          <w:rFonts w:ascii="Arial" w:cs="Arial" w:eastAsia="Arial" w:hAnsi="Arial"/>
          <w:i/>
          <w:iCs/>
          <w:color w:val="888888"/>
          <w:sz w:val="18"/>
          <w:szCs w:val="18"/>
        </w:rPr>
        <w:t xml:space="preserve">— End of Document —</w:t>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TCG Freight Broker Platform — Architecture Specification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2026-03-10T14:48:48.133Z</dcterms:created>
  <dcterms:modified xsi:type="dcterms:W3CDTF">2026-03-10T14:48:48.133Z</dcterms:modified>
</cp:coreProperties>
</file>

<file path=docProps/custom.xml><?xml version="1.0" encoding="utf-8"?>
<Properties xmlns="http://schemas.openxmlformats.org/officeDocument/2006/custom-properties" xmlns:vt="http://schemas.openxmlformats.org/officeDocument/2006/docPropsVTypes"/>
</file>