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4B98A3" w14:textId="77777777" w:rsidR="008B4595" w:rsidRDefault="00E115AD">
      <w:pPr>
        <w:pStyle w:val="Title"/>
      </w:pPr>
      <w:r>
        <w:t>Sample Size considerations for Seba Aljomaa’s RCT Project</w:t>
      </w:r>
    </w:p>
    <w:p w14:paraId="7C4B98A4" w14:textId="77777777" w:rsidR="008B4595" w:rsidRDefault="00E115AD">
      <w:pPr>
        <w:pStyle w:val="Author"/>
      </w:pPr>
      <w:r>
        <w:t>Márton Kiss, MD</w:t>
      </w:r>
    </w:p>
    <w:p w14:paraId="7C4B98A5" w14:textId="77777777" w:rsidR="008B4595" w:rsidRDefault="00E115AD">
      <w:pPr>
        <w:pStyle w:val="Date"/>
      </w:pPr>
      <w:r>
        <w:t>2024-11-27</w:t>
      </w:r>
    </w:p>
    <w:sdt>
      <w:sdtPr>
        <w:rPr>
          <w:rFonts w:asciiTheme="minorHAnsi" w:eastAsiaTheme="minorHAnsi" w:hAnsiTheme="minorHAnsi" w:cstheme="minorBidi"/>
          <w:sz w:val="24"/>
          <w:szCs w:val="24"/>
        </w:rPr>
        <w:id w:val="1435405423"/>
        <w:docPartObj>
          <w:docPartGallery w:val="Table of Contents"/>
          <w:docPartUnique/>
        </w:docPartObj>
      </w:sdtPr>
      <w:sdtEndPr/>
      <w:sdtContent>
        <w:p w14:paraId="7C4B98A6" w14:textId="77777777" w:rsidR="008B4595" w:rsidRDefault="00E115AD">
          <w:pPr>
            <w:pStyle w:val="TOCHeading"/>
          </w:pPr>
          <w:r>
            <w:t>Table of contents</w:t>
          </w:r>
        </w:p>
        <w:p w14:paraId="1B17B2C1" w14:textId="5B90B97C" w:rsidR="00DC191D" w:rsidRDefault="00E115AD">
          <w:pPr>
            <w:pStyle w:val="TOC1"/>
            <w:tabs>
              <w:tab w:val="right" w:leader="dot" w:pos="9350"/>
            </w:tabs>
            <w:rPr>
              <w:rFonts w:eastAsiaTheme="minorEastAsia"/>
              <w:noProof/>
              <w:kern w:val="2"/>
              <w14:ligatures w14:val="standardContextual"/>
            </w:rPr>
          </w:pPr>
          <w:r>
            <w:fldChar w:fldCharType="begin"/>
          </w:r>
          <w:r>
            <w:instrText>TOC \o "1-2" \h \z \u</w:instrText>
          </w:r>
          <w:r>
            <w:fldChar w:fldCharType="separate"/>
          </w:r>
          <w:hyperlink w:anchor="_Toc183605696" w:history="1">
            <w:r w:rsidR="00DC191D" w:rsidRPr="00AC74A0">
              <w:rPr>
                <w:rStyle w:val="Hyperlink"/>
                <w:noProof/>
              </w:rPr>
              <w:t>Executive summary</w:t>
            </w:r>
            <w:r w:rsidR="00DC191D">
              <w:rPr>
                <w:noProof/>
                <w:webHidden/>
              </w:rPr>
              <w:tab/>
            </w:r>
            <w:r w:rsidR="00DC191D">
              <w:rPr>
                <w:noProof/>
                <w:webHidden/>
              </w:rPr>
              <w:fldChar w:fldCharType="begin"/>
            </w:r>
            <w:r w:rsidR="00DC191D">
              <w:rPr>
                <w:noProof/>
                <w:webHidden/>
              </w:rPr>
              <w:instrText xml:space="preserve"> PAGEREF _Toc183605696 \h </w:instrText>
            </w:r>
            <w:r w:rsidR="00DC191D">
              <w:rPr>
                <w:noProof/>
                <w:webHidden/>
              </w:rPr>
            </w:r>
            <w:r w:rsidR="00DC191D">
              <w:rPr>
                <w:noProof/>
                <w:webHidden/>
              </w:rPr>
              <w:fldChar w:fldCharType="separate"/>
            </w:r>
            <w:r w:rsidR="00DC191D">
              <w:rPr>
                <w:noProof/>
                <w:webHidden/>
              </w:rPr>
              <w:t>2</w:t>
            </w:r>
            <w:r w:rsidR="00DC191D">
              <w:rPr>
                <w:noProof/>
                <w:webHidden/>
              </w:rPr>
              <w:fldChar w:fldCharType="end"/>
            </w:r>
          </w:hyperlink>
        </w:p>
        <w:p w14:paraId="773157BF" w14:textId="284964D2" w:rsidR="00DC191D" w:rsidRDefault="00DC191D">
          <w:pPr>
            <w:pStyle w:val="TOC1"/>
            <w:tabs>
              <w:tab w:val="right" w:leader="dot" w:pos="9350"/>
            </w:tabs>
            <w:rPr>
              <w:rFonts w:eastAsiaTheme="minorEastAsia"/>
              <w:noProof/>
              <w:kern w:val="2"/>
              <w14:ligatures w14:val="standardContextual"/>
            </w:rPr>
          </w:pPr>
          <w:hyperlink w:anchor="_Toc183605697" w:history="1">
            <w:r w:rsidRPr="00AC74A0">
              <w:rPr>
                <w:rStyle w:val="Hyperlink"/>
                <w:noProof/>
              </w:rPr>
              <w:t>Introduction</w:t>
            </w:r>
            <w:r>
              <w:rPr>
                <w:noProof/>
                <w:webHidden/>
              </w:rPr>
              <w:tab/>
            </w:r>
            <w:r>
              <w:rPr>
                <w:noProof/>
                <w:webHidden/>
              </w:rPr>
              <w:fldChar w:fldCharType="begin"/>
            </w:r>
            <w:r>
              <w:rPr>
                <w:noProof/>
                <w:webHidden/>
              </w:rPr>
              <w:instrText xml:space="preserve"> PAGEREF _Toc183605697 \h </w:instrText>
            </w:r>
            <w:r>
              <w:rPr>
                <w:noProof/>
                <w:webHidden/>
              </w:rPr>
            </w:r>
            <w:r>
              <w:rPr>
                <w:noProof/>
                <w:webHidden/>
              </w:rPr>
              <w:fldChar w:fldCharType="separate"/>
            </w:r>
            <w:r>
              <w:rPr>
                <w:noProof/>
                <w:webHidden/>
              </w:rPr>
              <w:t>2</w:t>
            </w:r>
            <w:r>
              <w:rPr>
                <w:noProof/>
                <w:webHidden/>
              </w:rPr>
              <w:fldChar w:fldCharType="end"/>
            </w:r>
          </w:hyperlink>
        </w:p>
        <w:p w14:paraId="3B003F16" w14:textId="0B46C73F" w:rsidR="00DC191D" w:rsidRDefault="00DC191D">
          <w:pPr>
            <w:pStyle w:val="TOC1"/>
            <w:tabs>
              <w:tab w:val="right" w:leader="dot" w:pos="9350"/>
            </w:tabs>
            <w:rPr>
              <w:rFonts w:eastAsiaTheme="minorEastAsia"/>
              <w:noProof/>
              <w:kern w:val="2"/>
              <w14:ligatures w14:val="standardContextual"/>
            </w:rPr>
          </w:pPr>
          <w:hyperlink w:anchor="_Toc183605698" w:history="1">
            <w:r w:rsidRPr="00AC74A0">
              <w:rPr>
                <w:rStyle w:val="Hyperlink"/>
                <w:noProof/>
              </w:rPr>
              <w:t>Assumptions for sample size considerations</w:t>
            </w:r>
            <w:r>
              <w:rPr>
                <w:noProof/>
                <w:webHidden/>
              </w:rPr>
              <w:tab/>
            </w:r>
            <w:r>
              <w:rPr>
                <w:noProof/>
                <w:webHidden/>
              </w:rPr>
              <w:fldChar w:fldCharType="begin"/>
            </w:r>
            <w:r>
              <w:rPr>
                <w:noProof/>
                <w:webHidden/>
              </w:rPr>
              <w:instrText xml:space="preserve"> PAGEREF _Toc183605698 \h </w:instrText>
            </w:r>
            <w:r>
              <w:rPr>
                <w:noProof/>
                <w:webHidden/>
              </w:rPr>
            </w:r>
            <w:r>
              <w:rPr>
                <w:noProof/>
                <w:webHidden/>
              </w:rPr>
              <w:fldChar w:fldCharType="separate"/>
            </w:r>
            <w:r>
              <w:rPr>
                <w:noProof/>
                <w:webHidden/>
              </w:rPr>
              <w:t>3</w:t>
            </w:r>
            <w:r>
              <w:rPr>
                <w:noProof/>
                <w:webHidden/>
              </w:rPr>
              <w:fldChar w:fldCharType="end"/>
            </w:r>
          </w:hyperlink>
        </w:p>
        <w:p w14:paraId="1380FCD9" w14:textId="2D976E14" w:rsidR="00DC191D" w:rsidRDefault="00DC191D">
          <w:pPr>
            <w:pStyle w:val="TOC1"/>
            <w:tabs>
              <w:tab w:val="right" w:leader="dot" w:pos="9350"/>
            </w:tabs>
            <w:rPr>
              <w:rFonts w:eastAsiaTheme="minorEastAsia"/>
              <w:noProof/>
              <w:kern w:val="2"/>
              <w14:ligatures w14:val="standardContextual"/>
            </w:rPr>
          </w:pPr>
          <w:hyperlink w:anchor="_Toc183605699" w:history="1">
            <w:r w:rsidRPr="00AC74A0">
              <w:rPr>
                <w:rStyle w:val="Hyperlink"/>
                <w:noProof/>
              </w:rPr>
              <w:t>Detailed explanation</w:t>
            </w:r>
            <w:r>
              <w:rPr>
                <w:noProof/>
                <w:webHidden/>
              </w:rPr>
              <w:tab/>
            </w:r>
            <w:r>
              <w:rPr>
                <w:noProof/>
                <w:webHidden/>
              </w:rPr>
              <w:fldChar w:fldCharType="begin"/>
            </w:r>
            <w:r>
              <w:rPr>
                <w:noProof/>
                <w:webHidden/>
              </w:rPr>
              <w:instrText xml:space="preserve"> PAGEREF _Toc183605699 \h </w:instrText>
            </w:r>
            <w:r>
              <w:rPr>
                <w:noProof/>
                <w:webHidden/>
              </w:rPr>
            </w:r>
            <w:r>
              <w:rPr>
                <w:noProof/>
                <w:webHidden/>
              </w:rPr>
              <w:fldChar w:fldCharType="separate"/>
            </w:r>
            <w:r>
              <w:rPr>
                <w:noProof/>
                <w:webHidden/>
              </w:rPr>
              <w:t>4</w:t>
            </w:r>
            <w:r>
              <w:rPr>
                <w:noProof/>
                <w:webHidden/>
              </w:rPr>
              <w:fldChar w:fldCharType="end"/>
            </w:r>
          </w:hyperlink>
        </w:p>
        <w:p w14:paraId="5670B9BE" w14:textId="2B40ABF3" w:rsidR="00DC191D" w:rsidRDefault="00DC191D">
          <w:pPr>
            <w:pStyle w:val="TOC2"/>
            <w:tabs>
              <w:tab w:val="right" w:leader="dot" w:pos="9350"/>
            </w:tabs>
            <w:rPr>
              <w:rFonts w:eastAsiaTheme="minorEastAsia"/>
              <w:noProof/>
              <w:kern w:val="2"/>
              <w14:ligatures w14:val="standardContextual"/>
            </w:rPr>
          </w:pPr>
          <w:hyperlink w:anchor="_Toc183605700" w:history="1">
            <w:r w:rsidRPr="00AC74A0">
              <w:rPr>
                <w:rStyle w:val="Hyperlink"/>
                <w:noProof/>
              </w:rPr>
              <w:t>Simple approach</w:t>
            </w:r>
            <w:r>
              <w:rPr>
                <w:noProof/>
                <w:webHidden/>
              </w:rPr>
              <w:tab/>
            </w:r>
            <w:r>
              <w:rPr>
                <w:noProof/>
                <w:webHidden/>
              </w:rPr>
              <w:fldChar w:fldCharType="begin"/>
            </w:r>
            <w:r>
              <w:rPr>
                <w:noProof/>
                <w:webHidden/>
              </w:rPr>
              <w:instrText xml:space="preserve"> PAGEREF _Toc183605700 \h </w:instrText>
            </w:r>
            <w:r>
              <w:rPr>
                <w:noProof/>
                <w:webHidden/>
              </w:rPr>
            </w:r>
            <w:r>
              <w:rPr>
                <w:noProof/>
                <w:webHidden/>
              </w:rPr>
              <w:fldChar w:fldCharType="separate"/>
            </w:r>
            <w:r>
              <w:rPr>
                <w:noProof/>
                <w:webHidden/>
              </w:rPr>
              <w:t>4</w:t>
            </w:r>
            <w:r>
              <w:rPr>
                <w:noProof/>
                <w:webHidden/>
              </w:rPr>
              <w:fldChar w:fldCharType="end"/>
            </w:r>
          </w:hyperlink>
        </w:p>
        <w:p w14:paraId="3D928E9B" w14:textId="288A3FC4" w:rsidR="00DC191D" w:rsidRDefault="00DC191D">
          <w:pPr>
            <w:pStyle w:val="TOC2"/>
            <w:tabs>
              <w:tab w:val="right" w:leader="dot" w:pos="9350"/>
            </w:tabs>
            <w:rPr>
              <w:rFonts w:eastAsiaTheme="minorEastAsia"/>
              <w:noProof/>
              <w:kern w:val="2"/>
              <w14:ligatures w14:val="standardContextual"/>
            </w:rPr>
          </w:pPr>
          <w:hyperlink w:anchor="_Toc183605701" w:history="1">
            <w:r w:rsidRPr="00AC74A0">
              <w:rPr>
                <w:rStyle w:val="Hyperlink"/>
                <w:noProof/>
              </w:rPr>
              <w:t>Effect of not evaluating the difference between the two distraction methods</w:t>
            </w:r>
            <w:r>
              <w:rPr>
                <w:noProof/>
                <w:webHidden/>
              </w:rPr>
              <w:tab/>
            </w:r>
            <w:r>
              <w:rPr>
                <w:noProof/>
                <w:webHidden/>
              </w:rPr>
              <w:fldChar w:fldCharType="begin"/>
            </w:r>
            <w:r>
              <w:rPr>
                <w:noProof/>
                <w:webHidden/>
              </w:rPr>
              <w:instrText xml:space="preserve"> PAGEREF _Toc183605701 \h </w:instrText>
            </w:r>
            <w:r>
              <w:rPr>
                <w:noProof/>
                <w:webHidden/>
              </w:rPr>
            </w:r>
            <w:r>
              <w:rPr>
                <w:noProof/>
                <w:webHidden/>
              </w:rPr>
              <w:fldChar w:fldCharType="separate"/>
            </w:r>
            <w:r>
              <w:rPr>
                <w:noProof/>
                <w:webHidden/>
              </w:rPr>
              <w:t>5</w:t>
            </w:r>
            <w:r>
              <w:rPr>
                <w:noProof/>
                <w:webHidden/>
              </w:rPr>
              <w:fldChar w:fldCharType="end"/>
            </w:r>
          </w:hyperlink>
        </w:p>
        <w:p w14:paraId="3A75AF51" w14:textId="1C3E260F" w:rsidR="00DC191D" w:rsidRDefault="00DC191D">
          <w:pPr>
            <w:pStyle w:val="TOC2"/>
            <w:tabs>
              <w:tab w:val="right" w:leader="dot" w:pos="9350"/>
            </w:tabs>
            <w:rPr>
              <w:rFonts w:eastAsiaTheme="minorEastAsia"/>
              <w:noProof/>
              <w:kern w:val="2"/>
              <w14:ligatures w14:val="standardContextual"/>
            </w:rPr>
          </w:pPr>
          <w:hyperlink w:anchor="_Toc183605702" w:history="1">
            <w:r w:rsidRPr="00AC74A0">
              <w:rPr>
                <w:rStyle w:val="Hyperlink"/>
                <w:noProof/>
              </w:rPr>
              <w:t>Effects of the scale</w:t>
            </w:r>
            <w:r>
              <w:rPr>
                <w:noProof/>
                <w:webHidden/>
              </w:rPr>
              <w:tab/>
            </w:r>
            <w:r>
              <w:rPr>
                <w:noProof/>
                <w:webHidden/>
              </w:rPr>
              <w:fldChar w:fldCharType="begin"/>
            </w:r>
            <w:r>
              <w:rPr>
                <w:noProof/>
                <w:webHidden/>
              </w:rPr>
              <w:instrText xml:space="preserve"> PAGEREF _Toc183605702 \h </w:instrText>
            </w:r>
            <w:r>
              <w:rPr>
                <w:noProof/>
                <w:webHidden/>
              </w:rPr>
            </w:r>
            <w:r>
              <w:rPr>
                <w:noProof/>
                <w:webHidden/>
              </w:rPr>
              <w:fldChar w:fldCharType="separate"/>
            </w:r>
            <w:r>
              <w:rPr>
                <w:noProof/>
                <w:webHidden/>
              </w:rPr>
              <w:t>6</w:t>
            </w:r>
            <w:r>
              <w:rPr>
                <w:noProof/>
                <w:webHidden/>
              </w:rPr>
              <w:fldChar w:fldCharType="end"/>
            </w:r>
          </w:hyperlink>
        </w:p>
        <w:p w14:paraId="4FD39C8D" w14:textId="15F0F6A6" w:rsidR="00DC191D" w:rsidRDefault="00DC191D">
          <w:pPr>
            <w:pStyle w:val="TOC2"/>
            <w:tabs>
              <w:tab w:val="right" w:leader="dot" w:pos="9350"/>
            </w:tabs>
            <w:rPr>
              <w:rFonts w:eastAsiaTheme="minorEastAsia"/>
              <w:noProof/>
              <w:kern w:val="2"/>
              <w14:ligatures w14:val="standardContextual"/>
            </w:rPr>
          </w:pPr>
          <w:hyperlink w:anchor="_Toc183605703" w:history="1">
            <w:r w:rsidRPr="00AC74A0">
              <w:rPr>
                <w:rStyle w:val="Hyperlink"/>
                <w:noProof/>
              </w:rPr>
              <w:t>Simulation results (taking into consideration of the rounding effects)</w:t>
            </w:r>
            <w:r>
              <w:rPr>
                <w:noProof/>
                <w:webHidden/>
              </w:rPr>
              <w:tab/>
            </w:r>
            <w:r>
              <w:rPr>
                <w:noProof/>
                <w:webHidden/>
              </w:rPr>
              <w:fldChar w:fldCharType="begin"/>
            </w:r>
            <w:r>
              <w:rPr>
                <w:noProof/>
                <w:webHidden/>
              </w:rPr>
              <w:instrText xml:space="preserve"> PAGEREF _Toc183605703 \h </w:instrText>
            </w:r>
            <w:r>
              <w:rPr>
                <w:noProof/>
                <w:webHidden/>
              </w:rPr>
            </w:r>
            <w:r>
              <w:rPr>
                <w:noProof/>
                <w:webHidden/>
              </w:rPr>
              <w:fldChar w:fldCharType="separate"/>
            </w:r>
            <w:r>
              <w:rPr>
                <w:noProof/>
                <w:webHidden/>
              </w:rPr>
              <w:t>6</w:t>
            </w:r>
            <w:r>
              <w:rPr>
                <w:noProof/>
                <w:webHidden/>
              </w:rPr>
              <w:fldChar w:fldCharType="end"/>
            </w:r>
          </w:hyperlink>
        </w:p>
        <w:p w14:paraId="0429BD2B" w14:textId="126BBF4C" w:rsidR="00DC191D" w:rsidRDefault="00DC191D">
          <w:pPr>
            <w:pStyle w:val="TOC1"/>
            <w:tabs>
              <w:tab w:val="right" w:leader="dot" w:pos="9350"/>
            </w:tabs>
            <w:rPr>
              <w:rFonts w:eastAsiaTheme="minorEastAsia"/>
              <w:noProof/>
              <w:kern w:val="2"/>
              <w14:ligatures w14:val="standardContextual"/>
            </w:rPr>
          </w:pPr>
          <w:hyperlink w:anchor="_Toc183605704" w:history="1">
            <w:r w:rsidRPr="00AC74A0">
              <w:rPr>
                <w:rStyle w:val="Hyperlink"/>
                <w:noProof/>
              </w:rPr>
              <w:t>Remarks</w:t>
            </w:r>
            <w:r>
              <w:rPr>
                <w:noProof/>
                <w:webHidden/>
              </w:rPr>
              <w:tab/>
            </w:r>
            <w:r>
              <w:rPr>
                <w:noProof/>
                <w:webHidden/>
              </w:rPr>
              <w:fldChar w:fldCharType="begin"/>
            </w:r>
            <w:r>
              <w:rPr>
                <w:noProof/>
                <w:webHidden/>
              </w:rPr>
              <w:instrText xml:space="preserve"> PAGEREF _Toc183605704 \h </w:instrText>
            </w:r>
            <w:r>
              <w:rPr>
                <w:noProof/>
                <w:webHidden/>
              </w:rPr>
            </w:r>
            <w:r>
              <w:rPr>
                <w:noProof/>
                <w:webHidden/>
              </w:rPr>
              <w:fldChar w:fldCharType="separate"/>
            </w:r>
            <w:r>
              <w:rPr>
                <w:noProof/>
                <w:webHidden/>
              </w:rPr>
              <w:t>10</w:t>
            </w:r>
            <w:r>
              <w:rPr>
                <w:noProof/>
                <w:webHidden/>
              </w:rPr>
              <w:fldChar w:fldCharType="end"/>
            </w:r>
          </w:hyperlink>
        </w:p>
        <w:p w14:paraId="504ADC55" w14:textId="2E11D70D" w:rsidR="00DC191D" w:rsidRDefault="00DC191D">
          <w:pPr>
            <w:pStyle w:val="TOC2"/>
            <w:tabs>
              <w:tab w:val="right" w:leader="dot" w:pos="9350"/>
            </w:tabs>
            <w:rPr>
              <w:rFonts w:eastAsiaTheme="minorEastAsia"/>
              <w:noProof/>
              <w:kern w:val="2"/>
              <w14:ligatures w14:val="standardContextual"/>
            </w:rPr>
          </w:pPr>
          <w:hyperlink w:anchor="_Toc183605705" w:history="1">
            <w:r w:rsidRPr="00AC74A0">
              <w:rPr>
                <w:rStyle w:val="Hyperlink"/>
                <w:noProof/>
              </w:rPr>
              <w:t>References</w:t>
            </w:r>
            <w:r>
              <w:rPr>
                <w:noProof/>
                <w:webHidden/>
              </w:rPr>
              <w:tab/>
            </w:r>
            <w:r>
              <w:rPr>
                <w:noProof/>
                <w:webHidden/>
              </w:rPr>
              <w:fldChar w:fldCharType="begin"/>
            </w:r>
            <w:r>
              <w:rPr>
                <w:noProof/>
                <w:webHidden/>
              </w:rPr>
              <w:instrText xml:space="preserve"> PAGEREF _Toc183605705 \h </w:instrText>
            </w:r>
            <w:r>
              <w:rPr>
                <w:noProof/>
                <w:webHidden/>
              </w:rPr>
            </w:r>
            <w:r>
              <w:rPr>
                <w:noProof/>
                <w:webHidden/>
              </w:rPr>
              <w:fldChar w:fldCharType="separate"/>
            </w:r>
            <w:r>
              <w:rPr>
                <w:noProof/>
                <w:webHidden/>
              </w:rPr>
              <w:t>10</w:t>
            </w:r>
            <w:r>
              <w:rPr>
                <w:noProof/>
                <w:webHidden/>
              </w:rPr>
              <w:fldChar w:fldCharType="end"/>
            </w:r>
          </w:hyperlink>
        </w:p>
        <w:p w14:paraId="7C4B98A7" w14:textId="62F38E2E" w:rsidR="008B4595" w:rsidRDefault="00E115AD">
          <w:r>
            <w:fldChar w:fldCharType="end"/>
          </w:r>
        </w:p>
      </w:sdtContent>
    </w:sdt>
    <w:p w14:paraId="7C4B98A8" w14:textId="77777777" w:rsidR="008B4595" w:rsidRDefault="00E115AD">
      <w:r>
        <w:br w:type="page"/>
      </w:r>
    </w:p>
    <w:p w14:paraId="7C4B98A9" w14:textId="77777777" w:rsidR="008B4595" w:rsidRDefault="00E115AD">
      <w:pPr>
        <w:pStyle w:val="Heading1"/>
      </w:pPr>
      <w:bookmarkStart w:id="0" w:name="executive-summary"/>
      <w:bookmarkStart w:id="1" w:name="_Toc183605696"/>
      <w:r>
        <w:lastRenderedPageBreak/>
        <w:t>Executive summary</w:t>
      </w:r>
      <w:bookmarkEnd w:id="1"/>
    </w:p>
    <w:p w14:paraId="7C4B98AA" w14:textId="1F074F83" w:rsidR="008B4595" w:rsidRDefault="00E115AD">
      <w:pPr>
        <w:pStyle w:val="FirstParagraph"/>
      </w:pPr>
      <w:r>
        <w:t xml:space="preserve">Based on the variables discussed for the calculations, taking into consideration the possible effect of </w:t>
      </w:r>
      <w:r w:rsidR="00DC191D">
        <w:t>the scale</w:t>
      </w:r>
      <w:r>
        <w:t>, and after conducting a simulation study an appropriate sample size for the study would be between 114 and 171 subjects (total).</w:t>
      </w:r>
    </w:p>
    <w:p w14:paraId="674257ED" w14:textId="07481C8F" w:rsidR="005F3C73" w:rsidRPr="000D5CDA" w:rsidRDefault="00E115AD" w:rsidP="000D5CDA">
      <w:pPr>
        <w:pStyle w:val="BodyText"/>
      </w:pPr>
      <w:r w:rsidRPr="00E115AD">
        <w:t>For those who are interested, the ‘Detailed Explanation’ section offers more in-depth information.</w:t>
      </w:r>
    </w:p>
    <w:tbl>
      <w:tblPr>
        <w:tblW w:w="0" w:type="auto"/>
        <w:jc w:val="center"/>
        <w:tblLayout w:type="fixed"/>
        <w:tblLook w:val="0420" w:firstRow="1" w:lastRow="0" w:firstColumn="0" w:lastColumn="0" w:noHBand="0" w:noVBand="1"/>
      </w:tblPr>
      <w:tblGrid>
        <w:gridCol w:w="1258"/>
        <w:gridCol w:w="531"/>
      </w:tblGrid>
      <w:tr w:rsidR="008B4595" w14:paraId="7C4B98AD" w14:textId="77777777">
        <w:trPr>
          <w:jc w:val="center"/>
        </w:trPr>
        <w:tc>
          <w:tcPr>
            <w:tcW w:w="1258" w:type="dxa"/>
            <w:tcBorders>
              <w:top w:val="none" w:sz="0"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7C4B98AB" w14:textId="77777777" w:rsidR="008B4595" w:rsidRDefault="00E115AD">
            <w:pPr>
              <w:pBdr>
                <w:top w:val="none" w:sz="0" w:space="0" w:color="000000"/>
                <w:left w:val="none" w:sz="0" w:space="0" w:color="000000"/>
                <w:bottom w:val="none" w:sz="0" w:space="0" w:color="000000"/>
                <w:right w:val="none" w:sz="0" w:space="0" w:color="000000"/>
              </w:pBdr>
              <w:spacing w:before="20" w:after="20"/>
              <w:ind w:right="20"/>
              <w:jc w:val="right"/>
              <w:rPr>
                <w:rFonts w:ascii="Arial" w:eastAsia="Arial" w:hAnsi="Arial" w:cs="Arial"/>
                <w:b/>
                <w:color w:val="000000"/>
                <w:sz w:val="12"/>
                <w:szCs w:val="12"/>
              </w:rPr>
            </w:pPr>
            <w:r>
              <w:rPr>
                <w:rFonts w:ascii="Arial" w:eastAsia="Arial" w:hAnsi="Arial" w:cs="Arial"/>
                <w:b/>
                <w:color w:val="000000"/>
                <w:sz w:val="12"/>
                <w:szCs w:val="12"/>
              </w:rPr>
              <w:t>Total_Sample_Size</w:t>
            </w:r>
          </w:p>
        </w:tc>
        <w:tc>
          <w:tcPr>
            <w:tcW w:w="531" w:type="dxa"/>
            <w:tcBorders>
              <w:top w:val="none" w:sz="0"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7C4B98AC" w14:textId="77777777" w:rsidR="008B4595" w:rsidRDefault="00E115AD">
            <w:pPr>
              <w:pBdr>
                <w:top w:val="none" w:sz="0" w:space="0" w:color="000000"/>
                <w:left w:val="none" w:sz="0" w:space="0" w:color="000000"/>
                <w:bottom w:val="none" w:sz="0" w:space="0" w:color="000000"/>
                <w:right w:val="none" w:sz="0" w:space="0" w:color="000000"/>
              </w:pBdr>
              <w:spacing w:before="20" w:after="20"/>
              <w:ind w:left="20"/>
              <w:jc w:val="right"/>
              <w:rPr>
                <w:rFonts w:ascii="Arial" w:eastAsia="Arial" w:hAnsi="Arial" w:cs="Arial"/>
                <w:b/>
                <w:color w:val="000000"/>
                <w:sz w:val="12"/>
                <w:szCs w:val="12"/>
              </w:rPr>
            </w:pPr>
            <w:r>
              <w:rPr>
                <w:rFonts w:ascii="Arial" w:eastAsia="Arial" w:hAnsi="Arial" w:cs="Arial"/>
                <w:b/>
                <w:color w:val="000000"/>
                <w:sz w:val="12"/>
                <w:szCs w:val="12"/>
              </w:rPr>
              <w:t>Power</w:t>
            </w:r>
          </w:p>
        </w:tc>
      </w:tr>
      <w:tr w:rsidR="008B4595" w14:paraId="7C4B98B0" w14:textId="77777777">
        <w:trPr>
          <w:jc w:val="center"/>
        </w:trPr>
        <w:tc>
          <w:tcPr>
            <w:tcW w:w="1258" w:type="dxa"/>
            <w:tcBorders>
              <w:top w:val="single" w:sz="3"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AE" w14:textId="77777777" w:rsidR="008B4595" w:rsidRDefault="00E115AD">
            <w:pPr>
              <w:pBdr>
                <w:top w:val="none" w:sz="0" w:space="0" w:color="000000"/>
                <w:left w:val="none" w:sz="0" w:space="0" w:color="000000"/>
                <w:bottom w:val="none" w:sz="0" w:space="0" w:color="000000"/>
                <w:right w:val="none" w:sz="0" w:space="0" w:color="000000"/>
              </w:pBdr>
              <w:spacing w:before="20" w:after="20"/>
              <w:ind w:right="20"/>
              <w:jc w:val="right"/>
              <w:rPr>
                <w:rFonts w:ascii="Arial" w:eastAsia="Arial" w:hAnsi="Arial" w:cs="Arial"/>
                <w:color w:val="000000"/>
                <w:sz w:val="12"/>
                <w:szCs w:val="12"/>
              </w:rPr>
            </w:pPr>
            <w:r>
              <w:rPr>
                <w:rFonts w:ascii="Arial" w:eastAsia="Arial" w:hAnsi="Arial" w:cs="Arial"/>
                <w:color w:val="000000"/>
                <w:sz w:val="12"/>
                <w:szCs w:val="12"/>
              </w:rPr>
              <w:t>114</w:t>
            </w:r>
          </w:p>
        </w:tc>
        <w:tc>
          <w:tcPr>
            <w:tcW w:w="531" w:type="dxa"/>
            <w:tcBorders>
              <w:top w:val="single" w:sz="3"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AF" w14:textId="77777777" w:rsidR="008B4595" w:rsidRDefault="00E115AD">
            <w:pPr>
              <w:pBdr>
                <w:top w:val="none" w:sz="0" w:space="0" w:color="000000"/>
                <w:left w:val="none" w:sz="0" w:space="0" w:color="000000"/>
                <w:bottom w:val="none" w:sz="0" w:space="0" w:color="000000"/>
                <w:right w:val="none" w:sz="0" w:space="0" w:color="000000"/>
              </w:pBdr>
              <w:spacing w:before="20" w:after="20"/>
              <w:ind w:left="20"/>
              <w:jc w:val="right"/>
              <w:rPr>
                <w:rFonts w:ascii="Arial" w:eastAsia="Arial" w:hAnsi="Arial" w:cs="Arial"/>
                <w:color w:val="000000"/>
                <w:sz w:val="12"/>
                <w:szCs w:val="12"/>
              </w:rPr>
            </w:pPr>
            <w:r>
              <w:rPr>
                <w:rFonts w:ascii="Arial" w:eastAsia="Arial" w:hAnsi="Arial" w:cs="Arial"/>
                <w:color w:val="000000"/>
                <w:sz w:val="12"/>
                <w:szCs w:val="12"/>
              </w:rPr>
              <w:t>0.801</w:t>
            </w:r>
          </w:p>
        </w:tc>
      </w:tr>
      <w:tr w:rsidR="008B4595" w14:paraId="7C4B98B3" w14:textId="77777777">
        <w:trPr>
          <w:jc w:val="center"/>
        </w:trPr>
        <w:tc>
          <w:tcPr>
            <w:tcW w:w="12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B1" w14:textId="77777777" w:rsidR="008B4595" w:rsidRDefault="00E115AD">
            <w:pPr>
              <w:pBdr>
                <w:top w:val="none" w:sz="0" w:space="0" w:color="000000"/>
                <w:left w:val="none" w:sz="0" w:space="0" w:color="000000"/>
                <w:bottom w:val="none" w:sz="0" w:space="0" w:color="000000"/>
                <w:right w:val="none" w:sz="0" w:space="0" w:color="000000"/>
              </w:pBdr>
              <w:spacing w:before="20" w:after="20"/>
              <w:ind w:right="20"/>
              <w:jc w:val="right"/>
              <w:rPr>
                <w:rFonts w:ascii="Arial" w:eastAsia="Arial" w:hAnsi="Arial" w:cs="Arial"/>
                <w:color w:val="000000"/>
                <w:sz w:val="12"/>
                <w:szCs w:val="12"/>
              </w:rPr>
            </w:pPr>
            <w:r>
              <w:rPr>
                <w:rFonts w:ascii="Arial" w:eastAsia="Arial" w:hAnsi="Arial" w:cs="Arial"/>
                <w:color w:val="000000"/>
                <w:sz w:val="12"/>
                <w:szCs w:val="12"/>
              </w:rPr>
              <w:t>117</w:t>
            </w:r>
          </w:p>
        </w:tc>
        <w:tc>
          <w:tcPr>
            <w:tcW w:w="5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B2" w14:textId="77777777" w:rsidR="008B4595" w:rsidRDefault="00E115AD">
            <w:pPr>
              <w:pBdr>
                <w:top w:val="none" w:sz="0" w:space="0" w:color="000000"/>
                <w:left w:val="none" w:sz="0" w:space="0" w:color="000000"/>
                <w:bottom w:val="none" w:sz="0" w:space="0" w:color="000000"/>
                <w:right w:val="none" w:sz="0" w:space="0" w:color="000000"/>
              </w:pBdr>
              <w:spacing w:before="20" w:after="20"/>
              <w:ind w:left="20"/>
              <w:jc w:val="right"/>
              <w:rPr>
                <w:rFonts w:ascii="Arial" w:eastAsia="Arial" w:hAnsi="Arial" w:cs="Arial"/>
                <w:color w:val="000000"/>
                <w:sz w:val="12"/>
                <w:szCs w:val="12"/>
              </w:rPr>
            </w:pPr>
            <w:r>
              <w:rPr>
                <w:rFonts w:ascii="Arial" w:eastAsia="Arial" w:hAnsi="Arial" w:cs="Arial"/>
                <w:color w:val="000000"/>
                <w:sz w:val="12"/>
                <w:szCs w:val="12"/>
              </w:rPr>
              <w:t>0.808</w:t>
            </w:r>
          </w:p>
        </w:tc>
      </w:tr>
      <w:tr w:rsidR="008B4595" w14:paraId="7C4B98B6" w14:textId="77777777">
        <w:trPr>
          <w:jc w:val="center"/>
        </w:trPr>
        <w:tc>
          <w:tcPr>
            <w:tcW w:w="12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B4" w14:textId="77777777" w:rsidR="008B4595" w:rsidRDefault="00E115AD">
            <w:pPr>
              <w:pBdr>
                <w:top w:val="none" w:sz="0" w:space="0" w:color="000000"/>
                <w:left w:val="none" w:sz="0" w:space="0" w:color="000000"/>
                <w:bottom w:val="none" w:sz="0" w:space="0" w:color="000000"/>
                <w:right w:val="none" w:sz="0" w:space="0" w:color="000000"/>
              </w:pBdr>
              <w:spacing w:before="20" w:after="20"/>
              <w:ind w:right="20"/>
              <w:jc w:val="right"/>
              <w:rPr>
                <w:rFonts w:ascii="Arial" w:eastAsia="Arial" w:hAnsi="Arial" w:cs="Arial"/>
                <w:color w:val="000000"/>
                <w:sz w:val="12"/>
                <w:szCs w:val="12"/>
              </w:rPr>
            </w:pPr>
            <w:r>
              <w:rPr>
                <w:rFonts w:ascii="Arial" w:eastAsia="Arial" w:hAnsi="Arial" w:cs="Arial"/>
                <w:color w:val="000000"/>
                <w:sz w:val="12"/>
                <w:szCs w:val="12"/>
              </w:rPr>
              <w:t>120</w:t>
            </w:r>
          </w:p>
        </w:tc>
        <w:tc>
          <w:tcPr>
            <w:tcW w:w="5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B5" w14:textId="77777777" w:rsidR="008B4595" w:rsidRDefault="00E115AD">
            <w:pPr>
              <w:pBdr>
                <w:top w:val="none" w:sz="0" w:space="0" w:color="000000"/>
                <w:left w:val="none" w:sz="0" w:space="0" w:color="000000"/>
                <w:bottom w:val="none" w:sz="0" w:space="0" w:color="000000"/>
                <w:right w:val="none" w:sz="0" w:space="0" w:color="000000"/>
              </w:pBdr>
              <w:spacing w:before="20" w:after="20"/>
              <w:ind w:left="20"/>
              <w:jc w:val="right"/>
              <w:rPr>
                <w:rFonts w:ascii="Arial" w:eastAsia="Arial" w:hAnsi="Arial" w:cs="Arial"/>
                <w:color w:val="000000"/>
                <w:sz w:val="12"/>
                <w:szCs w:val="12"/>
              </w:rPr>
            </w:pPr>
            <w:r>
              <w:rPr>
                <w:rFonts w:ascii="Arial" w:eastAsia="Arial" w:hAnsi="Arial" w:cs="Arial"/>
                <w:color w:val="000000"/>
                <w:sz w:val="12"/>
                <w:szCs w:val="12"/>
              </w:rPr>
              <w:t>0.818</w:t>
            </w:r>
          </w:p>
        </w:tc>
      </w:tr>
      <w:tr w:rsidR="008B4595" w14:paraId="7C4B98B9" w14:textId="77777777">
        <w:trPr>
          <w:jc w:val="center"/>
        </w:trPr>
        <w:tc>
          <w:tcPr>
            <w:tcW w:w="12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B7" w14:textId="77777777" w:rsidR="008B4595" w:rsidRDefault="00E115AD">
            <w:pPr>
              <w:pBdr>
                <w:top w:val="none" w:sz="0" w:space="0" w:color="000000"/>
                <w:left w:val="none" w:sz="0" w:space="0" w:color="000000"/>
                <w:bottom w:val="none" w:sz="0" w:space="0" w:color="000000"/>
                <w:right w:val="none" w:sz="0" w:space="0" w:color="000000"/>
              </w:pBdr>
              <w:spacing w:before="20" w:after="20"/>
              <w:ind w:right="20"/>
              <w:jc w:val="right"/>
              <w:rPr>
                <w:rFonts w:ascii="Arial" w:eastAsia="Arial" w:hAnsi="Arial" w:cs="Arial"/>
                <w:color w:val="000000"/>
                <w:sz w:val="12"/>
                <w:szCs w:val="12"/>
              </w:rPr>
            </w:pPr>
            <w:r>
              <w:rPr>
                <w:rFonts w:ascii="Arial" w:eastAsia="Arial" w:hAnsi="Arial" w:cs="Arial"/>
                <w:color w:val="000000"/>
                <w:sz w:val="12"/>
                <w:szCs w:val="12"/>
              </w:rPr>
              <w:t>123</w:t>
            </w:r>
          </w:p>
        </w:tc>
        <w:tc>
          <w:tcPr>
            <w:tcW w:w="5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B8" w14:textId="77777777" w:rsidR="008B4595" w:rsidRDefault="00E115AD">
            <w:pPr>
              <w:pBdr>
                <w:top w:val="none" w:sz="0" w:space="0" w:color="000000"/>
                <w:left w:val="none" w:sz="0" w:space="0" w:color="000000"/>
                <w:bottom w:val="none" w:sz="0" w:space="0" w:color="000000"/>
                <w:right w:val="none" w:sz="0" w:space="0" w:color="000000"/>
              </w:pBdr>
              <w:spacing w:before="20" w:after="20"/>
              <w:ind w:left="20"/>
              <w:jc w:val="right"/>
              <w:rPr>
                <w:rFonts w:ascii="Arial" w:eastAsia="Arial" w:hAnsi="Arial" w:cs="Arial"/>
                <w:color w:val="000000"/>
                <w:sz w:val="12"/>
                <w:szCs w:val="12"/>
              </w:rPr>
            </w:pPr>
            <w:r>
              <w:rPr>
                <w:rFonts w:ascii="Arial" w:eastAsia="Arial" w:hAnsi="Arial" w:cs="Arial"/>
                <w:color w:val="000000"/>
                <w:sz w:val="12"/>
                <w:szCs w:val="12"/>
              </w:rPr>
              <w:t>0.826</w:t>
            </w:r>
          </w:p>
        </w:tc>
      </w:tr>
      <w:tr w:rsidR="008B4595" w14:paraId="7C4B98BC" w14:textId="77777777">
        <w:trPr>
          <w:jc w:val="center"/>
        </w:trPr>
        <w:tc>
          <w:tcPr>
            <w:tcW w:w="12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BA" w14:textId="77777777" w:rsidR="008B4595" w:rsidRDefault="00E115AD">
            <w:pPr>
              <w:pBdr>
                <w:top w:val="none" w:sz="0" w:space="0" w:color="000000"/>
                <w:left w:val="none" w:sz="0" w:space="0" w:color="000000"/>
                <w:bottom w:val="none" w:sz="0" w:space="0" w:color="000000"/>
                <w:right w:val="none" w:sz="0" w:space="0" w:color="000000"/>
              </w:pBdr>
              <w:spacing w:before="20" w:after="20"/>
              <w:ind w:right="20"/>
              <w:jc w:val="right"/>
              <w:rPr>
                <w:rFonts w:ascii="Arial" w:eastAsia="Arial" w:hAnsi="Arial" w:cs="Arial"/>
                <w:color w:val="000000"/>
                <w:sz w:val="12"/>
                <w:szCs w:val="12"/>
              </w:rPr>
            </w:pPr>
            <w:r>
              <w:rPr>
                <w:rFonts w:ascii="Arial" w:eastAsia="Arial" w:hAnsi="Arial" w:cs="Arial"/>
                <w:color w:val="000000"/>
                <w:sz w:val="12"/>
                <w:szCs w:val="12"/>
              </w:rPr>
              <w:t>126</w:t>
            </w:r>
          </w:p>
        </w:tc>
        <w:tc>
          <w:tcPr>
            <w:tcW w:w="5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BB" w14:textId="77777777" w:rsidR="008B4595" w:rsidRDefault="00E115AD">
            <w:pPr>
              <w:pBdr>
                <w:top w:val="none" w:sz="0" w:space="0" w:color="000000"/>
                <w:left w:val="none" w:sz="0" w:space="0" w:color="000000"/>
                <w:bottom w:val="none" w:sz="0" w:space="0" w:color="000000"/>
                <w:right w:val="none" w:sz="0" w:space="0" w:color="000000"/>
              </w:pBdr>
              <w:spacing w:before="20" w:after="20"/>
              <w:ind w:left="20"/>
              <w:jc w:val="right"/>
              <w:rPr>
                <w:rFonts w:ascii="Arial" w:eastAsia="Arial" w:hAnsi="Arial" w:cs="Arial"/>
                <w:color w:val="000000"/>
                <w:sz w:val="12"/>
                <w:szCs w:val="12"/>
              </w:rPr>
            </w:pPr>
            <w:r>
              <w:rPr>
                <w:rFonts w:ascii="Arial" w:eastAsia="Arial" w:hAnsi="Arial" w:cs="Arial"/>
                <w:color w:val="000000"/>
                <w:sz w:val="12"/>
                <w:szCs w:val="12"/>
              </w:rPr>
              <w:t>0.834</w:t>
            </w:r>
          </w:p>
        </w:tc>
      </w:tr>
      <w:tr w:rsidR="008B4595" w14:paraId="7C4B98BF" w14:textId="77777777">
        <w:trPr>
          <w:jc w:val="center"/>
        </w:trPr>
        <w:tc>
          <w:tcPr>
            <w:tcW w:w="12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BD" w14:textId="77777777" w:rsidR="008B4595" w:rsidRDefault="00E115AD">
            <w:pPr>
              <w:pBdr>
                <w:top w:val="none" w:sz="0" w:space="0" w:color="000000"/>
                <w:left w:val="none" w:sz="0" w:space="0" w:color="000000"/>
                <w:bottom w:val="none" w:sz="0" w:space="0" w:color="000000"/>
                <w:right w:val="none" w:sz="0" w:space="0" w:color="000000"/>
              </w:pBdr>
              <w:spacing w:before="20" w:after="20"/>
              <w:ind w:right="20"/>
              <w:jc w:val="right"/>
              <w:rPr>
                <w:rFonts w:ascii="Arial" w:eastAsia="Arial" w:hAnsi="Arial" w:cs="Arial"/>
                <w:color w:val="000000"/>
                <w:sz w:val="12"/>
                <w:szCs w:val="12"/>
              </w:rPr>
            </w:pPr>
            <w:r>
              <w:rPr>
                <w:rFonts w:ascii="Arial" w:eastAsia="Arial" w:hAnsi="Arial" w:cs="Arial"/>
                <w:color w:val="000000"/>
                <w:sz w:val="12"/>
                <w:szCs w:val="12"/>
              </w:rPr>
              <w:t>129</w:t>
            </w:r>
          </w:p>
        </w:tc>
        <w:tc>
          <w:tcPr>
            <w:tcW w:w="5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BE" w14:textId="77777777" w:rsidR="008B4595" w:rsidRDefault="00E115AD">
            <w:pPr>
              <w:pBdr>
                <w:top w:val="none" w:sz="0" w:space="0" w:color="000000"/>
                <w:left w:val="none" w:sz="0" w:space="0" w:color="000000"/>
                <w:bottom w:val="none" w:sz="0" w:space="0" w:color="000000"/>
                <w:right w:val="none" w:sz="0" w:space="0" w:color="000000"/>
              </w:pBdr>
              <w:spacing w:before="20" w:after="20"/>
              <w:ind w:left="20"/>
              <w:jc w:val="right"/>
              <w:rPr>
                <w:rFonts w:ascii="Arial" w:eastAsia="Arial" w:hAnsi="Arial" w:cs="Arial"/>
                <w:color w:val="000000"/>
                <w:sz w:val="12"/>
                <w:szCs w:val="12"/>
              </w:rPr>
            </w:pPr>
            <w:r>
              <w:rPr>
                <w:rFonts w:ascii="Arial" w:eastAsia="Arial" w:hAnsi="Arial" w:cs="Arial"/>
                <w:color w:val="000000"/>
                <w:sz w:val="12"/>
                <w:szCs w:val="12"/>
              </w:rPr>
              <w:t>0.841</w:t>
            </w:r>
          </w:p>
        </w:tc>
      </w:tr>
      <w:tr w:rsidR="008B4595" w14:paraId="7C4B98C2" w14:textId="77777777">
        <w:trPr>
          <w:jc w:val="center"/>
        </w:trPr>
        <w:tc>
          <w:tcPr>
            <w:tcW w:w="12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C0" w14:textId="77777777" w:rsidR="008B4595" w:rsidRDefault="00E115AD">
            <w:pPr>
              <w:pBdr>
                <w:top w:val="none" w:sz="0" w:space="0" w:color="000000"/>
                <w:left w:val="none" w:sz="0" w:space="0" w:color="000000"/>
                <w:bottom w:val="none" w:sz="0" w:space="0" w:color="000000"/>
                <w:right w:val="none" w:sz="0" w:space="0" w:color="000000"/>
              </w:pBdr>
              <w:spacing w:before="20" w:after="20"/>
              <w:ind w:right="20"/>
              <w:jc w:val="right"/>
              <w:rPr>
                <w:rFonts w:ascii="Arial" w:eastAsia="Arial" w:hAnsi="Arial" w:cs="Arial"/>
                <w:color w:val="000000"/>
                <w:sz w:val="12"/>
                <w:szCs w:val="12"/>
              </w:rPr>
            </w:pPr>
            <w:r>
              <w:rPr>
                <w:rFonts w:ascii="Arial" w:eastAsia="Arial" w:hAnsi="Arial" w:cs="Arial"/>
                <w:color w:val="000000"/>
                <w:sz w:val="12"/>
                <w:szCs w:val="12"/>
              </w:rPr>
              <w:t>132</w:t>
            </w:r>
          </w:p>
        </w:tc>
        <w:tc>
          <w:tcPr>
            <w:tcW w:w="5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C1" w14:textId="77777777" w:rsidR="008B4595" w:rsidRDefault="00E115AD">
            <w:pPr>
              <w:pBdr>
                <w:top w:val="none" w:sz="0" w:space="0" w:color="000000"/>
                <w:left w:val="none" w:sz="0" w:space="0" w:color="000000"/>
                <w:bottom w:val="none" w:sz="0" w:space="0" w:color="000000"/>
                <w:right w:val="none" w:sz="0" w:space="0" w:color="000000"/>
              </w:pBdr>
              <w:spacing w:before="20" w:after="20"/>
              <w:ind w:left="20"/>
              <w:jc w:val="right"/>
              <w:rPr>
                <w:rFonts w:ascii="Arial" w:eastAsia="Arial" w:hAnsi="Arial" w:cs="Arial"/>
                <w:color w:val="000000"/>
                <w:sz w:val="12"/>
                <w:szCs w:val="12"/>
              </w:rPr>
            </w:pPr>
            <w:r>
              <w:rPr>
                <w:rFonts w:ascii="Arial" w:eastAsia="Arial" w:hAnsi="Arial" w:cs="Arial"/>
                <w:color w:val="000000"/>
                <w:sz w:val="12"/>
                <w:szCs w:val="12"/>
              </w:rPr>
              <w:t>0.848</w:t>
            </w:r>
          </w:p>
        </w:tc>
      </w:tr>
      <w:tr w:rsidR="008B4595" w14:paraId="7C4B98C5" w14:textId="77777777">
        <w:trPr>
          <w:jc w:val="center"/>
        </w:trPr>
        <w:tc>
          <w:tcPr>
            <w:tcW w:w="12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C3" w14:textId="77777777" w:rsidR="008B4595" w:rsidRDefault="00E115AD">
            <w:pPr>
              <w:pBdr>
                <w:top w:val="none" w:sz="0" w:space="0" w:color="000000"/>
                <w:left w:val="none" w:sz="0" w:space="0" w:color="000000"/>
                <w:bottom w:val="none" w:sz="0" w:space="0" w:color="000000"/>
                <w:right w:val="none" w:sz="0" w:space="0" w:color="000000"/>
              </w:pBdr>
              <w:spacing w:before="20" w:after="20"/>
              <w:ind w:right="20"/>
              <w:jc w:val="right"/>
              <w:rPr>
                <w:rFonts w:ascii="Arial" w:eastAsia="Arial" w:hAnsi="Arial" w:cs="Arial"/>
                <w:color w:val="000000"/>
                <w:sz w:val="12"/>
                <w:szCs w:val="12"/>
              </w:rPr>
            </w:pPr>
            <w:r>
              <w:rPr>
                <w:rFonts w:ascii="Arial" w:eastAsia="Arial" w:hAnsi="Arial" w:cs="Arial"/>
                <w:color w:val="000000"/>
                <w:sz w:val="12"/>
                <w:szCs w:val="12"/>
              </w:rPr>
              <w:t>135</w:t>
            </w:r>
          </w:p>
        </w:tc>
        <w:tc>
          <w:tcPr>
            <w:tcW w:w="5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C4" w14:textId="77777777" w:rsidR="008B4595" w:rsidRDefault="00E115AD">
            <w:pPr>
              <w:pBdr>
                <w:top w:val="none" w:sz="0" w:space="0" w:color="000000"/>
                <w:left w:val="none" w:sz="0" w:space="0" w:color="000000"/>
                <w:bottom w:val="none" w:sz="0" w:space="0" w:color="000000"/>
                <w:right w:val="none" w:sz="0" w:space="0" w:color="000000"/>
              </w:pBdr>
              <w:spacing w:before="20" w:after="20"/>
              <w:ind w:left="20"/>
              <w:jc w:val="right"/>
              <w:rPr>
                <w:rFonts w:ascii="Arial" w:eastAsia="Arial" w:hAnsi="Arial" w:cs="Arial"/>
                <w:color w:val="000000"/>
                <w:sz w:val="12"/>
                <w:szCs w:val="12"/>
              </w:rPr>
            </w:pPr>
            <w:r>
              <w:rPr>
                <w:rFonts w:ascii="Arial" w:eastAsia="Arial" w:hAnsi="Arial" w:cs="Arial"/>
                <w:color w:val="000000"/>
                <w:sz w:val="12"/>
                <w:szCs w:val="12"/>
              </w:rPr>
              <w:t>0.854</w:t>
            </w:r>
          </w:p>
        </w:tc>
      </w:tr>
      <w:tr w:rsidR="008B4595" w14:paraId="7C4B98C8" w14:textId="77777777">
        <w:trPr>
          <w:jc w:val="center"/>
        </w:trPr>
        <w:tc>
          <w:tcPr>
            <w:tcW w:w="12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C6" w14:textId="77777777" w:rsidR="008B4595" w:rsidRDefault="00E115AD">
            <w:pPr>
              <w:pBdr>
                <w:top w:val="none" w:sz="0" w:space="0" w:color="000000"/>
                <w:left w:val="none" w:sz="0" w:space="0" w:color="000000"/>
                <w:bottom w:val="none" w:sz="0" w:space="0" w:color="000000"/>
                <w:right w:val="none" w:sz="0" w:space="0" w:color="000000"/>
              </w:pBdr>
              <w:spacing w:before="20" w:after="20"/>
              <w:ind w:right="20"/>
              <w:jc w:val="right"/>
              <w:rPr>
                <w:rFonts w:ascii="Arial" w:eastAsia="Arial" w:hAnsi="Arial" w:cs="Arial"/>
                <w:color w:val="000000"/>
                <w:sz w:val="12"/>
                <w:szCs w:val="12"/>
              </w:rPr>
            </w:pPr>
            <w:r>
              <w:rPr>
                <w:rFonts w:ascii="Arial" w:eastAsia="Arial" w:hAnsi="Arial" w:cs="Arial"/>
                <w:color w:val="000000"/>
                <w:sz w:val="12"/>
                <w:szCs w:val="12"/>
              </w:rPr>
              <w:t>138</w:t>
            </w:r>
          </w:p>
        </w:tc>
        <w:tc>
          <w:tcPr>
            <w:tcW w:w="5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C7" w14:textId="77777777" w:rsidR="008B4595" w:rsidRDefault="00E115AD">
            <w:pPr>
              <w:pBdr>
                <w:top w:val="none" w:sz="0" w:space="0" w:color="000000"/>
                <w:left w:val="none" w:sz="0" w:space="0" w:color="000000"/>
                <w:bottom w:val="none" w:sz="0" w:space="0" w:color="000000"/>
                <w:right w:val="none" w:sz="0" w:space="0" w:color="000000"/>
              </w:pBdr>
              <w:spacing w:before="20" w:after="20"/>
              <w:ind w:left="20"/>
              <w:jc w:val="right"/>
              <w:rPr>
                <w:rFonts w:ascii="Arial" w:eastAsia="Arial" w:hAnsi="Arial" w:cs="Arial"/>
                <w:color w:val="000000"/>
                <w:sz w:val="12"/>
                <w:szCs w:val="12"/>
              </w:rPr>
            </w:pPr>
            <w:r>
              <w:rPr>
                <w:rFonts w:ascii="Arial" w:eastAsia="Arial" w:hAnsi="Arial" w:cs="Arial"/>
                <w:color w:val="000000"/>
                <w:sz w:val="12"/>
                <w:szCs w:val="12"/>
              </w:rPr>
              <w:t xml:space="preserve">0.86 </w:t>
            </w:r>
          </w:p>
        </w:tc>
      </w:tr>
      <w:tr w:rsidR="008B4595" w14:paraId="7C4B98CB" w14:textId="77777777">
        <w:trPr>
          <w:jc w:val="center"/>
        </w:trPr>
        <w:tc>
          <w:tcPr>
            <w:tcW w:w="12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C9" w14:textId="77777777" w:rsidR="008B4595" w:rsidRDefault="00E115AD">
            <w:pPr>
              <w:pBdr>
                <w:top w:val="none" w:sz="0" w:space="0" w:color="000000"/>
                <w:left w:val="none" w:sz="0" w:space="0" w:color="000000"/>
                <w:bottom w:val="none" w:sz="0" w:space="0" w:color="000000"/>
                <w:right w:val="none" w:sz="0" w:space="0" w:color="000000"/>
              </w:pBdr>
              <w:spacing w:before="20" w:after="20"/>
              <w:ind w:right="20"/>
              <w:jc w:val="right"/>
              <w:rPr>
                <w:rFonts w:ascii="Arial" w:eastAsia="Arial" w:hAnsi="Arial" w:cs="Arial"/>
                <w:color w:val="000000"/>
                <w:sz w:val="12"/>
                <w:szCs w:val="12"/>
              </w:rPr>
            </w:pPr>
            <w:r>
              <w:rPr>
                <w:rFonts w:ascii="Arial" w:eastAsia="Arial" w:hAnsi="Arial" w:cs="Arial"/>
                <w:color w:val="000000"/>
                <w:sz w:val="12"/>
                <w:szCs w:val="12"/>
              </w:rPr>
              <w:t>141</w:t>
            </w:r>
          </w:p>
        </w:tc>
        <w:tc>
          <w:tcPr>
            <w:tcW w:w="5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CA" w14:textId="77777777" w:rsidR="008B4595" w:rsidRDefault="00E115AD">
            <w:pPr>
              <w:pBdr>
                <w:top w:val="none" w:sz="0" w:space="0" w:color="000000"/>
                <w:left w:val="none" w:sz="0" w:space="0" w:color="000000"/>
                <w:bottom w:val="none" w:sz="0" w:space="0" w:color="000000"/>
                <w:right w:val="none" w:sz="0" w:space="0" w:color="000000"/>
              </w:pBdr>
              <w:spacing w:before="20" w:after="20"/>
              <w:ind w:left="20"/>
              <w:jc w:val="right"/>
              <w:rPr>
                <w:rFonts w:ascii="Arial" w:eastAsia="Arial" w:hAnsi="Arial" w:cs="Arial"/>
                <w:color w:val="000000"/>
                <w:sz w:val="12"/>
                <w:szCs w:val="12"/>
              </w:rPr>
            </w:pPr>
            <w:r>
              <w:rPr>
                <w:rFonts w:ascii="Arial" w:eastAsia="Arial" w:hAnsi="Arial" w:cs="Arial"/>
                <w:color w:val="000000"/>
                <w:sz w:val="12"/>
                <w:szCs w:val="12"/>
              </w:rPr>
              <w:t>0.865</w:t>
            </w:r>
          </w:p>
        </w:tc>
      </w:tr>
      <w:tr w:rsidR="008B4595" w14:paraId="7C4B98CE" w14:textId="77777777">
        <w:trPr>
          <w:jc w:val="center"/>
        </w:trPr>
        <w:tc>
          <w:tcPr>
            <w:tcW w:w="12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CC" w14:textId="77777777" w:rsidR="008B4595" w:rsidRDefault="00E115AD">
            <w:pPr>
              <w:pBdr>
                <w:top w:val="none" w:sz="0" w:space="0" w:color="000000"/>
                <w:left w:val="none" w:sz="0" w:space="0" w:color="000000"/>
                <w:bottom w:val="none" w:sz="0" w:space="0" w:color="000000"/>
                <w:right w:val="none" w:sz="0" w:space="0" w:color="000000"/>
              </w:pBdr>
              <w:spacing w:before="20" w:after="20"/>
              <w:ind w:right="20"/>
              <w:jc w:val="right"/>
              <w:rPr>
                <w:rFonts w:ascii="Arial" w:eastAsia="Arial" w:hAnsi="Arial" w:cs="Arial"/>
                <w:color w:val="000000"/>
                <w:sz w:val="12"/>
                <w:szCs w:val="12"/>
              </w:rPr>
            </w:pPr>
            <w:r>
              <w:rPr>
                <w:rFonts w:ascii="Arial" w:eastAsia="Arial" w:hAnsi="Arial" w:cs="Arial"/>
                <w:color w:val="000000"/>
                <w:sz w:val="12"/>
                <w:szCs w:val="12"/>
              </w:rPr>
              <w:t>144</w:t>
            </w:r>
          </w:p>
        </w:tc>
        <w:tc>
          <w:tcPr>
            <w:tcW w:w="5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CD" w14:textId="77777777" w:rsidR="008B4595" w:rsidRDefault="00E115AD">
            <w:pPr>
              <w:pBdr>
                <w:top w:val="none" w:sz="0" w:space="0" w:color="000000"/>
                <w:left w:val="none" w:sz="0" w:space="0" w:color="000000"/>
                <w:bottom w:val="none" w:sz="0" w:space="0" w:color="000000"/>
                <w:right w:val="none" w:sz="0" w:space="0" w:color="000000"/>
              </w:pBdr>
              <w:spacing w:before="20" w:after="20"/>
              <w:ind w:left="20"/>
              <w:jc w:val="right"/>
              <w:rPr>
                <w:rFonts w:ascii="Arial" w:eastAsia="Arial" w:hAnsi="Arial" w:cs="Arial"/>
                <w:color w:val="000000"/>
                <w:sz w:val="12"/>
                <w:szCs w:val="12"/>
              </w:rPr>
            </w:pPr>
            <w:r>
              <w:rPr>
                <w:rFonts w:ascii="Arial" w:eastAsia="Arial" w:hAnsi="Arial" w:cs="Arial"/>
                <w:color w:val="000000"/>
                <w:sz w:val="12"/>
                <w:szCs w:val="12"/>
              </w:rPr>
              <w:t xml:space="preserve">0.87 </w:t>
            </w:r>
          </w:p>
        </w:tc>
      </w:tr>
      <w:tr w:rsidR="008B4595" w14:paraId="7C4B98D1" w14:textId="77777777">
        <w:trPr>
          <w:jc w:val="center"/>
        </w:trPr>
        <w:tc>
          <w:tcPr>
            <w:tcW w:w="12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CF" w14:textId="77777777" w:rsidR="008B4595" w:rsidRDefault="00E115AD">
            <w:pPr>
              <w:pBdr>
                <w:top w:val="none" w:sz="0" w:space="0" w:color="000000"/>
                <w:left w:val="none" w:sz="0" w:space="0" w:color="000000"/>
                <w:bottom w:val="none" w:sz="0" w:space="0" w:color="000000"/>
                <w:right w:val="none" w:sz="0" w:space="0" w:color="000000"/>
              </w:pBdr>
              <w:spacing w:before="20" w:after="20"/>
              <w:ind w:right="20"/>
              <w:jc w:val="right"/>
              <w:rPr>
                <w:rFonts w:ascii="Arial" w:eastAsia="Arial" w:hAnsi="Arial" w:cs="Arial"/>
                <w:color w:val="000000"/>
                <w:sz w:val="12"/>
                <w:szCs w:val="12"/>
              </w:rPr>
            </w:pPr>
            <w:r>
              <w:rPr>
                <w:rFonts w:ascii="Arial" w:eastAsia="Arial" w:hAnsi="Arial" w:cs="Arial"/>
                <w:color w:val="000000"/>
                <w:sz w:val="12"/>
                <w:szCs w:val="12"/>
              </w:rPr>
              <w:t>147</w:t>
            </w:r>
          </w:p>
        </w:tc>
        <w:tc>
          <w:tcPr>
            <w:tcW w:w="5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D0" w14:textId="77777777" w:rsidR="008B4595" w:rsidRDefault="00E115AD">
            <w:pPr>
              <w:pBdr>
                <w:top w:val="none" w:sz="0" w:space="0" w:color="000000"/>
                <w:left w:val="none" w:sz="0" w:space="0" w:color="000000"/>
                <w:bottom w:val="none" w:sz="0" w:space="0" w:color="000000"/>
                <w:right w:val="none" w:sz="0" w:space="0" w:color="000000"/>
              </w:pBdr>
              <w:spacing w:before="20" w:after="20"/>
              <w:ind w:left="20"/>
              <w:jc w:val="right"/>
              <w:rPr>
                <w:rFonts w:ascii="Arial" w:eastAsia="Arial" w:hAnsi="Arial" w:cs="Arial"/>
                <w:color w:val="000000"/>
                <w:sz w:val="12"/>
                <w:szCs w:val="12"/>
              </w:rPr>
            </w:pPr>
            <w:r>
              <w:rPr>
                <w:rFonts w:ascii="Arial" w:eastAsia="Arial" w:hAnsi="Arial" w:cs="Arial"/>
                <w:color w:val="000000"/>
                <w:sz w:val="12"/>
                <w:szCs w:val="12"/>
              </w:rPr>
              <w:t>0.874</w:t>
            </w:r>
          </w:p>
        </w:tc>
      </w:tr>
      <w:tr w:rsidR="008B4595" w14:paraId="7C4B98D4" w14:textId="77777777">
        <w:trPr>
          <w:jc w:val="center"/>
        </w:trPr>
        <w:tc>
          <w:tcPr>
            <w:tcW w:w="12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D2" w14:textId="77777777" w:rsidR="008B4595" w:rsidRDefault="00E115AD">
            <w:pPr>
              <w:pBdr>
                <w:top w:val="none" w:sz="0" w:space="0" w:color="000000"/>
                <w:left w:val="none" w:sz="0" w:space="0" w:color="000000"/>
                <w:bottom w:val="none" w:sz="0" w:space="0" w:color="000000"/>
                <w:right w:val="none" w:sz="0" w:space="0" w:color="000000"/>
              </w:pBdr>
              <w:spacing w:before="20" w:after="20"/>
              <w:ind w:right="20"/>
              <w:jc w:val="right"/>
              <w:rPr>
                <w:rFonts w:ascii="Arial" w:eastAsia="Arial" w:hAnsi="Arial" w:cs="Arial"/>
                <w:color w:val="000000"/>
                <w:sz w:val="12"/>
                <w:szCs w:val="12"/>
              </w:rPr>
            </w:pPr>
            <w:r>
              <w:rPr>
                <w:rFonts w:ascii="Arial" w:eastAsia="Arial" w:hAnsi="Arial" w:cs="Arial"/>
                <w:color w:val="000000"/>
                <w:sz w:val="12"/>
                <w:szCs w:val="12"/>
              </w:rPr>
              <w:t>150</w:t>
            </w:r>
          </w:p>
        </w:tc>
        <w:tc>
          <w:tcPr>
            <w:tcW w:w="5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D3" w14:textId="77777777" w:rsidR="008B4595" w:rsidRDefault="00E115AD">
            <w:pPr>
              <w:pBdr>
                <w:top w:val="none" w:sz="0" w:space="0" w:color="000000"/>
                <w:left w:val="none" w:sz="0" w:space="0" w:color="000000"/>
                <w:bottom w:val="none" w:sz="0" w:space="0" w:color="000000"/>
                <w:right w:val="none" w:sz="0" w:space="0" w:color="000000"/>
              </w:pBdr>
              <w:spacing w:before="20" w:after="20"/>
              <w:ind w:left="20"/>
              <w:jc w:val="right"/>
              <w:rPr>
                <w:rFonts w:ascii="Arial" w:eastAsia="Arial" w:hAnsi="Arial" w:cs="Arial"/>
                <w:color w:val="000000"/>
                <w:sz w:val="12"/>
                <w:szCs w:val="12"/>
              </w:rPr>
            </w:pPr>
            <w:r>
              <w:rPr>
                <w:rFonts w:ascii="Arial" w:eastAsia="Arial" w:hAnsi="Arial" w:cs="Arial"/>
                <w:color w:val="000000"/>
                <w:sz w:val="12"/>
                <w:szCs w:val="12"/>
              </w:rPr>
              <w:t>0.878</w:t>
            </w:r>
          </w:p>
        </w:tc>
      </w:tr>
      <w:tr w:rsidR="008B4595" w14:paraId="7C4B98D7" w14:textId="77777777">
        <w:trPr>
          <w:jc w:val="center"/>
        </w:trPr>
        <w:tc>
          <w:tcPr>
            <w:tcW w:w="12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D5" w14:textId="77777777" w:rsidR="008B4595" w:rsidRDefault="00E115AD">
            <w:pPr>
              <w:pBdr>
                <w:top w:val="none" w:sz="0" w:space="0" w:color="000000"/>
                <w:left w:val="none" w:sz="0" w:space="0" w:color="000000"/>
                <w:bottom w:val="none" w:sz="0" w:space="0" w:color="000000"/>
                <w:right w:val="none" w:sz="0" w:space="0" w:color="000000"/>
              </w:pBdr>
              <w:spacing w:before="20" w:after="20"/>
              <w:ind w:right="20"/>
              <w:jc w:val="right"/>
              <w:rPr>
                <w:rFonts w:ascii="Arial" w:eastAsia="Arial" w:hAnsi="Arial" w:cs="Arial"/>
                <w:color w:val="000000"/>
                <w:sz w:val="12"/>
                <w:szCs w:val="12"/>
              </w:rPr>
            </w:pPr>
            <w:r>
              <w:rPr>
                <w:rFonts w:ascii="Arial" w:eastAsia="Arial" w:hAnsi="Arial" w:cs="Arial"/>
                <w:color w:val="000000"/>
                <w:sz w:val="12"/>
                <w:szCs w:val="12"/>
              </w:rPr>
              <w:t>153</w:t>
            </w:r>
          </w:p>
        </w:tc>
        <w:tc>
          <w:tcPr>
            <w:tcW w:w="5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D6" w14:textId="77777777" w:rsidR="008B4595" w:rsidRDefault="00E115AD">
            <w:pPr>
              <w:pBdr>
                <w:top w:val="none" w:sz="0" w:space="0" w:color="000000"/>
                <w:left w:val="none" w:sz="0" w:space="0" w:color="000000"/>
                <w:bottom w:val="none" w:sz="0" w:space="0" w:color="000000"/>
                <w:right w:val="none" w:sz="0" w:space="0" w:color="000000"/>
              </w:pBdr>
              <w:spacing w:before="20" w:after="20"/>
              <w:ind w:left="20"/>
              <w:jc w:val="right"/>
              <w:rPr>
                <w:rFonts w:ascii="Arial" w:eastAsia="Arial" w:hAnsi="Arial" w:cs="Arial"/>
                <w:color w:val="000000"/>
                <w:sz w:val="12"/>
                <w:szCs w:val="12"/>
              </w:rPr>
            </w:pPr>
            <w:r>
              <w:rPr>
                <w:rFonts w:ascii="Arial" w:eastAsia="Arial" w:hAnsi="Arial" w:cs="Arial"/>
                <w:color w:val="000000"/>
                <w:sz w:val="12"/>
                <w:szCs w:val="12"/>
              </w:rPr>
              <w:t>0.882</w:t>
            </w:r>
          </w:p>
        </w:tc>
      </w:tr>
      <w:tr w:rsidR="008B4595" w14:paraId="7C4B98DA" w14:textId="77777777">
        <w:trPr>
          <w:jc w:val="center"/>
        </w:trPr>
        <w:tc>
          <w:tcPr>
            <w:tcW w:w="12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D8" w14:textId="77777777" w:rsidR="008B4595" w:rsidRDefault="00E115AD">
            <w:pPr>
              <w:pBdr>
                <w:top w:val="none" w:sz="0" w:space="0" w:color="000000"/>
                <w:left w:val="none" w:sz="0" w:space="0" w:color="000000"/>
                <w:bottom w:val="none" w:sz="0" w:space="0" w:color="000000"/>
                <w:right w:val="none" w:sz="0" w:space="0" w:color="000000"/>
              </w:pBdr>
              <w:spacing w:before="20" w:after="20"/>
              <w:ind w:right="20"/>
              <w:jc w:val="right"/>
              <w:rPr>
                <w:rFonts w:ascii="Arial" w:eastAsia="Arial" w:hAnsi="Arial" w:cs="Arial"/>
                <w:color w:val="000000"/>
                <w:sz w:val="12"/>
                <w:szCs w:val="12"/>
              </w:rPr>
            </w:pPr>
            <w:r>
              <w:rPr>
                <w:rFonts w:ascii="Arial" w:eastAsia="Arial" w:hAnsi="Arial" w:cs="Arial"/>
                <w:color w:val="000000"/>
                <w:sz w:val="12"/>
                <w:szCs w:val="12"/>
              </w:rPr>
              <w:t>156</w:t>
            </w:r>
          </w:p>
        </w:tc>
        <w:tc>
          <w:tcPr>
            <w:tcW w:w="5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D9" w14:textId="77777777" w:rsidR="008B4595" w:rsidRDefault="00E115AD">
            <w:pPr>
              <w:pBdr>
                <w:top w:val="none" w:sz="0" w:space="0" w:color="000000"/>
                <w:left w:val="none" w:sz="0" w:space="0" w:color="000000"/>
                <w:bottom w:val="none" w:sz="0" w:space="0" w:color="000000"/>
                <w:right w:val="none" w:sz="0" w:space="0" w:color="000000"/>
              </w:pBdr>
              <w:spacing w:before="20" w:after="20"/>
              <w:ind w:left="20"/>
              <w:jc w:val="right"/>
              <w:rPr>
                <w:rFonts w:ascii="Arial" w:eastAsia="Arial" w:hAnsi="Arial" w:cs="Arial"/>
                <w:color w:val="000000"/>
                <w:sz w:val="12"/>
                <w:szCs w:val="12"/>
              </w:rPr>
            </w:pPr>
            <w:r>
              <w:rPr>
                <w:rFonts w:ascii="Arial" w:eastAsia="Arial" w:hAnsi="Arial" w:cs="Arial"/>
                <w:color w:val="000000"/>
                <w:sz w:val="12"/>
                <w:szCs w:val="12"/>
              </w:rPr>
              <w:t>0.886</w:t>
            </w:r>
          </w:p>
        </w:tc>
      </w:tr>
      <w:tr w:rsidR="008B4595" w14:paraId="7C4B98DD" w14:textId="77777777">
        <w:trPr>
          <w:jc w:val="center"/>
        </w:trPr>
        <w:tc>
          <w:tcPr>
            <w:tcW w:w="12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DB" w14:textId="77777777" w:rsidR="008B4595" w:rsidRDefault="00E115AD">
            <w:pPr>
              <w:pBdr>
                <w:top w:val="none" w:sz="0" w:space="0" w:color="000000"/>
                <w:left w:val="none" w:sz="0" w:space="0" w:color="000000"/>
                <w:bottom w:val="none" w:sz="0" w:space="0" w:color="000000"/>
                <w:right w:val="none" w:sz="0" w:space="0" w:color="000000"/>
              </w:pBdr>
              <w:spacing w:before="20" w:after="20"/>
              <w:ind w:right="20"/>
              <w:jc w:val="right"/>
              <w:rPr>
                <w:rFonts w:ascii="Arial" w:eastAsia="Arial" w:hAnsi="Arial" w:cs="Arial"/>
                <w:color w:val="000000"/>
                <w:sz w:val="12"/>
                <w:szCs w:val="12"/>
              </w:rPr>
            </w:pPr>
            <w:r>
              <w:rPr>
                <w:rFonts w:ascii="Arial" w:eastAsia="Arial" w:hAnsi="Arial" w:cs="Arial"/>
                <w:color w:val="000000"/>
                <w:sz w:val="12"/>
                <w:szCs w:val="12"/>
              </w:rPr>
              <w:t>159</w:t>
            </w:r>
          </w:p>
        </w:tc>
        <w:tc>
          <w:tcPr>
            <w:tcW w:w="5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DC" w14:textId="77777777" w:rsidR="008B4595" w:rsidRDefault="00E115AD">
            <w:pPr>
              <w:pBdr>
                <w:top w:val="none" w:sz="0" w:space="0" w:color="000000"/>
                <w:left w:val="none" w:sz="0" w:space="0" w:color="000000"/>
                <w:bottom w:val="none" w:sz="0" w:space="0" w:color="000000"/>
                <w:right w:val="none" w:sz="0" w:space="0" w:color="000000"/>
              </w:pBdr>
              <w:spacing w:before="20" w:after="20"/>
              <w:ind w:left="20"/>
              <w:jc w:val="right"/>
              <w:rPr>
                <w:rFonts w:ascii="Arial" w:eastAsia="Arial" w:hAnsi="Arial" w:cs="Arial"/>
                <w:color w:val="000000"/>
                <w:sz w:val="12"/>
                <w:szCs w:val="12"/>
              </w:rPr>
            </w:pPr>
            <w:r>
              <w:rPr>
                <w:rFonts w:ascii="Arial" w:eastAsia="Arial" w:hAnsi="Arial" w:cs="Arial"/>
                <w:color w:val="000000"/>
                <w:sz w:val="12"/>
                <w:szCs w:val="12"/>
              </w:rPr>
              <w:t>0.889</w:t>
            </w:r>
          </w:p>
        </w:tc>
      </w:tr>
      <w:tr w:rsidR="008B4595" w14:paraId="7C4B98E0" w14:textId="77777777">
        <w:trPr>
          <w:jc w:val="center"/>
        </w:trPr>
        <w:tc>
          <w:tcPr>
            <w:tcW w:w="12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DE" w14:textId="77777777" w:rsidR="008B4595" w:rsidRDefault="00E115AD">
            <w:pPr>
              <w:pBdr>
                <w:top w:val="none" w:sz="0" w:space="0" w:color="000000"/>
                <w:left w:val="none" w:sz="0" w:space="0" w:color="000000"/>
                <w:bottom w:val="none" w:sz="0" w:space="0" w:color="000000"/>
                <w:right w:val="none" w:sz="0" w:space="0" w:color="000000"/>
              </w:pBdr>
              <w:spacing w:before="20" w:after="20"/>
              <w:ind w:right="20"/>
              <w:jc w:val="right"/>
              <w:rPr>
                <w:rFonts w:ascii="Arial" w:eastAsia="Arial" w:hAnsi="Arial" w:cs="Arial"/>
                <w:color w:val="000000"/>
                <w:sz w:val="12"/>
                <w:szCs w:val="12"/>
              </w:rPr>
            </w:pPr>
            <w:r>
              <w:rPr>
                <w:rFonts w:ascii="Arial" w:eastAsia="Arial" w:hAnsi="Arial" w:cs="Arial"/>
                <w:color w:val="000000"/>
                <w:sz w:val="12"/>
                <w:szCs w:val="12"/>
              </w:rPr>
              <w:t>162</w:t>
            </w:r>
          </w:p>
        </w:tc>
        <w:tc>
          <w:tcPr>
            <w:tcW w:w="5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DF" w14:textId="77777777" w:rsidR="008B4595" w:rsidRDefault="00E115AD">
            <w:pPr>
              <w:pBdr>
                <w:top w:val="none" w:sz="0" w:space="0" w:color="000000"/>
                <w:left w:val="none" w:sz="0" w:space="0" w:color="000000"/>
                <w:bottom w:val="none" w:sz="0" w:space="0" w:color="000000"/>
                <w:right w:val="none" w:sz="0" w:space="0" w:color="000000"/>
              </w:pBdr>
              <w:spacing w:before="20" w:after="20"/>
              <w:ind w:left="20"/>
              <w:jc w:val="right"/>
              <w:rPr>
                <w:rFonts w:ascii="Arial" w:eastAsia="Arial" w:hAnsi="Arial" w:cs="Arial"/>
                <w:color w:val="000000"/>
                <w:sz w:val="12"/>
                <w:szCs w:val="12"/>
              </w:rPr>
            </w:pPr>
            <w:r>
              <w:rPr>
                <w:rFonts w:ascii="Arial" w:eastAsia="Arial" w:hAnsi="Arial" w:cs="Arial"/>
                <w:color w:val="000000"/>
                <w:sz w:val="12"/>
                <w:szCs w:val="12"/>
              </w:rPr>
              <w:t>0.892</w:t>
            </w:r>
          </w:p>
        </w:tc>
      </w:tr>
      <w:tr w:rsidR="008B4595" w14:paraId="7C4B98E3" w14:textId="77777777">
        <w:trPr>
          <w:jc w:val="center"/>
        </w:trPr>
        <w:tc>
          <w:tcPr>
            <w:tcW w:w="12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E1" w14:textId="77777777" w:rsidR="008B4595" w:rsidRDefault="00E115AD">
            <w:pPr>
              <w:pBdr>
                <w:top w:val="none" w:sz="0" w:space="0" w:color="000000"/>
                <w:left w:val="none" w:sz="0" w:space="0" w:color="000000"/>
                <w:bottom w:val="none" w:sz="0" w:space="0" w:color="000000"/>
                <w:right w:val="none" w:sz="0" w:space="0" w:color="000000"/>
              </w:pBdr>
              <w:spacing w:before="20" w:after="20"/>
              <w:ind w:right="20"/>
              <w:jc w:val="right"/>
              <w:rPr>
                <w:rFonts w:ascii="Arial" w:eastAsia="Arial" w:hAnsi="Arial" w:cs="Arial"/>
                <w:color w:val="000000"/>
                <w:sz w:val="12"/>
                <w:szCs w:val="12"/>
              </w:rPr>
            </w:pPr>
            <w:r>
              <w:rPr>
                <w:rFonts w:ascii="Arial" w:eastAsia="Arial" w:hAnsi="Arial" w:cs="Arial"/>
                <w:color w:val="000000"/>
                <w:sz w:val="12"/>
                <w:szCs w:val="12"/>
              </w:rPr>
              <w:t>165</w:t>
            </w:r>
          </w:p>
        </w:tc>
        <w:tc>
          <w:tcPr>
            <w:tcW w:w="5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E2" w14:textId="77777777" w:rsidR="008B4595" w:rsidRDefault="00E115AD">
            <w:pPr>
              <w:pBdr>
                <w:top w:val="none" w:sz="0" w:space="0" w:color="000000"/>
                <w:left w:val="none" w:sz="0" w:space="0" w:color="000000"/>
                <w:bottom w:val="none" w:sz="0" w:space="0" w:color="000000"/>
                <w:right w:val="none" w:sz="0" w:space="0" w:color="000000"/>
              </w:pBdr>
              <w:spacing w:before="20" w:after="20"/>
              <w:ind w:left="20"/>
              <w:jc w:val="right"/>
              <w:rPr>
                <w:rFonts w:ascii="Arial" w:eastAsia="Arial" w:hAnsi="Arial" w:cs="Arial"/>
                <w:color w:val="000000"/>
                <w:sz w:val="12"/>
                <w:szCs w:val="12"/>
              </w:rPr>
            </w:pPr>
            <w:r>
              <w:rPr>
                <w:rFonts w:ascii="Arial" w:eastAsia="Arial" w:hAnsi="Arial" w:cs="Arial"/>
                <w:color w:val="000000"/>
                <w:sz w:val="12"/>
                <w:szCs w:val="12"/>
              </w:rPr>
              <w:t>0.895</w:t>
            </w:r>
          </w:p>
        </w:tc>
      </w:tr>
      <w:tr w:rsidR="008B4595" w14:paraId="7C4B98E6" w14:textId="77777777">
        <w:trPr>
          <w:jc w:val="center"/>
        </w:trPr>
        <w:tc>
          <w:tcPr>
            <w:tcW w:w="12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E4" w14:textId="77777777" w:rsidR="008B4595" w:rsidRDefault="00E115AD">
            <w:pPr>
              <w:pBdr>
                <w:top w:val="none" w:sz="0" w:space="0" w:color="000000"/>
                <w:left w:val="none" w:sz="0" w:space="0" w:color="000000"/>
                <w:bottom w:val="none" w:sz="0" w:space="0" w:color="000000"/>
                <w:right w:val="none" w:sz="0" w:space="0" w:color="000000"/>
              </w:pBdr>
              <w:spacing w:before="20" w:after="20"/>
              <w:ind w:right="20"/>
              <w:jc w:val="right"/>
              <w:rPr>
                <w:rFonts w:ascii="Arial" w:eastAsia="Arial" w:hAnsi="Arial" w:cs="Arial"/>
                <w:color w:val="000000"/>
                <w:sz w:val="12"/>
                <w:szCs w:val="12"/>
              </w:rPr>
            </w:pPr>
            <w:r>
              <w:rPr>
                <w:rFonts w:ascii="Arial" w:eastAsia="Arial" w:hAnsi="Arial" w:cs="Arial"/>
                <w:color w:val="000000"/>
                <w:sz w:val="12"/>
                <w:szCs w:val="12"/>
              </w:rPr>
              <w:t>168</w:t>
            </w:r>
          </w:p>
        </w:tc>
        <w:tc>
          <w:tcPr>
            <w:tcW w:w="5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E5" w14:textId="77777777" w:rsidR="008B4595" w:rsidRDefault="00E115AD">
            <w:pPr>
              <w:pBdr>
                <w:top w:val="none" w:sz="0" w:space="0" w:color="000000"/>
                <w:left w:val="none" w:sz="0" w:space="0" w:color="000000"/>
                <w:bottom w:val="none" w:sz="0" w:space="0" w:color="000000"/>
                <w:right w:val="none" w:sz="0" w:space="0" w:color="000000"/>
              </w:pBdr>
              <w:spacing w:before="20" w:after="20"/>
              <w:ind w:left="20"/>
              <w:jc w:val="right"/>
              <w:rPr>
                <w:rFonts w:ascii="Arial" w:eastAsia="Arial" w:hAnsi="Arial" w:cs="Arial"/>
                <w:color w:val="000000"/>
                <w:sz w:val="12"/>
                <w:szCs w:val="12"/>
              </w:rPr>
            </w:pPr>
            <w:r>
              <w:rPr>
                <w:rFonts w:ascii="Arial" w:eastAsia="Arial" w:hAnsi="Arial" w:cs="Arial"/>
                <w:color w:val="000000"/>
                <w:sz w:val="12"/>
                <w:szCs w:val="12"/>
              </w:rPr>
              <w:t>0.897</w:t>
            </w:r>
          </w:p>
        </w:tc>
      </w:tr>
      <w:tr w:rsidR="008B4595" w14:paraId="7C4B98E9" w14:textId="77777777">
        <w:trPr>
          <w:jc w:val="center"/>
        </w:trPr>
        <w:tc>
          <w:tcPr>
            <w:tcW w:w="12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E7" w14:textId="77777777" w:rsidR="008B4595" w:rsidRDefault="00E115AD">
            <w:pPr>
              <w:pBdr>
                <w:top w:val="none" w:sz="0" w:space="0" w:color="000000"/>
                <w:left w:val="none" w:sz="0" w:space="0" w:color="000000"/>
                <w:bottom w:val="none" w:sz="0" w:space="0" w:color="000000"/>
                <w:right w:val="none" w:sz="0" w:space="0" w:color="000000"/>
              </w:pBdr>
              <w:spacing w:before="20" w:after="20"/>
              <w:ind w:right="20"/>
              <w:jc w:val="right"/>
              <w:rPr>
                <w:rFonts w:ascii="Arial" w:eastAsia="Arial" w:hAnsi="Arial" w:cs="Arial"/>
                <w:color w:val="000000"/>
                <w:sz w:val="12"/>
                <w:szCs w:val="12"/>
              </w:rPr>
            </w:pPr>
            <w:r>
              <w:rPr>
                <w:rFonts w:ascii="Arial" w:eastAsia="Arial" w:hAnsi="Arial" w:cs="Arial"/>
                <w:color w:val="000000"/>
                <w:sz w:val="12"/>
                <w:szCs w:val="12"/>
              </w:rPr>
              <w:t>171</w:t>
            </w:r>
          </w:p>
        </w:tc>
        <w:tc>
          <w:tcPr>
            <w:tcW w:w="5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E8" w14:textId="77777777" w:rsidR="008B4595" w:rsidRDefault="00E115AD">
            <w:pPr>
              <w:pBdr>
                <w:top w:val="none" w:sz="0" w:space="0" w:color="000000"/>
                <w:left w:val="none" w:sz="0" w:space="0" w:color="000000"/>
                <w:bottom w:val="none" w:sz="0" w:space="0" w:color="000000"/>
                <w:right w:val="none" w:sz="0" w:space="0" w:color="000000"/>
              </w:pBdr>
              <w:spacing w:before="20" w:after="20"/>
              <w:ind w:left="20"/>
              <w:jc w:val="right"/>
              <w:rPr>
                <w:rFonts w:ascii="Arial" w:eastAsia="Arial" w:hAnsi="Arial" w:cs="Arial"/>
                <w:color w:val="000000"/>
                <w:sz w:val="12"/>
                <w:szCs w:val="12"/>
              </w:rPr>
            </w:pPr>
            <w:r>
              <w:rPr>
                <w:rFonts w:ascii="Arial" w:eastAsia="Arial" w:hAnsi="Arial" w:cs="Arial"/>
                <w:color w:val="000000"/>
                <w:sz w:val="12"/>
                <w:szCs w:val="12"/>
              </w:rPr>
              <w:t xml:space="preserve">0.9  </w:t>
            </w:r>
          </w:p>
        </w:tc>
      </w:tr>
    </w:tbl>
    <w:p w14:paraId="7C4B98EA" w14:textId="77777777" w:rsidR="008B4595" w:rsidRDefault="00E115AD">
      <w:pPr>
        <w:pStyle w:val="Heading1"/>
      </w:pPr>
      <w:bookmarkStart w:id="2" w:name="introduction"/>
      <w:bookmarkStart w:id="3" w:name="_Toc183605697"/>
      <w:bookmarkEnd w:id="0"/>
      <w:r>
        <w:t>Introduction</w:t>
      </w:r>
      <w:bookmarkEnd w:id="3"/>
    </w:p>
    <w:p w14:paraId="7C4B98EB" w14:textId="3351A731" w:rsidR="008B4595" w:rsidRDefault="00E115AD">
      <w:pPr>
        <w:pStyle w:val="FirstParagraph"/>
      </w:pPr>
      <w:r>
        <w:t>This randomized controlled trial investigates the efficacy of three interventions—standard lidocaine-prilocaine cream</w:t>
      </w:r>
      <w:r w:rsidR="000D5CDA">
        <w:t xml:space="preserve"> alone or combined with distractions </w:t>
      </w:r>
      <w:r w:rsidR="0071777C">
        <w:t xml:space="preserve">with </w:t>
      </w:r>
      <w:proofErr w:type="spellStart"/>
      <w:r w:rsidR="0071777C">
        <w:t>iPAD</w:t>
      </w:r>
      <w:proofErr w:type="spellEnd"/>
      <w:r w:rsidR="0071777C">
        <w:t xml:space="preserve"> or</w:t>
      </w:r>
      <w:r>
        <w:t xml:space="preserve"> virtual reality (VR) glasses—for reducing pain and anxiety during needle pricking in pediatric oncology patients. The trial design includes three parallel arms, each comparing pain and anxiety levels using validated scales to determine the most effective method for distraction.</w:t>
      </w:r>
    </w:p>
    <w:p w14:paraId="7C4B98EC" w14:textId="77777777" w:rsidR="008B4595" w:rsidRDefault="00E115AD">
      <w:pPr>
        <w:pStyle w:val="BodyText"/>
      </w:pPr>
      <w:r>
        <w:t>The primary outcome is the difference in pain and anxiety scores between the three interventions across all comparisons.</w:t>
      </w:r>
    </w:p>
    <w:p w14:paraId="7C4B98ED" w14:textId="77777777" w:rsidR="008B4595" w:rsidRDefault="00E115AD">
      <w:r>
        <w:br w:type="page"/>
      </w:r>
    </w:p>
    <w:p w14:paraId="7C4B98EE" w14:textId="77777777" w:rsidR="008B4595" w:rsidRDefault="00E115AD">
      <w:pPr>
        <w:pStyle w:val="Heading1"/>
      </w:pPr>
      <w:bookmarkStart w:id="4" w:name="Xdf6c524c2b2fe801e24463389490ead70a2230c"/>
      <w:bookmarkStart w:id="5" w:name="_Toc183605698"/>
      <w:bookmarkEnd w:id="2"/>
      <w:r>
        <w:lastRenderedPageBreak/>
        <w:t>Assumptions for sample size considerations</w:t>
      </w:r>
      <w:bookmarkEnd w:id="5"/>
    </w:p>
    <w:p w14:paraId="7C4B98EF" w14:textId="77777777" w:rsidR="008B4595" w:rsidRDefault="00E115AD">
      <w:pPr>
        <w:pStyle w:val="FirstParagraph"/>
      </w:pPr>
      <w:r>
        <w:t xml:space="preserve">The sample size estimation supposes two sided tests at a global </w:t>
      </w:r>
      <m:oMath>
        <m:r>
          <w:rPr>
            <w:rFonts w:ascii="Cambria Math" w:hAnsi="Cambria Math"/>
          </w:rPr>
          <m:t>α</m:t>
        </m:r>
      </m:oMath>
      <w:r>
        <w:t xml:space="preserve"> </w:t>
      </w:r>
      <w:r>
        <w:t xml:space="preserve">= 5% significance level (equivalent to one-sided testing with an </w:t>
      </w:r>
      <m:oMath>
        <m:r>
          <w:rPr>
            <w:rFonts w:ascii="Cambria Math" w:hAnsi="Cambria Math"/>
          </w:rPr>
          <m:t>α</m:t>
        </m:r>
      </m:oMath>
      <w:r>
        <w:t xml:space="preserve"> = 2.5% significance level). This is in line with the recommendations described in ICH E9 Section 3.5.</w:t>
      </w:r>
    </w:p>
    <w:p w14:paraId="7C4B98F0" w14:textId="77777777" w:rsidR="008B4595" w:rsidRDefault="00E115AD">
      <w:pPr>
        <w:pStyle w:val="BodyText"/>
      </w:pPr>
      <w:r>
        <w:rPr>
          <w:i/>
          <w:iCs/>
        </w:rPr>
        <w:t>“The issue of one-sided or two-sided approaches to inference is controversial and a diversity of views can be found in the statistical literature. The approach of setting type I errors for one-sided tests at half the conventional type I error used in two-sided tests is preferable in regulatory settings. This promotes consistency with the two-sided confidence intervals that are generally appropriate for estimating the possible size of the difference between two treatments.”</w:t>
      </w:r>
    </w:p>
    <w:p w14:paraId="7C4B98F1" w14:textId="77777777" w:rsidR="008B4595" w:rsidRDefault="00E115AD">
      <w:pPr>
        <w:pStyle w:val="BodyText"/>
      </w:pPr>
      <w:r>
        <w:t>The general assumptions for the sample size considerations (where not otherwise indicated) are:</w:t>
      </w:r>
    </w:p>
    <w:p w14:paraId="7C4B98F2" w14:textId="77777777" w:rsidR="008B4595" w:rsidRDefault="00E115AD">
      <w:pPr>
        <w:numPr>
          <w:ilvl w:val="0"/>
          <w:numId w:val="3"/>
        </w:numPr>
      </w:pPr>
      <w:r>
        <w:t>Superiority testing (using two-sided tests)</w:t>
      </w:r>
    </w:p>
    <w:p w14:paraId="7C4B98F3" w14:textId="77777777" w:rsidR="008B4595" w:rsidRDefault="00E115AD">
      <w:pPr>
        <w:numPr>
          <w:ilvl w:val="0"/>
          <w:numId w:val="3"/>
        </w:numPr>
      </w:pPr>
      <w:r>
        <w:t xml:space="preserve">Global two-sided level of significance: </w:t>
      </w:r>
      <w:r>
        <w:rPr>
          <w:b/>
          <w:bCs/>
        </w:rPr>
        <w:t>5%</w:t>
      </w:r>
    </w:p>
    <w:p w14:paraId="7C4B98F4" w14:textId="77777777" w:rsidR="008B4595" w:rsidRDefault="00E115AD">
      <w:pPr>
        <w:numPr>
          <w:ilvl w:val="0"/>
          <w:numId w:val="3"/>
        </w:numPr>
      </w:pPr>
      <w:r>
        <w:t xml:space="preserve">Power: </w:t>
      </w:r>
      <w:r>
        <w:rPr>
          <w:b/>
          <w:bCs/>
        </w:rPr>
        <w:t>80% - 90%</w:t>
      </w:r>
    </w:p>
    <w:p w14:paraId="7C4B98F5" w14:textId="77777777" w:rsidR="008B4595" w:rsidRDefault="00E115AD">
      <w:pPr>
        <w:numPr>
          <w:ilvl w:val="0"/>
          <w:numId w:val="3"/>
        </w:numPr>
      </w:pPr>
      <w:r>
        <w:t xml:space="preserve">Dropout rate: </w:t>
      </w:r>
      <w:r>
        <w:rPr>
          <w:b/>
          <w:bCs/>
        </w:rPr>
        <w:t>0%</w:t>
      </w:r>
      <w:r>
        <w:t xml:space="preserve"> (not applicable here since the intervention only applied once and takes ~5 minutes)</w:t>
      </w:r>
    </w:p>
    <w:p w14:paraId="7C4B98F6" w14:textId="77777777" w:rsidR="008B4595" w:rsidRDefault="00E115AD">
      <w:pPr>
        <w:numPr>
          <w:ilvl w:val="0"/>
          <w:numId w:val="3"/>
        </w:numPr>
      </w:pPr>
      <w:r>
        <w:t xml:space="preserve">Variability of the pain scores: </w:t>
      </w:r>
      <w:r>
        <w:rPr>
          <w:b/>
          <w:bCs/>
        </w:rPr>
        <w:t>2.5</w:t>
      </w:r>
      <w:r>
        <w:t xml:space="preserve"> points (on a 0-10 point continuous scale)</w:t>
      </w:r>
    </w:p>
    <w:p w14:paraId="7C4B98F7" w14:textId="77777777" w:rsidR="008B4595" w:rsidRDefault="00E115AD">
      <w:pPr>
        <w:numPr>
          <w:ilvl w:val="0"/>
          <w:numId w:val="3"/>
        </w:numPr>
      </w:pPr>
      <w:r>
        <w:t xml:space="preserve">Expected value during intervention A (no distraction): </w:t>
      </w:r>
      <w:r>
        <w:rPr>
          <w:b/>
          <w:bCs/>
        </w:rPr>
        <w:t>3</w:t>
      </w:r>
      <w:r>
        <w:t xml:space="preserve"> points</w:t>
      </w:r>
    </w:p>
    <w:p w14:paraId="7C4B98F8" w14:textId="77777777" w:rsidR="008B4595" w:rsidRDefault="00E115AD">
      <w:pPr>
        <w:numPr>
          <w:ilvl w:val="0"/>
          <w:numId w:val="3"/>
        </w:numPr>
      </w:pPr>
      <w:r>
        <w:t xml:space="preserve">Expected value during intervention B (iPAD distraction): </w:t>
      </w:r>
      <w:r w:rsidRPr="00682525">
        <w:rPr>
          <w:b/>
          <w:bCs/>
        </w:rPr>
        <w:t>1</w:t>
      </w:r>
      <w:r>
        <w:t xml:space="preserve"> point</w:t>
      </w:r>
    </w:p>
    <w:p w14:paraId="7C4B98F9" w14:textId="77777777" w:rsidR="008B4595" w:rsidRDefault="00E115AD">
      <w:pPr>
        <w:numPr>
          <w:ilvl w:val="0"/>
          <w:numId w:val="3"/>
        </w:numPr>
      </w:pPr>
      <w:r>
        <w:t xml:space="preserve">Expected value during intervention C (VR distraction): </w:t>
      </w:r>
      <w:r w:rsidRPr="00682525">
        <w:rPr>
          <w:b/>
          <w:bCs/>
        </w:rPr>
        <w:t>0</w:t>
      </w:r>
      <w:r>
        <w:t xml:space="preserve"> points</w:t>
      </w:r>
    </w:p>
    <w:p w14:paraId="7C4B98FA" w14:textId="77777777" w:rsidR="008B4595" w:rsidRDefault="00E115AD">
      <w:pPr>
        <w:numPr>
          <w:ilvl w:val="0"/>
          <w:numId w:val="3"/>
        </w:numPr>
      </w:pPr>
      <w:r>
        <w:t>Primary outcome: All comparisons between interventions A, B and C must be statistically significant</w:t>
      </w:r>
    </w:p>
    <w:p w14:paraId="7C4B98FB" w14:textId="77777777" w:rsidR="008B4595" w:rsidRDefault="00E115AD">
      <w:r>
        <w:br w:type="page"/>
      </w:r>
    </w:p>
    <w:p w14:paraId="7C4B98FC" w14:textId="77777777" w:rsidR="008B4595" w:rsidRDefault="00E115AD">
      <w:pPr>
        <w:pStyle w:val="Heading1"/>
      </w:pPr>
      <w:bookmarkStart w:id="6" w:name="detailed-explanation"/>
      <w:bookmarkStart w:id="7" w:name="_Toc183605699"/>
      <w:bookmarkEnd w:id="4"/>
      <w:r>
        <w:lastRenderedPageBreak/>
        <w:t>Detailed explanation</w:t>
      </w:r>
      <w:bookmarkEnd w:id="7"/>
    </w:p>
    <w:p w14:paraId="7C4B98FD" w14:textId="77777777" w:rsidR="008B4595" w:rsidRDefault="00E115AD">
      <w:pPr>
        <w:pStyle w:val="Heading2"/>
      </w:pPr>
      <w:bookmarkStart w:id="8" w:name="simple-approach"/>
      <w:bookmarkStart w:id="9" w:name="_Toc183605700"/>
      <w:r>
        <w:t>Simple approach</w:t>
      </w:r>
      <w:bookmarkEnd w:id="9"/>
    </w:p>
    <w:p w14:paraId="7C4B98FE" w14:textId="3078EE6F" w:rsidR="008B4595" w:rsidRDefault="00E115AD">
      <w:pPr>
        <w:pStyle w:val="FirstParagraph"/>
      </w:pPr>
      <w:r>
        <w:t xml:space="preserve">As a first approximation, it could be assumed, that the smallest expected difference (B vs. C, 1 point) would drive the sample size. in that case the sample size could be determined as a simple calculation for the difference between 2 means using an approach based on a </w:t>
      </w:r>
      <w:r w:rsidR="0072498A">
        <w:br/>
      </w:r>
      <w:r>
        <w:t>t-distribution. The</w:t>
      </w:r>
      <w:r w:rsidR="006370FF">
        <w:t>se</w:t>
      </w:r>
      <w:r>
        <w:t xml:space="preserve"> results indicate that</w:t>
      </w:r>
      <w:r w:rsidR="0072498A">
        <w:t xml:space="preserve"> a minimum of</w:t>
      </w:r>
      <w:r>
        <w:t xml:space="preserve"> </w:t>
      </w:r>
      <w:r>
        <w:rPr>
          <w:b/>
          <w:bCs/>
        </w:rPr>
        <w:t>100</w:t>
      </w:r>
      <w:r>
        <w:t xml:space="preserve"> patients </w:t>
      </w:r>
      <w:r>
        <w:rPr>
          <w:b/>
          <w:bCs/>
        </w:rPr>
        <w:t>per arm</w:t>
      </w:r>
      <w:r>
        <w:t xml:space="preserve"> are recommended or </w:t>
      </w:r>
      <w:r>
        <w:rPr>
          <w:b/>
          <w:bCs/>
        </w:rPr>
        <w:t>300</w:t>
      </w:r>
      <w:r>
        <w:t xml:space="preserve"> subjects total.</w:t>
      </w:r>
    </w:p>
    <w:p w14:paraId="7C4B98FF" w14:textId="77777777" w:rsidR="008B4595" w:rsidRDefault="00E115AD">
      <w:pPr>
        <w:pStyle w:val="SourceCode"/>
      </w:pPr>
      <w:r>
        <w:rPr>
          <w:rStyle w:val="NormalTok"/>
        </w:rPr>
        <w:t>pwrss</w:t>
      </w:r>
      <w:r>
        <w:rPr>
          <w:rStyle w:val="SpecialCharTok"/>
        </w:rPr>
        <w:t>::</w:t>
      </w:r>
      <w:r>
        <w:rPr>
          <w:rStyle w:val="FunctionTok"/>
        </w:rPr>
        <w:t>pwrss.t.2means</w:t>
      </w:r>
      <w:r>
        <w:rPr>
          <w:rStyle w:val="NormalTok"/>
        </w:rPr>
        <w:t>(</w:t>
      </w:r>
      <w:r>
        <w:rPr>
          <w:rStyle w:val="AttributeTok"/>
        </w:rPr>
        <w:t>mu1 =</w:t>
      </w:r>
      <w:r>
        <w:rPr>
          <w:rStyle w:val="NormalTok"/>
        </w:rPr>
        <w:t xml:space="preserve"> </w:t>
      </w:r>
      <w:r>
        <w:rPr>
          <w:rStyle w:val="DecValTok"/>
        </w:rPr>
        <w:t>1</w:t>
      </w:r>
      <w:r>
        <w:rPr>
          <w:rStyle w:val="NormalTok"/>
        </w:rPr>
        <w:t xml:space="preserve">, </w:t>
      </w:r>
      <w:r>
        <w:rPr>
          <w:rStyle w:val="AttributeTok"/>
        </w:rPr>
        <w:t>mu2 =</w:t>
      </w:r>
      <w:r>
        <w:rPr>
          <w:rStyle w:val="NormalTok"/>
        </w:rPr>
        <w:t xml:space="preserve"> </w:t>
      </w:r>
      <w:r>
        <w:rPr>
          <w:rStyle w:val="DecValTok"/>
        </w:rPr>
        <w:t>0</w:t>
      </w:r>
      <w:r>
        <w:rPr>
          <w:rStyle w:val="NormalTok"/>
        </w:rPr>
        <w:t xml:space="preserve">, </w:t>
      </w:r>
      <w:r>
        <w:rPr>
          <w:rStyle w:val="AttributeTok"/>
        </w:rPr>
        <w:t>margin =</w:t>
      </w:r>
      <w:r>
        <w:rPr>
          <w:rStyle w:val="NormalTok"/>
        </w:rPr>
        <w:t xml:space="preserve"> </w:t>
      </w:r>
      <w:r>
        <w:rPr>
          <w:rStyle w:val="DecValTok"/>
        </w:rPr>
        <w:t>0</w:t>
      </w:r>
      <w:r>
        <w:rPr>
          <w:rStyle w:val="NormalTok"/>
        </w:rPr>
        <w:t xml:space="preserve">, </w:t>
      </w:r>
      <w:r>
        <w:rPr>
          <w:rStyle w:val="AttributeTok"/>
        </w:rPr>
        <w:t>sd1 =</w:t>
      </w:r>
      <w:r>
        <w:rPr>
          <w:rStyle w:val="NormalTok"/>
        </w:rPr>
        <w:t xml:space="preserve"> </w:t>
      </w:r>
      <w:r>
        <w:rPr>
          <w:rStyle w:val="FloatTok"/>
        </w:rPr>
        <w:t>2.5</w:t>
      </w:r>
      <w:r>
        <w:rPr>
          <w:rStyle w:val="NormalTok"/>
        </w:rPr>
        <w:t>,</w:t>
      </w:r>
      <w:r>
        <w:br/>
      </w:r>
      <w:r>
        <w:rPr>
          <w:rStyle w:val="NormalTok"/>
        </w:rPr>
        <w:t xml:space="preserve">    </w:t>
      </w:r>
      <w:r>
        <w:rPr>
          <w:rStyle w:val="AttributeTok"/>
        </w:rPr>
        <w:t>sd2 =</w:t>
      </w:r>
      <w:r>
        <w:rPr>
          <w:rStyle w:val="NormalTok"/>
        </w:rPr>
        <w:t xml:space="preserve"> </w:t>
      </w:r>
      <w:r>
        <w:rPr>
          <w:rStyle w:val="FloatTok"/>
        </w:rPr>
        <w:t>2.5</w:t>
      </w:r>
      <w:r>
        <w:rPr>
          <w:rStyle w:val="NormalTok"/>
        </w:rPr>
        <w:t xml:space="preserve">, </w:t>
      </w:r>
      <w:r>
        <w:rPr>
          <w:rStyle w:val="AttributeTok"/>
        </w:rPr>
        <w:t>welch.df =</w:t>
      </w:r>
      <w:r>
        <w:rPr>
          <w:rStyle w:val="NormalTok"/>
        </w:rPr>
        <w:t xml:space="preserve"> </w:t>
      </w:r>
      <w:r>
        <w:rPr>
          <w:rStyle w:val="ConstantTok"/>
        </w:rPr>
        <w:t>TRUE</w:t>
      </w:r>
      <w:r>
        <w:rPr>
          <w:rStyle w:val="NormalTok"/>
        </w:rPr>
        <w:t xml:space="preserve">, </w:t>
      </w:r>
      <w:r>
        <w:rPr>
          <w:rStyle w:val="AttributeTok"/>
        </w:rPr>
        <w:t>power =</w:t>
      </w:r>
      <w:r>
        <w:rPr>
          <w:rStyle w:val="NormalTok"/>
        </w:rPr>
        <w:t xml:space="preserve"> </w:t>
      </w:r>
      <w:r>
        <w:rPr>
          <w:rStyle w:val="FloatTok"/>
        </w:rPr>
        <w:t>0.8</w:t>
      </w:r>
      <w:r>
        <w:rPr>
          <w:rStyle w:val="NormalTok"/>
        </w:rPr>
        <w:t xml:space="preserve">, </w:t>
      </w:r>
      <w:r>
        <w:rPr>
          <w:rStyle w:val="AttributeTok"/>
        </w:rPr>
        <w:t>alternative =</w:t>
      </w:r>
      <w:r>
        <w:rPr>
          <w:rStyle w:val="NormalTok"/>
        </w:rPr>
        <w:t xml:space="preserve"> </w:t>
      </w:r>
      <w:r>
        <w:rPr>
          <w:rStyle w:val="StringTok"/>
        </w:rPr>
        <w:t>"greater"</w:t>
      </w:r>
      <w:r>
        <w:rPr>
          <w:rStyle w:val="NormalTok"/>
        </w:rPr>
        <w:t>,</w:t>
      </w:r>
      <w:r>
        <w:br/>
      </w:r>
      <w:r>
        <w:rPr>
          <w:rStyle w:val="NormalTok"/>
        </w:rPr>
        <w:t xml:space="preserve">    </w:t>
      </w:r>
      <w:r>
        <w:rPr>
          <w:rStyle w:val="AttributeTok"/>
        </w:rPr>
        <w:t>alpha =</w:t>
      </w:r>
      <w:r>
        <w:rPr>
          <w:rStyle w:val="NormalTok"/>
        </w:rPr>
        <w:t xml:space="preserve"> </w:t>
      </w:r>
      <w:r>
        <w:rPr>
          <w:rStyle w:val="FloatTok"/>
        </w:rPr>
        <w:t>0.05</w:t>
      </w:r>
      <w:r>
        <w:rPr>
          <w:rStyle w:val="SpecialCharTok"/>
        </w:rPr>
        <w:t>/</w:t>
      </w:r>
      <w:r>
        <w:rPr>
          <w:rStyle w:val="DecValTok"/>
        </w:rPr>
        <w:t>2</w:t>
      </w:r>
      <w:r>
        <w:rPr>
          <w:rStyle w:val="NormalTok"/>
        </w:rPr>
        <w:t xml:space="preserve">, </w:t>
      </w:r>
      <w:r>
        <w:rPr>
          <w:rStyle w:val="AttributeTok"/>
        </w:rPr>
        <w:t>verbose =</w:t>
      </w:r>
      <w:r>
        <w:rPr>
          <w:rStyle w:val="NormalTok"/>
        </w:rPr>
        <w:t xml:space="preserve"> </w:t>
      </w:r>
      <w:r>
        <w:rPr>
          <w:rStyle w:val="ConstantTok"/>
        </w:rPr>
        <w:t>TRUE</w:t>
      </w:r>
      <w:r>
        <w:rPr>
          <w:rStyle w:val="NormalTok"/>
        </w:rPr>
        <w:t>)</w:t>
      </w:r>
    </w:p>
    <w:p w14:paraId="7C4B9900" w14:textId="77777777" w:rsidR="008B4595" w:rsidRDefault="00E115AD">
      <w:pPr>
        <w:pStyle w:val="SourceCode"/>
      </w:pPr>
      <w:r>
        <w:rPr>
          <w:rStyle w:val="VerbatimChar"/>
        </w:rPr>
        <w:t xml:space="preserve"> Difference between Two means </w:t>
      </w:r>
      <w:r>
        <w:br/>
      </w:r>
      <w:r>
        <w:rPr>
          <w:rStyle w:val="VerbatimChar"/>
        </w:rPr>
        <w:t xml:space="preserve"> (Independent Samples t Test) </w:t>
      </w:r>
      <w:r>
        <w:br/>
      </w:r>
      <w:r>
        <w:rPr>
          <w:rStyle w:val="VerbatimChar"/>
        </w:rPr>
        <w:t xml:space="preserve"> H0: mu1 = mu2 </w:t>
      </w:r>
      <w:r>
        <w:br/>
      </w:r>
      <w:r>
        <w:rPr>
          <w:rStyle w:val="VerbatimChar"/>
        </w:rPr>
        <w:t xml:space="preserve"> HA: mu1 &gt; mu2 </w:t>
      </w:r>
      <w:r>
        <w:br/>
      </w:r>
      <w:r>
        <w:rPr>
          <w:rStyle w:val="VerbatimChar"/>
        </w:rPr>
        <w:t xml:space="preserve"> ------------------------------ </w:t>
      </w:r>
      <w:r>
        <w:br/>
      </w:r>
      <w:r>
        <w:rPr>
          <w:rStyle w:val="VerbatimChar"/>
        </w:rPr>
        <w:t xml:space="preserve">  Statistical power = 0.8 </w:t>
      </w:r>
      <w:r>
        <w:br/>
      </w:r>
      <w:r>
        <w:rPr>
          <w:rStyle w:val="VerbatimChar"/>
        </w:rPr>
        <w:t xml:space="preserve">  n1 = 100 </w:t>
      </w:r>
      <w:r>
        <w:br/>
      </w:r>
      <w:r>
        <w:rPr>
          <w:rStyle w:val="VerbatimChar"/>
        </w:rPr>
        <w:t xml:space="preserve">  n2 = 100 </w:t>
      </w:r>
      <w:r>
        <w:br/>
      </w:r>
      <w:r>
        <w:rPr>
          <w:rStyle w:val="VerbatimChar"/>
        </w:rPr>
        <w:t xml:space="preserve"> ------------------------------ </w:t>
      </w:r>
      <w:r>
        <w:br/>
      </w:r>
      <w:r>
        <w:rPr>
          <w:rStyle w:val="VerbatimChar"/>
        </w:rPr>
        <w:t xml:space="preserve"> Alternative = "greater" </w:t>
      </w:r>
      <w:r>
        <w:br/>
      </w:r>
      <w:r>
        <w:rPr>
          <w:rStyle w:val="VerbatimChar"/>
        </w:rPr>
        <w:t xml:space="preserve"> Degrees of freedom = 198 </w:t>
      </w:r>
      <w:r>
        <w:br/>
      </w:r>
      <w:r>
        <w:rPr>
          <w:rStyle w:val="VerbatimChar"/>
        </w:rPr>
        <w:t xml:space="preserve"> Non-centrality parameter = 2.83 </w:t>
      </w:r>
      <w:r>
        <w:br/>
      </w:r>
      <w:r>
        <w:rPr>
          <w:rStyle w:val="VerbatimChar"/>
        </w:rPr>
        <w:t xml:space="preserve"> Type I error rate = 0.025 </w:t>
      </w:r>
      <w:r>
        <w:br/>
      </w:r>
      <w:r>
        <w:rPr>
          <w:rStyle w:val="VerbatimChar"/>
        </w:rPr>
        <w:t xml:space="preserve"> Type II error rate = 0.2 </w:t>
      </w:r>
    </w:p>
    <w:p w14:paraId="7C4B9901" w14:textId="77777777" w:rsidR="008B4595" w:rsidRDefault="00E115AD">
      <w:pPr>
        <w:pStyle w:val="CaptionedFigure"/>
      </w:pPr>
      <w:r>
        <w:rPr>
          <w:noProof/>
        </w:rPr>
        <w:drawing>
          <wp:inline distT="0" distB="0" distL="0" distR="0" wp14:anchorId="7C4B9927" wp14:editId="7C4B9928">
            <wp:extent cx="5504749" cy="3669832"/>
            <wp:effectExtent l="0" t="0" r="0" b="0"/>
            <wp:docPr id="24" name="Picture" descr="Figure 1"/>
            <wp:cNvGraphicFramePr/>
            <a:graphic xmlns:a="http://schemas.openxmlformats.org/drawingml/2006/main">
              <a:graphicData uri="http://schemas.openxmlformats.org/drawingml/2006/picture">
                <pic:pic xmlns:pic="http://schemas.openxmlformats.org/drawingml/2006/picture">
                  <pic:nvPicPr>
                    <pic:cNvPr id="25" name="Picture" descr="report_files/figure-docx/unnamed-chunk-11-1.png"/>
                    <pic:cNvPicPr>
                      <a:picLocks noChangeAspect="1" noChangeArrowheads="1"/>
                    </pic:cNvPicPr>
                  </pic:nvPicPr>
                  <pic:blipFill>
                    <a:blip r:embed="rId7"/>
                    <a:stretch>
                      <a:fillRect/>
                    </a:stretch>
                  </pic:blipFill>
                  <pic:spPr bwMode="auto">
                    <a:xfrm>
                      <a:off x="0" y="0"/>
                      <a:ext cx="5504749" cy="3669832"/>
                    </a:xfrm>
                    <a:prstGeom prst="rect">
                      <a:avLst/>
                    </a:prstGeom>
                    <a:noFill/>
                    <a:ln w="9525">
                      <a:noFill/>
                      <a:headEnd/>
                      <a:tailEnd/>
                    </a:ln>
                  </pic:spPr>
                </pic:pic>
              </a:graphicData>
            </a:graphic>
          </wp:inline>
        </w:drawing>
      </w:r>
    </w:p>
    <w:p w14:paraId="7C4B9902" w14:textId="77777777" w:rsidR="008B4595" w:rsidRDefault="00E115AD">
      <w:pPr>
        <w:pStyle w:val="ImageCaption"/>
      </w:pPr>
      <w:r>
        <w:t>Figure 1</w:t>
      </w:r>
    </w:p>
    <w:p w14:paraId="7C4B9903" w14:textId="77777777" w:rsidR="008B4595" w:rsidRDefault="00E115AD">
      <w:pPr>
        <w:pStyle w:val="Heading2"/>
      </w:pPr>
      <w:bookmarkStart w:id="10" w:name="X4b7a177f82f23aae23fb09fab1d6e599aba6683"/>
      <w:bookmarkStart w:id="11" w:name="_Toc183605701"/>
      <w:bookmarkEnd w:id="8"/>
      <w:r>
        <w:t>Effect of not evaluating the difference between the two distraction methods</w:t>
      </w:r>
      <w:bookmarkEnd w:id="11"/>
    </w:p>
    <w:p w14:paraId="7C4B9904" w14:textId="77777777" w:rsidR="008B4595" w:rsidRDefault="00E115AD">
      <w:pPr>
        <w:pStyle w:val="FirstParagraph"/>
      </w:pPr>
      <w:r>
        <w:t xml:space="preserve">To note, if the primary endpoint would be stated as aiming to establish difference between arms A &amp; B </w:t>
      </w:r>
      <w:r>
        <w:rPr>
          <w:b/>
          <w:bCs/>
        </w:rPr>
        <w:t>and</w:t>
      </w:r>
      <w:r>
        <w:t xml:space="preserve"> A &amp; C only (omitting the comparison between B &amp; C for the primary endpoint), the required sample size would shrink considerably to </w:t>
      </w:r>
      <w:r>
        <w:rPr>
          <w:b/>
          <w:bCs/>
        </w:rPr>
        <w:t>26</w:t>
      </w:r>
      <w:r>
        <w:t xml:space="preserve"> patients per arm or a total sample size of </w:t>
      </w:r>
      <w:r>
        <w:rPr>
          <w:b/>
          <w:bCs/>
        </w:rPr>
        <w:t>78</w:t>
      </w:r>
      <w:r>
        <w:t xml:space="preserve"> for 80% Power.</w:t>
      </w:r>
    </w:p>
    <w:p w14:paraId="7C4B9905" w14:textId="77777777" w:rsidR="008B4595" w:rsidRDefault="00E115AD">
      <w:pPr>
        <w:pStyle w:val="SourceCode"/>
      </w:pPr>
      <w:r>
        <w:rPr>
          <w:rStyle w:val="NormalTok"/>
        </w:rPr>
        <w:t>pwrss</w:t>
      </w:r>
      <w:r>
        <w:rPr>
          <w:rStyle w:val="SpecialCharTok"/>
        </w:rPr>
        <w:t>::</w:t>
      </w:r>
      <w:r>
        <w:rPr>
          <w:rStyle w:val="FunctionTok"/>
        </w:rPr>
        <w:t>pwrss.t.2means</w:t>
      </w:r>
      <w:r>
        <w:rPr>
          <w:rStyle w:val="NormalTok"/>
        </w:rPr>
        <w:t>(</w:t>
      </w:r>
      <w:r>
        <w:rPr>
          <w:rStyle w:val="AttributeTok"/>
        </w:rPr>
        <w:t>mu1 =</w:t>
      </w:r>
      <w:r>
        <w:rPr>
          <w:rStyle w:val="NormalTok"/>
        </w:rPr>
        <w:t xml:space="preserve"> </w:t>
      </w:r>
      <w:r>
        <w:rPr>
          <w:rStyle w:val="DecValTok"/>
        </w:rPr>
        <w:t>3</w:t>
      </w:r>
      <w:r>
        <w:rPr>
          <w:rStyle w:val="NormalTok"/>
        </w:rPr>
        <w:t xml:space="preserve">, </w:t>
      </w:r>
      <w:r>
        <w:rPr>
          <w:rStyle w:val="AttributeTok"/>
        </w:rPr>
        <w:t>mu2 =</w:t>
      </w:r>
      <w:r>
        <w:rPr>
          <w:rStyle w:val="NormalTok"/>
        </w:rPr>
        <w:t xml:space="preserve"> </w:t>
      </w:r>
      <w:r>
        <w:rPr>
          <w:rStyle w:val="DecValTok"/>
        </w:rPr>
        <w:t>1</w:t>
      </w:r>
      <w:r>
        <w:rPr>
          <w:rStyle w:val="NormalTok"/>
        </w:rPr>
        <w:t xml:space="preserve">, </w:t>
      </w:r>
      <w:r>
        <w:rPr>
          <w:rStyle w:val="AttributeTok"/>
        </w:rPr>
        <w:t>margin =</w:t>
      </w:r>
      <w:r>
        <w:rPr>
          <w:rStyle w:val="NormalTok"/>
        </w:rPr>
        <w:t xml:space="preserve"> </w:t>
      </w:r>
      <w:r>
        <w:rPr>
          <w:rStyle w:val="DecValTok"/>
        </w:rPr>
        <w:t>0</w:t>
      </w:r>
      <w:r>
        <w:rPr>
          <w:rStyle w:val="NormalTok"/>
        </w:rPr>
        <w:t xml:space="preserve">, </w:t>
      </w:r>
      <w:r>
        <w:rPr>
          <w:rStyle w:val="AttributeTok"/>
        </w:rPr>
        <w:t>sd1 =</w:t>
      </w:r>
      <w:r>
        <w:rPr>
          <w:rStyle w:val="NormalTok"/>
        </w:rPr>
        <w:t xml:space="preserve"> </w:t>
      </w:r>
      <w:r>
        <w:rPr>
          <w:rStyle w:val="FloatTok"/>
        </w:rPr>
        <w:t>2.5</w:t>
      </w:r>
      <w:r>
        <w:rPr>
          <w:rStyle w:val="NormalTok"/>
        </w:rPr>
        <w:t>,</w:t>
      </w:r>
      <w:r>
        <w:br/>
      </w:r>
      <w:r>
        <w:rPr>
          <w:rStyle w:val="NormalTok"/>
        </w:rPr>
        <w:t xml:space="preserve">    </w:t>
      </w:r>
      <w:r>
        <w:rPr>
          <w:rStyle w:val="AttributeTok"/>
        </w:rPr>
        <w:t>sd2 =</w:t>
      </w:r>
      <w:r>
        <w:rPr>
          <w:rStyle w:val="NormalTok"/>
        </w:rPr>
        <w:t xml:space="preserve"> </w:t>
      </w:r>
      <w:r>
        <w:rPr>
          <w:rStyle w:val="FloatTok"/>
        </w:rPr>
        <w:t>2.5</w:t>
      </w:r>
      <w:r>
        <w:rPr>
          <w:rStyle w:val="NormalTok"/>
        </w:rPr>
        <w:t xml:space="preserve">, </w:t>
      </w:r>
      <w:r>
        <w:rPr>
          <w:rStyle w:val="AttributeTok"/>
        </w:rPr>
        <w:t>welch.df =</w:t>
      </w:r>
      <w:r>
        <w:rPr>
          <w:rStyle w:val="NormalTok"/>
        </w:rPr>
        <w:t xml:space="preserve"> </w:t>
      </w:r>
      <w:r>
        <w:rPr>
          <w:rStyle w:val="ConstantTok"/>
        </w:rPr>
        <w:t>TRUE</w:t>
      </w:r>
      <w:r>
        <w:rPr>
          <w:rStyle w:val="NormalTok"/>
        </w:rPr>
        <w:t xml:space="preserve">, </w:t>
      </w:r>
      <w:r>
        <w:rPr>
          <w:rStyle w:val="AttributeTok"/>
        </w:rPr>
        <w:t>power =</w:t>
      </w:r>
      <w:r>
        <w:rPr>
          <w:rStyle w:val="NormalTok"/>
        </w:rPr>
        <w:t xml:space="preserve"> </w:t>
      </w:r>
      <w:r>
        <w:rPr>
          <w:rStyle w:val="FloatTok"/>
        </w:rPr>
        <w:t>0.8</w:t>
      </w:r>
      <w:r>
        <w:rPr>
          <w:rStyle w:val="NormalTok"/>
        </w:rPr>
        <w:t xml:space="preserve">, </w:t>
      </w:r>
      <w:r>
        <w:rPr>
          <w:rStyle w:val="AttributeTok"/>
        </w:rPr>
        <w:t>alternative =</w:t>
      </w:r>
      <w:r>
        <w:rPr>
          <w:rStyle w:val="NormalTok"/>
        </w:rPr>
        <w:t xml:space="preserve"> </w:t>
      </w:r>
      <w:r>
        <w:rPr>
          <w:rStyle w:val="StringTok"/>
        </w:rPr>
        <w:t>"greater"</w:t>
      </w:r>
      <w:r>
        <w:rPr>
          <w:rStyle w:val="NormalTok"/>
        </w:rPr>
        <w:t>,</w:t>
      </w:r>
      <w:r>
        <w:br/>
      </w:r>
      <w:r>
        <w:rPr>
          <w:rStyle w:val="NormalTok"/>
        </w:rPr>
        <w:t xml:space="preserve">    </w:t>
      </w:r>
      <w:r>
        <w:rPr>
          <w:rStyle w:val="AttributeTok"/>
        </w:rPr>
        <w:t>alpha =</w:t>
      </w:r>
      <w:r>
        <w:rPr>
          <w:rStyle w:val="NormalTok"/>
        </w:rPr>
        <w:t xml:space="preserve"> </w:t>
      </w:r>
      <w:r>
        <w:rPr>
          <w:rStyle w:val="FloatTok"/>
        </w:rPr>
        <w:t>0.05</w:t>
      </w:r>
      <w:r>
        <w:rPr>
          <w:rStyle w:val="SpecialCharTok"/>
        </w:rPr>
        <w:t>/</w:t>
      </w:r>
      <w:r>
        <w:rPr>
          <w:rStyle w:val="DecValTok"/>
        </w:rPr>
        <w:t>2</w:t>
      </w:r>
      <w:r>
        <w:rPr>
          <w:rStyle w:val="NormalTok"/>
        </w:rPr>
        <w:t xml:space="preserve">, </w:t>
      </w:r>
      <w:r>
        <w:rPr>
          <w:rStyle w:val="AttributeTok"/>
        </w:rPr>
        <w:t>verbose =</w:t>
      </w:r>
      <w:r>
        <w:rPr>
          <w:rStyle w:val="NormalTok"/>
        </w:rPr>
        <w:t xml:space="preserve"> </w:t>
      </w:r>
      <w:r>
        <w:rPr>
          <w:rStyle w:val="ConstantTok"/>
        </w:rPr>
        <w:t>TRUE</w:t>
      </w:r>
      <w:r>
        <w:rPr>
          <w:rStyle w:val="NormalTok"/>
        </w:rPr>
        <w:t>)</w:t>
      </w:r>
    </w:p>
    <w:p w14:paraId="7C4B9906" w14:textId="77777777" w:rsidR="008B4595" w:rsidRDefault="00E115AD">
      <w:pPr>
        <w:pStyle w:val="SourceCode"/>
      </w:pPr>
      <w:r>
        <w:rPr>
          <w:rStyle w:val="VerbatimChar"/>
        </w:rPr>
        <w:t xml:space="preserve"> Difference between Two means </w:t>
      </w:r>
      <w:r>
        <w:br/>
      </w:r>
      <w:r>
        <w:rPr>
          <w:rStyle w:val="VerbatimChar"/>
        </w:rPr>
        <w:t xml:space="preserve"> (Independent Samples t Test) </w:t>
      </w:r>
      <w:r>
        <w:br/>
      </w:r>
      <w:r>
        <w:rPr>
          <w:rStyle w:val="VerbatimChar"/>
        </w:rPr>
        <w:t xml:space="preserve"> H0: mu1 = mu2 </w:t>
      </w:r>
      <w:r>
        <w:br/>
      </w:r>
      <w:r>
        <w:rPr>
          <w:rStyle w:val="VerbatimChar"/>
        </w:rPr>
        <w:t xml:space="preserve"> HA: mu1 &gt; mu2 </w:t>
      </w:r>
      <w:r>
        <w:br/>
      </w:r>
      <w:r>
        <w:rPr>
          <w:rStyle w:val="VerbatimChar"/>
        </w:rPr>
        <w:t xml:space="preserve"> ------------------------------ </w:t>
      </w:r>
      <w:r>
        <w:br/>
      </w:r>
      <w:r>
        <w:rPr>
          <w:rStyle w:val="VerbatimChar"/>
        </w:rPr>
        <w:t xml:space="preserve">  Statistical power = 0.8 </w:t>
      </w:r>
      <w:r>
        <w:br/>
      </w:r>
      <w:r>
        <w:rPr>
          <w:rStyle w:val="VerbatimChar"/>
        </w:rPr>
        <w:t xml:space="preserve">  n1 = 26 </w:t>
      </w:r>
      <w:r>
        <w:br/>
      </w:r>
      <w:r>
        <w:rPr>
          <w:rStyle w:val="VerbatimChar"/>
        </w:rPr>
        <w:t xml:space="preserve">  n2 = 26 </w:t>
      </w:r>
      <w:r>
        <w:br/>
      </w:r>
      <w:r>
        <w:rPr>
          <w:rStyle w:val="VerbatimChar"/>
        </w:rPr>
        <w:t xml:space="preserve"> ------------------------------ </w:t>
      </w:r>
      <w:r>
        <w:br/>
      </w:r>
      <w:r>
        <w:rPr>
          <w:rStyle w:val="VerbatimChar"/>
        </w:rPr>
        <w:t xml:space="preserve"> Alternative = "greater" </w:t>
      </w:r>
      <w:r>
        <w:br/>
      </w:r>
      <w:r>
        <w:rPr>
          <w:rStyle w:val="VerbatimChar"/>
        </w:rPr>
        <w:t xml:space="preserve"> Degrees of freedom = 50 </w:t>
      </w:r>
      <w:r>
        <w:br/>
      </w:r>
      <w:r>
        <w:rPr>
          <w:rStyle w:val="VerbatimChar"/>
        </w:rPr>
        <w:t xml:space="preserve"> Non-centrality parameter = 2.88 </w:t>
      </w:r>
      <w:r>
        <w:br/>
      </w:r>
      <w:r>
        <w:rPr>
          <w:rStyle w:val="VerbatimChar"/>
        </w:rPr>
        <w:t xml:space="preserve"> Type I error rate = 0.025 </w:t>
      </w:r>
      <w:r>
        <w:br/>
      </w:r>
      <w:r>
        <w:rPr>
          <w:rStyle w:val="VerbatimChar"/>
        </w:rPr>
        <w:t xml:space="preserve"> Type II error rate = 0.2 </w:t>
      </w:r>
    </w:p>
    <w:p w14:paraId="7C4B9907" w14:textId="77777777" w:rsidR="008B4595" w:rsidRDefault="00E115AD">
      <w:pPr>
        <w:pStyle w:val="Heading2"/>
      </w:pPr>
      <w:bookmarkStart w:id="12" w:name="effects-of-the-scale"/>
      <w:bookmarkStart w:id="13" w:name="_Toc183605702"/>
      <w:bookmarkEnd w:id="10"/>
      <w:r>
        <w:t>Effects of the scale</w:t>
      </w:r>
      <w:bookmarkEnd w:id="13"/>
    </w:p>
    <w:p w14:paraId="7C4B9908" w14:textId="77777777" w:rsidR="008B4595" w:rsidRDefault="00E115AD">
      <w:pPr>
        <w:pStyle w:val="FirstParagraph"/>
      </w:pPr>
      <w:r>
        <w:t>The 0-10 point scale introduces a problem since if we suppose that the expected value of intervention C is 0 points, its variability would be 0 which is highly unlikely. A possible correction would be to recode all negative simulated values to 0. This would result in a smaller apparent variability in arm C, but it would still capture the essence of the problem. An example is shown below, where for 100 simulated values, the negative values of the original (red) distribution are recoded to 0 (blue; overlappin</w:t>
      </w:r>
      <w:r>
        <w:t>g sections are purple). This approach was used in the simulations described later.</w:t>
      </w:r>
    </w:p>
    <w:p w14:paraId="7C4B9909" w14:textId="77777777" w:rsidR="008B4595" w:rsidRDefault="00E115AD">
      <w:pPr>
        <w:pStyle w:val="CaptionedFigure"/>
      </w:pPr>
      <w:r>
        <w:rPr>
          <w:noProof/>
        </w:rPr>
        <w:drawing>
          <wp:inline distT="0" distB="0" distL="0" distR="0" wp14:anchorId="7C4B9929" wp14:editId="7C4B992A">
            <wp:extent cx="5504749" cy="3669832"/>
            <wp:effectExtent l="0" t="0" r="0" b="0"/>
            <wp:docPr id="29" name="Picture" descr="Figure 2"/>
            <wp:cNvGraphicFramePr/>
            <a:graphic xmlns:a="http://schemas.openxmlformats.org/drawingml/2006/main">
              <a:graphicData uri="http://schemas.openxmlformats.org/drawingml/2006/picture">
                <pic:pic xmlns:pic="http://schemas.openxmlformats.org/drawingml/2006/picture">
                  <pic:nvPicPr>
                    <pic:cNvPr id="30" name="Picture" descr="report_files/figure-docx/unnamed-chunk-13-1.png"/>
                    <pic:cNvPicPr>
                      <a:picLocks noChangeAspect="1" noChangeArrowheads="1"/>
                    </pic:cNvPicPr>
                  </pic:nvPicPr>
                  <pic:blipFill>
                    <a:blip r:embed="rId8"/>
                    <a:stretch>
                      <a:fillRect/>
                    </a:stretch>
                  </pic:blipFill>
                  <pic:spPr bwMode="auto">
                    <a:xfrm>
                      <a:off x="0" y="0"/>
                      <a:ext cx="5504749" cy="3669832"/>
                    </a:xfrm>
                    <a:prstGeom prst="rect">
                      <a:avLst/>
                    </a:prstGeom>
                    <a:noFill/>
                    <a:ln w="9525">
                      <a:noFill/>
                      <a:headEnd/>
                      <a:tailEnd/>
                    </a:ln>
                  </pic:spPr>
                </pic:pic>
              </a:graphicData>
            </a:graphic>
          </wp:inline>
        </w:drawing>
      </w:r>
    </w:p>
    <w:p w14:paraId="7C4B990A" w14:textId="77777777" w:rsidR="008B4595" w:rsidRDefault="00E115AD">
      <w:pPr>
        <w:pStyle w:val="ImageCaption"/>
      </w:pPr>
      <w:r>
        <w:t>Figure 2</w:t>
      </w:r>
    </w:p>
    <w:p w14:paraId="7C4B990B" w14:textId="77777777" w:rsidR="008B4595" w:rsidRDefault="00E115AD">
      <w:pPr>
        <w:pStyle w:val="Heading2"/>
      </w:pPr>
      <w:bookmarkStart w:id="14" w:name="Xfdb27299f5b07e4cbde3c44d465aa8fbe0bf68b"/>
      <w:bookmarkStart w:id="15" w:name="_Toc183605703"/>
      <w:bookmarkEnd w:id="12"/>
      <w:r>
        <w:t>Simulation results (taking into consideration of the rounding effects)</w:t>
      </w:r>
      <w:bookmarkEnd w:id="15"/>
    </w:p>
    <w:p w14:paraId="7C4B990C" w14:textId="77777777" w:rsidR="008B4595" w:rsidRDefault="00E115AD">
      <w:pPr>
        <w:pStyle w:val="Heading3"/>
      </w:pPr>
      <w:bookmarkStart w:id="16" w:name="X8ac56aeb56547b28260205b2d7885d941c7ad53"/>
      <w:r>
        <w:t>Interdependence of the expected values of the treatment arms</w:t>
      </w:r>
    </w:p>
    <w:p w14:paraId="7C4B990D" w14:textId="77777777" w:rsidR="008B4595" w:rsidRDefault="00E115AD">
      <w:pPr>
        <w:pStyle w:val="FirstParagraph"/>
      </w:pPr>
      <w:r>
        <w:t>The simulation study was conducted varying all appropriate parameters to some degree. Evaluating three comparisons simultaneously is a complex task, as the expected values of the treatment arms are interdependent. The results of the simulation study from this perspective are shown in the figure below where ‘bubbles’ are colored according to how often they resulted in a successful study (out of 30 tries). The size of the bubble is proportional to the number of subjects in the study. The results indicate that</w:t>
      </w:r>
      <w:r>
        <w:t xml:space="preserve"> if (at least) two treatment arms had a similar expected value, the chances for success went down considerably.</w:t>
      </w:r>
    </w:p>
    <w:p w14:paraId="7C4B990E" w14:textId="77777777" w:rsidR="008B4595" w:rsidRDefault="00E115AD">
      <w:pPr>
        <w:pStyle w:val="BodyText"/>
      </w:pPr>
      <w:r>
        <w:t>This highlights the importance of the supposed differences between the treatment arms.</w:t>
      </w:r>
    </w:p>
    <w:p w14:paraId="7C4B990F" w14:textId="77777777" w:rsidR="008B4595" w:rsidRDefault="00E115AD">
      <w:pPr>
        <w:pStyle w:val="CaptionedFigure"/>
      </w:pPr>
      <w:r>
        <w:rPr>
          <w:noProof/>
        </w:rPr>
        <w:drawing>
          <wp:inline distT="0" distB="0" distL="0" distR="0" wp14:anchorId="7C4B992B" wp14:editId="7C4B992C">
            <wp:extent cx="5504749" cy="3669832"/>
            <wp:effectExtent l="0" t="0" r="0" b="0"/>
            <wp:docPr id="33" name="Picture" descr="Figure 3"/>
            <wp:cNvGraphicFramePr/>
            <a:graphic xmlns:a="http://schemas.openxmlformats.org/drawingml/2006/main">
              <a:graphicData uri="http://schemas.openxmlformats.org/drawingml/2006/picture">
                <pic:pic xmlns:pic="http://schemas.openxmlformats.org/drawingml/2006/picture">
                  <pic:nvPicPr>
                    <pic:cNvPr id="34" name="Picture" descr="report_files/figure-docx/unnamed-chunk-14-1.png"/>
                    <pic:cNvPicPr>
                      <a:picLocks noChangeAspect="1" noChangeArrowheads="1"/>
                    </pic:cNvPicPr>
                  </pic:nvPicPr>
                  <pic:blipFill>
                    <a:blip r:embed="rId9"/>
                    <a:stretch>
                      <a:fillRect/>
                    </a:stretch>
                  </pic:blipFill>
                  <pic:spPr bwMode="auto">
                    <a:xfrm>
                      <a:off x="0" y="0"/>
                      <a:ext cx="5504749" cy="3669832"/>
                    </a:xfrm>
                    <a:prstGeom prst="rect">
                      <a:avLst/>
                    </a:prstGeom>
                    <a:noFill/>
                    <a:ln w="9525">
                      <a:noFill/>
                      <a:headEnd/>
                      <a:tailEnd/>
                    </a:ln>
                  </pic:spPr>
                </pic:pic>
              </a:graphicData>
            </a:graphic>
          </wp:inline>
        </w:drawing>
      </w:r>
    </w:p>
    <w:p w14:paraId="7C4B9910" w14:textId="77777777" w:rsidR="008B4595" w:rsidRDefault="00E115AD">
      <w:pPr>
        <w:pStyle w:val="ImageCaption"/>
      </w:pPr>
      <w:r>
        <w:t>Figure 3</w:t>
      </w:r>
    </w:p>
    <w:p w14:paraId="6C99CC50" w14:textId="77777777" w:rsidR="00EA1705" w:rsidRDefault="00EA1705">
      <w:pPr>
        <w:pStyle w:val="ImageCaption"/>
      </w:pPr>
    </w:p>
    <w:p w14:paraId="3DD23578" w14:textId="119E655B" w:rsidR="00AF3F71" w:rsidRDefault="00AF3F71">
      <w:pPr>
        <w:rPr>
          <w:i/>
        </w:rPr>
      </w:pPr>
      <w:r>
        <w:br w:type="page"/>
      </w:r>
    </w:p>
    <w:p w14:paraId="04A3134D" w14:textId="77777777" w:rsidR="00EA1705" w:rsidRDefault="00EA1705">
      <w:pPr>
        <w:pStyle w:val="ImageCaption"/>
      </w:pPr>
    </w:p>
    <w:p w14:paraId="7C4B9911" w14:textId="77777777" w:rsidR="008B4595" w:rsidRDefault="00E115AD">
      <w:pPr>
        <w:pStyle w:val="Heading3"/>
      </w:pPr>
      <w:bookmarkStart w:id="17" w:name="impact-of-variability"/>
      <w:bookmarkEnd w:id="16"/>
      <w:r>
        <w:t>Impact of variability</w:t>
      </w:r>
    </w:p>
    <w:p w14:paraId="7C4B9912" w14:textId="77777777" w:rsidR="008B4595" w:rsidRDefault="00E115AD">
      <w:pPr>
        <w:pStyle w:val="FirstParagraph"/>
      </w:pPr>
      <w:r>
        <w:t xml:space="preserve">The impact of the change in the variability of the results on the Power of the study is highlighted below. In case the sample size is chosen to be </w:t>
      </w:r>
      <w:r>
        <w:rPr>
          <w:b/>
          <w:bCs/>
        </w:rPr>
        <w:t>&gt;=137</w:t>
      </w:r>
      <w:r>
        <w:t>, the study’s power would be robust against the variability being &gt;=3 points.</w:t>
      </w:r>
    </w:p>
    <w:p w14:paraId="7C4B9913" w14:textId="77777777" w:rsidR="008B4595" w:rsidRDefault="00E115AD">
      <w:pPr>
        <w:pStyle w:val="CaptionedFigure"/>
      </w:pPr>
      <w:r>
        <w:rPr>
          <w:noProof/>
        </w:rPr>
        <w:drawing>
          <wp:inline distT="0" distB="0" distL="0" distR="0" wp14:anchorId="7C4B992D" wp14:editId="7C4B992E">
            <wp:extent cx="5504749" cy="3669832"/>
            <wp:effectExtent l="0" t="0" r="0" b="0"/>
            <wp:docPr id="37" name="Picture" descr="Figure 4"/>
            <wp:cNvGraphicFramePr/>
            <a:graphic xmlns:a="http://schemas.openxmlformats.org/drawingml/2006/main">
              <a:graphicData uri="http://schemas.openxmlformats.org/drawingml/2006/picture">
                <pic:pic xmlns:pic="http://schemas.openxmlformats.org/drawingml/2006/picture">
                  <pic:nvPicPr>
                    <pic:cNvPr id="38" name="Picture" descr="report_files/figure-docx/unnamed-chunk-15-1.png"/>
                    <pic:cNvPicPr>
                      <a:picLocks noChangeAspect="1" noChangeArrowheads="1"/>
                    </pic:cNvPicPr>
                  </pic:nvPicPr>
                  <pic:blipFill>
                    <a:blip r:embed="rId10"/>
                    <a:stretch>
                      <a:fillRect/>
                    </a:stretch>
                  </pic:blipFill>
                  <pic:spPr bwMode="auto">
                    <a:xfrm>
                      <a:off x="0" y="0"/>
                      <a:ext cx="5504749" cy="3669832"/>
                    </a:xfrm>
                    <a:prstGeom prst="rect">
                      <a:avLst/>
                    </a:prstGeom>
                    <a:noFill/>
                    <a:ln w="9525">
                      <a:noFill/>
                      <a:headEnd/>
                      <a:tailEnd/>
                    </a:ln>
                  </pic:spPr>
                </pic:pic>
              </a:graphicData>
            </a:graphic>
          </wp:inline>
        </w:drawing>
      </w:r>
    </w:p>
    <w:p w14:paraId="7C4B9914" w14:textId="77777777" w:rsidR="008B4595" w:rsidRDefault="00E115AD">
      <w:pPr>
        <w:pStyle w:val="ImageCaption"/>
      </w:pPr>
      <w:r>
        <w:t>Figure 4</w:t>
      </w:r>
    </w:p>
    <w:p w14:paraId="19E8B756" w14:textId="1C5D480D" w:rsidR="00AF3F71" w:rsidRDefault="00AF3F71">
      <w:pPr>
        <w:rPr>
          <w:i/>
        </w:rPr>
      </w:pPr>
      <w:r>
        <w:br w:type="page"/>
      </w:r>
    </w:p>
    <w:p w14:paraId="41A1C9ED" w14:textId="77777777" w:rsidR="00AF3F71" w:rsidRDefault="00AF3F71">
      <w:pPr>
        <w:pStyle w:val="ImageCaption"/>
      </w:pPr>
    </w:p>
    <w:p w14:paraId="7C4B9915" w14:textId="77777777" w:rsidR="008B4595" w:rsidRDefault="00E115AD">
      <w:pPr>
        <w:pStyle w:val="Heading3"/>
      </w:pPr>
      <w:bookmarkStart w:id="18" w:name="Xaa81f4d804feebc4f53081da2384c23843593b0"/>
      <w:bookmarkEnd w:id="17"/>
      <w:r>
        <w:t>Impact of the expected values of the treatment arms</w:t>
      </w:r>
    </w:p>
    <w:p w14:paraId="7C4B9916" w14:textId="77777777" w:rsidR="008B4595" w:rsidRDefault="00E115AD">
      <w:pPr>
        <w:pStyle w:val="FirstParagraph"/>
      </w:pPr>
      <w:r>
        <w:t>The impact of different expected treatment effects is shown below. The results highlight the impact of a higher-than-expected mean value in arm C being unfavorable, and the impact of a lower-than-expected mean value in arm B being unfavorable, and the impact if the mean value in arm B would be greater than expected (this being favorable).</w:t>
      </w:r>
    </w:p>
    <w:p w14:paraId="7C4B9917" w14:textId="77777777" w:rsidR="008B4595" w:rsidRDefault="00E115AD">
      <w:pPr>
        <w:pStyle w:val="CaptionedFigure"/>
      </w:pPr>
      <w:r>
        <w:rPr>
          <w:noProof/>
        </w:rPr>
        <w:drawing>
          <wp:inline distT="0" distB="0" distL="0" distR="0" wp14:anchorId="7C4B992F" wp14:editId="7C4B9930">
            <wp:extent cx="5504749" cy="3669832"/>
            <wp:effectExtent l="0" t="0" r="0" b="0"/>
            <wp:docPr id="41" name="Picture" descr="Figure 5"/>
            <wp:cNvGraphicFramePr/>
            <a:graphic xmlns:a="http://schemas.openxmlformats.org/drawingml/2006/main">
              <a:graphicData uri="http://schemas.openxmlformats.org/drawingml/2006/picture">
                <pic:pic xmlns:pic="http://schemas.openxmlformats.org/drawingml/2006/picture">
                  <pic:nvPicPr>
                    <pic:cNvPr id="42" name="Picture" descr="report_files/figure-docx/unnamed-chunk-16-1.png"/>
                    <pic:cNvPicPr>
                      <a:picLocks noChangeAspect="1" noChangeArrowheads="1"/>
                    </pic:cNvPicPr>
                  </pic:nvPicPr>
                  <pic:blipFill>
                    <a:blip r:embed="rId11"/>
                    <a:stretch>
                      <a:fillRect/>
                    </a:stretch>
                  </pic:blipFill>
                  <pic:spPr bwMode="auto">
                    <a:xfrm>
                      <a:off x="0" y="0"/>
                      <a:ext cx="5504749" cy="3669832"/>
                    </a:xfrm>
                    <a:prstGeom prst="rect">
                      <a:avLst/>
                    </a:prstGeom>
                    <a:noFill/>
                    <a:ln w="9525">
                      <a:noFill/>
                      <a:headEnd/>
                      <a:tailEnd/>
                    </a:ln>
                  </pic:spPr>
                </pic:pic>
              </a:graphicData>
            </a:graphic>
          </wp:inline>
        </w:drawing>
      </w:r>
    </w:p>
    <w:p w14:paraId="7C4B9918" w14:textId="77777777" w:rsidR="008B4595" w:rsidRDefault="00E115AD">
      <w:pPr>
        <w:pStyle w:val="ImageCaption"/>
      </w:pPr>
      <w:r>
        <w:t>Figure 5</w:t>
      </w:r>
    </w:p>
    <w:p w14:paraId="7C4B9919" w14:textId="77777777" w:rsidR="008B4595" w:rsidRDefault="00E115AD">
      <w:r>
        <w:br w:type="page"/>
      </w:r>
    </w:p>
    <w:p w14:paraId="7C4B991A" w14:textId="77777777" w:rsidR="008B4595" w:rsidRDefault="00E115AD">
      <w:pPr>
        <w:pStyle w:val="Heading1"/>
      </w:pPr>
      <w:bookmarkStart w:id="19" w:name="remarks"/>
      <w:bookmarkStart w:id="20" w:name="_Toc183605704"/>
      <w:bookmarkEnd w:id="6"/>
      <w:bookmarkEnd w:id="14"/>
      <w:bookmarkEnd w:id="18"/>
      <w:r>
        <w:t>Remarks</w:t>
      </w:r>
      <w:bookmarkEnd w:id="20"/>
    </w:p>
    <w:p w14:paraId="7C4B991B" w14:textId="77777777" w:rsidR="008B4595" w:rsidRDefault="00E115AD">
      <w:pPr>
        <w:pStyle w:val="Heading3"/>
      </w:pPr>
      <w:bookmarkStart w:id="21" w:name="md5-checksum-of-the-database-used"/>
      <w:r>
        <w:t>MD5 checksum of the database used</w:t>
      </w:r>
    </w:p>
    <w:p w14:paraId="7C4B991C" w14:textId="77777777" w:rsidR="008B4595" w:rsidRDefault="00E115AD">
      <w:pPr>
        <w:pStyle w:val="Heading3"/>
      </w:pPr>
      <w:bookmarkStart w:id="22" w:name="Xd975bbd78198dd947303929e724d8aa5809362a"/>
      <w:bookmarkEnd w:id="21"/>
      <w:r>
        <w:t>Other information regarding the document’s compilation</w:t>
      </w:r>
    </w:p>
    <w:p w14:paraId="7C4B991D" w14:textId="77777777" w:rsidR="008B4595" w:rsidRDefault="00E115AD">
      <w:pPr>
        <w:pStyle w:val="FirstParagraph"/>
      </w:pPr>
      <w:r>
        <w:t>Analyses were conducted using the R Statistical language (version 4.4.1; R Core Team, 2024) on Windows 11 x64 (build 22631), using the packages lubridate (version 1.9.3; Grolemund G, Wickham H, 2011), DHARMa (version 0.4.7; Hartig F, 2024), ggplot2 (version 3.5.1; Wickham H, 2016), dplyr (version 1.1.4; Wickham H et al., 2023) and kableExtra (version 1.4.0; Zhu H, 2024).</w:t>
      </w:r>
    </w:p>
    <w:p w14:paraId="7C4B991E" w14:textId="77777777" w:rsidR="008B4595" w:rsidRDefault="00E115AD">
      <w:pPr>
        <w:pStyle w:val="Heading2"/>
      </w:pPr>
      <w:bookmarkStart w:id="23" w:name="references"/>
      <w:bookmarkStart w:id="24" w:name="_Toc183605705"/>
      <w:r>
        <w:t>References</w:t>
      </w:r>
      <w:bookmarkEnd w:id="24"/>
    </w:p>
    <w:p w14:paraId="7C4B991F" w14:textId="25B309B3" w:rsidR="008B4595" w:rsidRDefault="00E115AD">
      <w:pPr>
        <w:pStyle w:val="Compact"/>
        <w:numPr>
          <w:ilvl w:val="0"/>
          <w:numId w:val="4"/>
        </w:numPr>
      </w:pPr>
      <w:r>
        <w:t xml:space="preserve">Grolemund G, Wickham H (2011). “Dates and Times Made Easy with lubridate.” </w:t>
      </w:r>
      <w:r>
        <w:rPr>
          <w:iCs/>
        </w:rPr>
        <w:t>Journal of Statistical Software</w:t>
      </w:r>
      <w:r>
        <w:t xml:space="preserve">, </w:t>
      </w:r>
      <w:r>
        <w:rPr>
          <w:iCs/>
        </w:rPr>
        <w:t>40</w:t>
      </w:r>
      <w:r>
        <w:t xml:space="preserve">(3), 1-25. </w:t>
      </w:r>
      <w:hyperlink r:id="rId12">
        <w:r>
          <w:rPr>
            <w:rStyle w:val="Hyperlink"/>
          </w:rPr>
          <w:t>https://www.jstatsoft.org/v40/i03/</w:t>
        </w:r>
      </w:hyperlink>
      <w:r>
        <w:t>.</w:t>
      </w:r>
    </w:p>
    <w:p w14:paraId="7C4B9920" w14:textId="5A034712" w:rsidR="008B4595" w:rsidRDefault="00E115AD">
      <w:pPr>
        <w:pStyle w:val="Compact"/>
        <w:numPr>
          <w:ilvl w:val="0"/>
          <w:numId w:val="4"/>
        </w:numPr>
      </w:pPr>
      <w:r>
        <w:t xml:space="preserve">Hartig F (2024). </w:t>
      </w:r>
      <w:r>
        <w:rPr>
          <w:iCs/>
        </w:rPr>
        <w:t>DHARMa: Residual Diagnostics for Hierarchical (Multi-Level / Mixed) Regression Models</w:t>
      </w:r>
      <w:r>
        <w:t xml:space="preserve">. R package version 0.4.7, </w:t>
      </w:r>
      <w:hyperlink r:id="rId13">
        <w:r>
          <w:rPr>
            <w:rStyle w:val="Hyperlink"/>
          </w:rPr>
          <w:t>https://CRAN.R-project.org/package=DHARMa</w:t>
        </w:r>
      </w:hyperlink>
      <w:r>
        <w:t>.</w:t>
      </w:r>
    </w:p>
    <w:p w14:paraId="7C4B9921" w14:textId="501F4F0E" w:rsidR="008B4595" w:rsidRDefault="00E115AD">
      <w:pPr>
        <w:pStyle w:val="Compact"/>
        <w:numPr>
          <w:ilvl w:val="0"/>
          <w:numId w:val="4"/>
        </w:numPr>
      </w:pPr>
      <w:r>
        <w:t xml:space="preserve">R Core Team (2024). </w:t>
      </w:r>
      <w:r>
        <w:rPr>
          <w:iCs/>
        </w:rPr>
        <w:t>R: A Language and Environment for Statistical Computing</w:t>
      </w:r>
      <w:r>
        <w:t xml:space="preserve">. R Foundation for Statistical Computing, Vienna, Austria. </w:t>
      </w:r>
      <w:hyperlink r:id="rId14">
        <w:r>
          <w:rPr>
            <w:rStyle w:val="Hyperlink"/>
          </w:rPr>
          <w:t>https://www.R-project.org/</w:t>
        </w:r>
      </w:hyperlink>
      <w:r>
        <w:t>.</w:t>
      </w:r>
    </w:p>
    <w:p w14:paraId="7C4B9922" w14:textId="2024533E" w:rsidR="008B4595" w:rsidRDefault="00E115AD">
      <w:pPr>
        <w:pStyle w:val="Compact"/>
        <w:numPr>
          <w:ilvl w:val="0"/>
          <w:numId w:val="4"/>
        </w:numPr>
      </w:pPr>
      <w:r>
        <w:t xml:space="preserve">Wickham H (2016). </w:t>
      </w:r>
      <w:r>
        <w:rPr>
          <w:iCs/>
        </w:rPr>
        <w:t>ggplot2: Elegant Graphics for Data Analysis</w:t>
      </w:r>
      <w:r>
        <w:t xml:space="preserve">. Springer-Verlag New York. ISBN 978-3-319-24277-4, </w:t>
      </w:r>
      <w:hyperlink r:id="rId15">
        <w:r>
          <w:rPr>
            <w:rStyle w:val="Hyperlink"/>
          </w:rPr>
          <w:t>https://ggplot2.tidyverse.org</w:t>
        </w:r>
      </w:hyperlink>
      <w:r>
        <w:t>.</w:t>
      </w:r>
    </w:p>
    <w:p w14:paraId="7C4B9923" w14:textId="34F3EFD9" w:rsidR="008B4595" w:rsidRDefault="00E115AD">
      <w:pPr>
        <w:pStyle w:val="Compact"/>
        <w:numPr>
          <w:ilvl w:val="0"/>
          <w:numId w:val="4"/>
        </w:numPr>
      </w:pPr>
      <w:r>
        <w:t xml:space="preserve">Wickham H, François R, Henry L, Müller K, Vaughan D (2023). </w:t>
      </w:r>
      <w:r>
        <w:rPr>
          <w:iCs/>
        </w:rPr>
        <w:t>dplyr: A Grammar of Data Manipulation</w:t>
      </w:r>
      <w:r>
        <w:t xml:space="preserve">. R package version 1.1.4, </w:t>
      </w:r>
      <w:hyperlink r:id="rId16">
        <w:r>
          <w:rPr>
            <w:rStyle w:val="Hyperlink"/>
          </w:rPr>
          <w:t>https://CRAN.R-project.org/package=dplyr</w:t>
        </w:r>
      </w:hyperlink>
      <w:r>
        <w:t>.</w:t>
      </w:r>
    </w:p>
    <w:p w14:paraId="7C4B9924" w14:textId="313F144A" w:rsidR="008B4595" w:rsidRDefault="00E115AD">
      <w:pPr>
        <w:pStyle w:val="Compact"/>
        <w:numPr>
          <w:ilvl w:val="0"/>
          <w:numId w:val="4"/>
        </w:numPr>
      </w:pPr>
      <w:r>
        <w:t xml:space="preserve">Zhu H (2024). </w:t>
      </w:r>
      <w:r>
        <w:rPr>
          <w:iCs/>
        </w:rPr>
        <w:t>kableExtra: Construct Complex Table with ‘kable’ and Pipe Syntax</w:t>
      </w:r>
      <w:r>
        <w:t xml:space="preserve">. R package version 1.4.0, </w:t>
      </w:r>
      <w:hyperlink r:id="rId17">
        <w:r>
          <w:rPr>
            <w:rStyle w:val="Hyperlink"/>
          </w:rPr>
          <w:t>https://CRAN.R-project.org/package=kableExtra</w:t>
        </w:r>
      </w:hyperlink>
      <w:r>
        <w:t>.</w:t>
      </w:r>
    </w:p>
    <w:p w14:paraId="7C4B9925" w14:textId="77777777" w:rsidR="008B4595" w:rsidRDefault="00E115AD">
      <w:pPr>
        <w:pStyle w:val="Heading3"/>
      </w:pPr>
      <w:bookmarkStart w:id="25" w:name="time-of-compilation"/>
      <w:bookmarkEnd w:id="22"/>
      <w:bookmarkEnd w:id="23"/>
      <w:r>
        <w:t>Time of compilation</w:t>
      </w:r>
    </w:p>
    <w:p w14:paraId="7C4B9926" w14:textId="77777777" w:rsidR="008B4595" w:rsidRDefault="00E115AD">
      <w:pPr>
        <w:pStyle w:val="FirstParagraph"/>
      </w:pPr>
      <w:r>
        <w:t>2024-11-27 13:13:19.678296</w:t>
      </w:r>
      <w:bookmarkEnd w:id="19"/>
      <w:bookmarkEnd w:id="25"/>
    </w:p>
    <w:sectPr w:rsidR="008B4595">
      <w:footerReference w:type="default" r:id="rId1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4B9937" w14:textId="77777777" w:rsidR="00E115AD" w:rsidRDefault="00E115AD">
      <w:pPr>
        <w:spacing w:after="0"/>
      </w:pPr>
      <w:r>
        <w:separator/>
      </w:r>
    </w:p>
  </w:endnote>
  <w:endnote w:type="continuationSeparator" w:id="0">
    <w:p w14:paraId="7C4B9939" w14:textId="77777777" w:rsidR="00E115AD" w:rsidRDefault="00E115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6284900"/>
      <w:docPartObj>
        <w:docPartGallery w:val="Page Numbers (Bottom of Page)"/>
        <w:docPartUnique/>
      </w:docPartObj>
    </w:sdtPr>
    <w:sdtEndPr>
      <w:rPr>
        <w:noProof/>
      </w:rPr>
    </w:sdtEndPr>
    <w:sdtContent>
      <w:p w14:paraId="7C4B9933" w14:textId="77777777" w:rsidR="00E115AD" w:rsidRDefault="00E115AD">
        <w:pPr>
          <w:pStyle w:val="Footer"/>
        </w:pPr>
        <w:r>
          <w:fldChar w:fldCharType="begin"/>
        </w:r>
        <w:r>
          <w:instrText xml:space="preserve"> PAGE   \* MERGEFORMAT </w:instrText>
        </w:r>
        <w:r>
          <w:fldChar w:fldCharType="separate"/>
        </w:r>
        <w:r>
          <w:rPr>
            <w:noProof/>
          </w:rPr>
          <w:t>2</w:t>
        </w:r>
        <w:r>
          <w:rPr>
            <w:noProof/>
          </w:rPr>
          <w:fldChar w:fldCharType="end"/>
        </w:r>
      </w:p>
    </w:sdtContent>
  </w:sdt>
  <w:p w14:paraId="7C4B9934" w14:textId="77777777" w:rsidR="00E115AD" w:rsidRDefault="00E115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4B9931" w14:textId="77777777" w:rsidR="008B4595" w:rsidRDefault="00E115AD">
      <w:r>
        <w:separator/>
      </w:r>
    </w:p>
  </w:footnote>
  <w:footnote w:type="continuationSeparator" w:id="0">
    <w:p w14:paraId="7C4B9932" w14:textId="77777777" w:rsidR="008B4595" w:rsidRDefault="00E115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9CB6769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47225ED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258299420">
    <w:abstractNumId w:val="0"/>
  </w:num>
  <w:num w:numId="2" w16cid:durableId="1719084710">
    <w:abstractNumId w:val="0"/>
  </w:num>
  <w:num w:numId="3" w16cid:durableId="1829398113">
    <w:abstractNumId w:val="1"/>
  </w:num>
  <w:num w:numId="4" w16cid:durableId="6562241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B4595"/>
    <w:rsid w:val="000D5CDA"/>
    <w:rsid w:val="000F26A1"/>
    <w:rsid w:val="005F3C73"/>
    <w:rsid w:val="006003DF"/>
    <w:rsid w:val="006370FF"/>
    <w:rsid w:val="00682525"/>
    <w:rsid w:val="006C1A23"/>
    <w:rsid w:val="0071777C"/>
    <w:rsid w:val="0072498A"/>
    <w:rsid w:val="008B4595"/>
    <w:rsid w:val="00AB1986"/>
    <w:rsid w:val="00AF3F71"/>
    <w:rsid w:val="00B14CE0"/>
    <w:rsid w:val="00DC191D"/>
    <w:rsid w:val="00E115AD"/>
    <w:rsid w:val="00EA170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B98A3"/>
  <w15:docId w15:val="{FE7F5CB4-6527-43D1-BA73-3E1552EB3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footer"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A76712"/>
    <w:pPr>
      <w:keepNext/>
      <w:keepLines/>
      <w:spacing w:before="480" w:after="0"/>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A76712"/>
    <w:pPr>
      <w:keepNext/>
      <w:keepLines/>
      <w:spacing w:before="200" w:after="0"/>
      <w:outlineLvl w:val="1"/>
    </w:pPr>
    <w:rPr>
      <w:rFonts w:asciiTheme="majorHAnsi" w:eastAsiaTheme="majorEastAsia" w:hAnsiTheme="majorHAnsi" w:cstheme="majorBidi"/>
      <w:b/>
      <w:bCs/>
      <w:i/>
      <w:sz w:val="28"/>
      <w:szCs w:val="28"/>
    </w:rPr>
  </w:style>
  <w:style w:type="paragraph" w:styleId="Heading3">
    <w:name w:val="heading 3"/>
    <w:basedOn w:val="Normal"/>
    <w:next w:val="BodyText"/>
    <w:uiPriority w:val="9"/>
    <w:unhideWhenUsed/>
    <w:qFormat/>
    <w:rsid w:val="00A76712"/>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BodyText"/>
    <w:uiPriority w:val="9"/>
    <w:unhideWhenUsed/>
    <w:qFormat/>
    <w:rsid w:val="00E10F89"/>
    <w:pPr>
      <w:keepNext/>
      <w:keepLines/>
      <w:spacing w:before="200" w:after="0"/>
      <w:outlineLvl w:val="3"/>
    </w:pPr>
    <w:rPr>
      <w:rFonts w:asciiTheme="majorHAnsi" w:eastAsiaTheme="majorEastAsia" w:hAnsiTheme="majorHAnsi" w:cstheme="majorBidi"/>
      <w:bCs/>
      <w:i/>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114CEB"/>
    <w:pPr>
      <w:spacing w:before="60" w:after="60" w:line="160" w:lineRule="exact"/>
    </w:pPr>
    <w:rPr>
      <w:i/>
      <w:sz w:val="20"/>
    </w:rPr>
  </w:style>
  <w:style w:type="paragraph" w:styleId="Title">
    <w:name w:val="Title"/>
    <w:basedOn w:val="Normal"/>
    <w:next w:val="BodyText"/>
    <w:qFormat/>
    <w:rsid w:val="00C707F3"/>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E10F89"/>
    <w:pPr>
      <w:keepNext/>
      <w:keepLines/>
      <w:jc w:val="center"/>
    </w:pPr>
    <w:rPr>
      <w:i/>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C707F3"/>
    <w:pPr>
      <w:keepNext/>
    </w:pPr>
    <w:rPr>
      <w:i w:val="0"/>
    </w:r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E10F89"/>
    <w:pPr>
      <w:spacing w:before="240" w:line="259" w:lineRule="auto"/>
      <w:outlineLvl w:val="9"/>
    </w:pPr>
    <w:rPr>
      <w:b w:val="0"/>
      <w:bCs w:val="0"/>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TOC1">
    <w:name w:val="toc 1"/>
    <w:basedOn w:val="Normal"/>
    <w:next w:val="Normal"/>
    <w:autoRedefine/>
    <w:uiPriority w:val="39"/>
    <w:rsid w:val="00E10F89"/>
    <w:pPr>
      <w:spacing w:after="100"/>
    </w:pPr>
  </w:style>
  <w:style w:type="paragraph" w:styleId="TOC2">
    <w:name w:val="toc 2"/>
    <w:basedOn w:val="Normal"/>
    <w:next w:val="Normal"/>
    <w:autoRedefine/>
    <w:uiPriority w:val="39"/>
    <w:rsid w:val="00E10F89"/>
    <w:pPr>
      <w:spacing w:after="100"/>
      <w:ind w:left="240"/>
    </w:pPr>
  </w:style>
  <w:style w:type="paragraph" w:styleId="Header">
    <w:name w:val="header"/>
    <w:basedOn w:val="Normal"/>
    <w:link w:val="HeaderChar"/>
    <w:rsid w:val="00E10F89"/>
    <w:pPr>
      <w:tabs>
        <w:tab w:val="center" w:pos="4680"/>
        <w:tab w:val="right" w:pos="9360"/>
      </w:tabs>
      <w:spacing w:after="0"/>
    </w:pPr>
  </w:style>
  <w:style w:type="character" w:customStyle="1" w:styleId="HeaderChar">
    <w:name w:val="Header Char"/>
    <w:basedOn w:val="DefaultParagraphFont"/>
    <w:link w:val="Header"/>
    <w:rsid w:val="00E10F89"/>
  </w:style>
  <w:style w:type="paragraph" w:styleId="Footer">
    <w:name w:val="footer"/>
    <w:basedOn w:val="Normal"/>
    <w:link w:val="FooterChar"/>
    <w:uiPriority w:val="99"/>
    <w:rsid w:val="00E10F89"/>
    <w:pPr>
      <w:tabs>
        <w:tab w:val="center" w:pos="4680"/>
        <w:tab w:val="right" w:pos="9360"/>
      </w:tabs>
      <w:spacing w:after="0"/>
    </w:pPr>
  </w:style>
  <w:style w:type="character" w:customStyle="1" w:styleId="FooterChar">
    <w:name w:val="Footer Char"/>
    <w:basedOn w:val="DefaultParagraphFont"/>
    <w:link w:val="Footer"/>
    <w:uiPriority w:val="99"/>
    <w:rsid w:val="00E10F89"/>
  </w:style>
  <w:style w:type="character" w:styleId="PageNumber">
    <w:name w:val="page number"/>
    <w:basedOn w:val="DefaultParagraphFont"/>
    <w:rsid w:val="00C707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RAN.R-project.org/package=DHARMa"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jstatsoft.org/v40/i03/" TargetMode="External"/><Relationship Id="rId17" Type="http://schemas.openxmlformats.org/officeDocument/2006/relationships/hyperlink" Target="https://CRAN.R-project.org/package=kableExtra" TargetMode="External"/><Relationship Id="rId2" Type="http://schemas.openxmlformats.org/officeDocument/2006/relationships/styles" Target="styles.xml"/><Relationship Id="rId16" Type="http://schemas.openxmlformats.org/officeDocument/2006/relationships/hyperlink" Target="https://CRAN.R-project.org/package=dplyr"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gplot2.tidyverse.org"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R-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10</Pages>
  <Words>1422</Words>
  <Characters>8111</Characters>
  <Application>Microsoft Office Word</Application>
  <DocSecurity>0</DocSecurity>
  <Lines>67</Lines>
  <Paragraphs>19</Paragraphs>
  <ScaleCrop>false</ScaleCrop>
  <Company/>
  <LinksUpToDate>false</LinksUpToDate>
  <CharactersWithSpaces>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Size considerations for Seba Aljomaa’s RCT Project</dc:title>
  <dc:creator>Márton Kiss, MD</dc:creator>
  <cp:keywords/>
  <cp:lastModifiedBy>Kiss Marton</cp:lastModifiedBy>
  <cp:revision>15</cp:revision>
  <dcterms:created xsi:type="dcterms:W3CDTF">2024-11-27T12:13:00Z</dcterms:created>
  <dcterms:modified xsi:type="dcterms:W3CDTF">2024-11-27T12:26:00Z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2024-11-27</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