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E5C5F" w14:textId="77777777" w:rsidR="00045DB8" w:rsidRDefault="005523F1">
      <w:pPr>
        <w:pStyle w:val="Title"/>
      </w:pPr>
      <w:r>
        <w:t>Sample size considerations for Tari Erika’s RCT</w:t>
      </w:r>
    </w:p>
    <w:p w14:paraId="64CE5C60" w14:textId="77777777" w:rsidR="00045DB8" w:rsidRDefault="005523F1">
      <w:pPr>
        <w:pStyle w:val="Author"/>
      </w:pPr>
      <w:r>
        <w:t>Márton Kiss, MD</w:t>
      </w:r>
    </w:p>
    <w:sdt>
      <w:sdtPr>
        <w:rPr>
          <w:rFonts w:asciiTheme="minorHAnsi" w:eastAsiaTheme="minorHAnsi" w:hAnsiTheme="minorHAnsi" w:cstheme="minorBidi"/>
          <w:sz w:val="24"/>
          <w:szCs w:val="24"/>
        </w:rPr>
        <w:id w:val="1471012964"/>
        <w:docPartObj>
          <w:docPartGallery w:val="Table of Contents"/>
          <w:docPartUnique/>
        </w:docPartObj>
      </w:sdtPr>
      <w:sdtEndPr/>
      <w:sdtContent>
        <w:p w14:paraId="64CE5C61" w14:textId="77777777" w:rsidR="00045DB8" w:rsidRDefault="005523F1">
          <w:pPr>
            <w:pStyle w:val="TOCHeading"/>
          </w:pPr>
          <w:r>
            <w:t>Table of contents</w:t>
          </w:r>
        </w:p>
        <w:p w14:paraId="016A271E" w14:textId="5938101F" w:rsidR="00BF5293" w:rsidRDefault="005523F1">
          <w:pPr>
            <w:pStyle w:val="TOC1"/>
            <w:tabs>
              <w:tab w:val="right" w:leader="dot" w:pos="9350"/>
            </w:tabs>
            <w:rPr>
              <w:rFonts w:eastAsiaTheme="minorEastAsia"/>
              <w:noProof/>
              <w:kern w:val="2"/>
              <w14:ligatures w14:val="standardContextual"/>
            </w:rPr>
          </w:pPr>
          <w:r>
            <w:fldChar w:fldCharType="begin"/>
          </w:r>
          <w:r>
            <w:instrText>TOC \o "1-2" \h \z \u</w:instrText>
          </w:r>
          <w:r>
            <w:fldChar w:fldCharType="separate"/>
          </w:r>
          <w:hyperlink w:anchor="_Toc188618436" w:history="1">
            <w:r w:rsidR="00BF5293" w:rsidRPr="001836B3">
              <w:rPr>
                <w:rStyle w:val="Hyperlink"/>
                <w:noProof/>
              </w:rPr>
              <w:t>Executive summary</w:t>
            </w:r>
            <w:r w:rsidR="00BF5293">
              <w:rPr>
                <w:noProof/>
                <w:webHidden/>
              </w:rPr>
              <w:tab/>
            </w:r>
            <w:r w:rsidR="00BF5293">
              <w:rPr>
                <w:noProof/>
                <w:webHidden/>
              </w:rPr>
              <w:fldChar w:fldCharType="begin"/>
            </w:r>
            <w:r w:rsidR="00BF5293">
              <w:rPr>
                <w:noProof/>
                <w:webHidden/>
              </w:rPr>
              <w:instrText xml:space="preserve"> PAGEREF _Toc188618436 \h </w:instrText>
            </w:r>
            <w:r w:rsidR="00BF5293">
              <w:rPr>
                <w:noProof/>
                <w:webHidden/>
              </w:rPr>
            </w:r>
            <w:r w:rsidR="00BF5293">
              <w:rPr>
                <w:noProof/>
                <w:webHidden/>
              </w:rPr>
              <w:fldChar w:fldCharType="separate"/>
            </w:r>
            <w:r w:rsidR="00BF5293">
              <w:rPr>
                <w:noProof/>
                <w:webHidden/>
              </w:rPr>
              <w:t>2</w:t>
            </w:r>
            <w:r w:rsidR="00BF5293">
              <w:rPr>
                <w:noProof/>
                <w:webHidden/>
              </w:rPr>
              <w:fldChar w:fldCharType="end"/>
            </w:r>
          </w:hyperlink>
        </w:p>
        <w:p w14:paraId="606B5162" w14:textId="144CBE5B" w:rsidR="00BF5293" w:rsidRDefault="00BF5293">
          <w:pPr>
            <w:pStyle w:val="TOC1"/>
            <w:tabs>
              <w:tab w:val="right" w:leader="dot" w:pos="9350"/>
            </w:tabs>
            <w:rPr>
              <w:rFonts w:eastAsiaTheme="minorEastAsia"/>
              <w:noProof/>
              <w:kern w:val="2"/>
              <w14:ligatures w14:val="standardContextual"/>
            </w:rPr>
          </w:pPr>
          <w:hyperlink w:anchor="_Toc188618437" w:history="1">
            <w:r w:rsidRPr="001836B3">
              <w:rPr>
                <w:rStyle w:val="Hyperlink"/>
                <w:noProof/>
              </w:rPr>
              <w:t>Detailed results</w:t>
            </w:r>
            <w:r>
              <w:rPr>
                <w:noProof/>
                <w:webHidden/>
              </w:rPr>
              <w:tab/>
            </w:r>
            <w:r>
              <w:rPr>
                <w:noProof/>
                <w:webHidden/>
              </w:rPr>
              <w:fldChar w:fldCharType="begin"/>
            </w:r>
            <w:r>
              <w:rPr>
                <w:noProof/>
                <w:webHidden/>
              </w:rPr>
              <w:instrText xml:space="preserve"> PAGEREF _Toc188618437 \h </w:instrText>
            </w:r>
            <w:r>
              <w:rPr>
                <w:noProof/>
                <w:webHidden/>
              </w:rPr>
            </w:r>
            <w:r>
              <w:rPr>
                <w:noProof/>
                <w:webHidden/>
              </w:rPr>
              <w:fldChar w:fldCharType="separate"/>
            </w:r>
            <w:r>
              <w:rPr>
                <w:noProof/>
                <w:webHidden/>
              </w:rPr>
              <w:t>3</w:t>
            </w:r>
            <w:r>
              <w:rPr>
                <w:noProof/>
                <w:webHidden/>
              </w:rPr>
              <w:fldChar w:fldCharType="end"/>
            </w:r>
          </w:hyperlink>
        </w:p>
        <w:p w14:paraId="101E123E" w14:textId="056CB0B6" w:rsidR="00BF5293" w:rsidRDefault="00BF5293">
          <w:pPr>
            <w:pStyle w:val="TOC2"/>
            <w:tabs>
              <w:tab w:val="right" w:leader="dot" w:pos="9350"/>
            </w:tabs>
            <w:rPr>
              <w:rFonts w:eastAsiaTheme="minorEastAsia"/>
              <w:noProof/>
              <w:kern w:val="2"/>
              <w14:ligatures w14:val="standardContextual"/>
            </w:rPr>
          </w:pPr>
          <w:hyperlink w:anchor="_Toc188618438" w:history="1">
            <w:r w:rsidRPr="001836B3">
              <w:rPr>
                <w:rStyle w:val="Hyperlink"/>
                <w:noProof/>
              </w:rPr>
              <w:t>Parameters used</w:t>
            </w:r>
            <w:r>
              <w:rPr>
                <w:noProof/>
                <w:webHidden/>
              </w:rPr>
              <w:tab/>
            </w:r>
            <w:r>
              <w:rPr>
                <w:noProof/>
                <w:webHidden/>
              </w:rPr>
              <w:fldChar w:fldCharType="begin"/>
            </w:r>
            <w:r>
              <w:rPr>
                <w:noProof/>
                <w:webHidden/>
              </w:rPr>
              <w:instrText xml:space="preserve"> PAGEREF _Toc188618438 \h </w:instrText>
            </w:r>
            <w:r>
              <w:rPr>
                <w:noProof/>
                <w:webHidden/>
              </w:rPr>
            </w:r>
            <w:r>
              <w:rPr>
                <w:noProof/>
                <w:webHidden/>
              </w:rPr>
              <w:fldChar w:fldCharType="separate"/>
            </w:r>
            <w:r>
              <w:rPr>
                <w:noProof/>
                <w:webHidden/>
              </w:rPr>
              <w:t>3</w:t>
            </w:r>
            <w:r>
              <w:rPr>
                <w:noProof/>
                <w:webHidden/>
              </w:rPr>
              <w:fldChar w:fldCharType="end"/>
            </w:r>
          </w:hyperlink>
        </w:p>
        <w:p w14:paraId="6CAE9A34" w14:textId="0443C480" w:rsidR="00BF5293" w:rsidRDefault="00BF5293">
          <w:pPr>
            <w:pStyle w:val="TOC2"/>
            <w:tabs>
              <w:tab w:val="right" w:leader="dot" w:pos="9350"/>
            </w:tabs>
            <w:rPr>
              <w:rFonts w:eastAsiaTheme="minorEastAsia"/>
              <w:noProof/>
              <w:kern w:val="2"/>
              <w14:ligatures w14:val="standardContextual"/>
            </w:rPr>
          </w:pPr>
          <w:hyperlink w:anchor="_Toc188618439" w:history="1">
            <w:r w:rsidRPr="001836B3">
              <w:rPr>
                <w:rStyle w:val="Hyperlink"/>
                <w:noProof/>
              </w:rPr>
              <w:t>Explanation of the interim analysis</w:t>
            </w:r>
            <w:r>
              <w:rPr>
                <w:noProof/>
                <w:webHidden/>
              </w:rPr>
              <w:tab/>
            </w:r>
            <w:r>
              <w:rPr>
                <w:noProof/>
                <w:webHidden/>
              </w:rPr>
              <w:fldChar w:fldCharType="begin"/>
            </w:r>
            <w:r>
              <w:rPr>
                <w:noProof/>
                <w:webHidden/>
              </w:rPr>
              <w:instrText xml:space="preserve"> PAGEREF _Toc188618439 \h </w:instrText>
            </w:r>
            <w:r>
              <w:rPr>
                <w:noProof/>
                <w:webHidden/>
              </w:rPr>
            </w:r>
            <w:r>
              <w:rPr>
                <w:noProof/>
                <w:webHidden/>
              </w:rPr>
              <w:fldChar w:fldCharType="separate"/>
            </w:r>
            <w:r>
              <w:rPr>
                <w:noProof/>
                <w:webHidden/>
              </w:rPr>
              <w:t>3</w:t>
            </w:r>
            <w:r>
              <w:rPr>
                <w:noProof/>
                <w:webHidden/>
              </w:rPr>
              <w:fldChar w:fldCharType="end"/>
            </w:r>
          </w:hyperlink>
        </w:p>
        <w:p w14:paraId="015EBA40" w14:textId="649AFF87" w:rsidR="00BF5293" w:rsidRDefault="00BF5293">
          <w:pPr>
            <w:pStyle w:val="TOC2"/>
            <w:tabs>
              <w:tab w:val="right" w:leader="dot" w:pos="9350"/>
            </w:tabs>
            <w:rPr>
              <w:rFonts w:eastAsiaTheme="minorEastAsia"/>
              <w:noProof/>
              <w:kern w:val="2"/>
              <w14:ligatures w14:val="standardContextual"/>
            </w:rPr>
          </w:pPr>
          <w:hyperlink w:anchor="_Toc188618440" w:history="1">
            <w:r w:rsidRPr="001836B3">
              <w:rPr>
                <w:rStyle w:val="Hyperlink"/>
                <w:noProof/>
              </w:rPr>
              <w:t>Robustness of results</w:t>
            </w:r>
            <w:r>
              <w:rPr>
                <w:noProof/>
                <w:webHidden/>
              </w:rPr>
              <w:tab/>
            </w:r>
            <w:r>
              <w:rPr>
                <w:noProof/>
                <w:webHidden/>
              </w:rPr>
              <w:fldChar w:fldCharType="begin"/>
            </w:r>
            <w:r>
              <w:rPr>
                <w:noProof/>
                <w:webHidden/>
              </w:rPr>
              <w:instrText xml:space="preserve"> PAGEREF _Toc188618440 \h </w:instrText>
            </w:r>
            <w:r>
              <w:rPr>
                <w:noProof/>
                <w:webHidden/>
              </w:rPr>
            </w:r>
            <w:r>
              <w:rPr>
                <w:noProof/>
                <w:webHidden/>
              </w:rPr>
              <w:fldChar w:fldCharType="separate"/>
            </w:r>
            <w:r>
              <w:rPr>
                <w:noProof/>
                <w:webHidden/>
              </w:rPr>
              <w:t>3</w:t>
            </w:r>
            <w:r>
              <w:rPr>
                <w:noProof/>
                <w:webHidden/>
              </w:rPr>
              <w:fldChar w:fldCharType="end"/>
            </w:r>
          </w:hyperlink>
        </w:p>
        <w:p w14:paraId="2A1BD862" w14:textId="4E4DFF15" w:rsidR="00BF5293" w:rsidRDefault="00BF5293">
          <w:pPr>
            <w:pStyle w:val="TOC1"/>
            <w:tabs>
              <w:tab w:val="right" w:leader="dot" w:pos="9350"/>
            </w:tabs>
            <w:rPr>
              <w:rFonts w:eastAsiaTheme="minorEastAsia"/>
              <w:noProof/>
              <w:kern w:val="2"/>
              <w14:ligatures w14:val="standardContextual"/>
            </w:rPr>
          </w:pPr>
          <w:hyperlink w:anchor="_Toc188618441" w:history="1">
            <w:r w:rsidRPr="001836B3">
              <w:rPr>
                <w:rStyle w:val="Hyperlink"/>
                <w:noProof/>
              </w:rPr>
              <w:t>Remarks</w:t>
            </w:r>
            <w:r>
              <w:rPr>
                <w:noProof/>
                <w:webHidden/>
              </w:rPr>
              <w:tab/>
            </w:r>
            <w:r>
              <w:rPr>
                <w:noProof/>
                <w:webHidden/>
              </w:rPr>
              <w:fldChar w:fldCharType="begin"/>
            </w:r>
            <w:r>
              <w:rPr>
                <w:noProof/>
                <w:webHidden/>
              </w:rPr>
              <w:instrText xml:space="preserve"> PAGEREF _Toc188618441 \h </w:instrText>
            </w:r>
            <w:r>
              <w:rPr>
                <w:noProof/>
                <w:webHidden/>
              </w:rPr>
            </w:r>
            <w:r>
              <w:rPr>
                <w:noProof/>
                <w:webHidden/>
              </w:rPr>
              <w:fldChar w:fldCharType="separate"/>
            </w:r>
            <w:r>
              <w:rPr>
                <w:noProof/>
                <w:webHidden/>
              </w:rPr>
              <w:t>6</w:t>
            </w:r>
            <w:r>
              <w:rPr>
                <w:noProof/>
                <w:webHidden/>
              </w:rPr>
              <w:fldChar w:fldCharType="end"/>
            </w:r>
          </w:hyperlink>
        </w:p>
        <w:p w14:paraId="0948E4BF" w14:textId="2A4156CE" w:rsidR="00BF5293" w:rsidRDefault="00BF5293">
          <w:pPr>
            <w:pStyle w:val="TOC2"/>
            <w:tabs>
              <w:tab w:val="right" w:leader="dot" w:pos="9350"/>
            </w:tabs>
            <w:rPr>
              <w:rFonts w:eastAsiaTheme="minorEastAsia"/>
              <w:noProof/>
              <w:kern w:val="2"/>
              <w14:ligatures w14:val="standardContextual"/>
            </w:rPr>
          </w:pPr>
          <w:hyperlink w:anchor="_Toc188618442" w:history="1">
            <w:r w:rsidRPr="001836B3">
              <w:rPr>
                <w:rStyle w:val="Hyperlink"/>
                <w:noProof/>
              </w:rPr>
              <w:t>References</w:t>
            </w:r>
            <w:r>
              <w:rPr>
                <w:noProof/>
                <w:webHidden/>
              </w:rPr>
              <w:tab/>
            </w:r>
            <w:r>
              <w:rPr>
                <w:noProof/>
                <w:webHidden/>
              </w:rPr>
              <w:fldChar w:fldCharType="begin"/>
            </w:r>
            <w:r>
              <w:rPr>
                <w:noProof/>
                <w:webHidden/>
              </w:rPr>
              <w:instrText xml:space="preserve"> PAGEREF _Toc188618442 \h </w:instrText>
            </w:r>
            <w:r>
              <w:rPr>
                <w:noProof/>
                <w:webHidden/>
              </w:rPr>
            </w:r>
            <w:r>
              <w:rPr>
                <w:noProof/>
                <w:webHidden/>
              </w:rPr>
              <w:fldChar w:fldCharType="separate"/>
            </w:r>
            <w:r>
              <w:rPr>
                <w:noProof/>
                <w:webHidden/>
              </w:rPr>
              <w:t>6</w:t>
            </w:r>
            <w:r>
              <w:rPr>
                <w:noProof/>
                <w:webHidden/>
              </w:rPr>
              <w:fldChar w:fldCharType="end"/>
            </w:r>
          </w:hyperlink>
        </w:p>
        <w:p w14:paraId="64CE5C62" w14:textId="4C7C3AC1" w:rsidR="00045DB8" w:rsidRDefault="005523F1">
          <w:r>
            <w:fldChar w:fldCharType="end"/>
          </w:r>
        </w:p>
      </w:sdtContent>
    </w:sdt>
    <w:p w14:paraId="64CE5C63" w14:textId="77777777" w:rsidR="00045DB8" w:rsidRDefault="005523F1">
      <w:r>
        <w:br w:type="page"/>
      </w:r>
    </w:p>
    <w:p w14:paraId="64CE5C64" w14:textId="77777777" w:rsidR="00045DB8" w:rsidRDefault="005523F1">
      <w:pPr>
        <w:pStyle w:val="Heading1"/>
      </w:pPr>
      <w:bookmarkStart w:id="0" w:name="executive-summary"/>
      <w:bookmarkStart w:id="1" w:name="_Toc188618436"/>
      <w:r>
        <w:lastRenderedPageBreak/>
        <w:t>Executive summary</w:t>
      </w:r>
      <w:bookmarkEnd w:id="1"/>
    </w:p>
    <w:p w14:paraId="3713AD22" w14:textId="77777777" w:rsidR="007B27DB" w:rsidRDefault="005523F1">
      <w:pPr>
        <w:pStyle w:val="FirstParagraph"/>
      </w:pPr>
      <w:r>
        <w:t xml:space="preserve">The suggested sample size of this 2-arm RCT investigating a composite event via survival analysis where the incidence of the events are hypothesized to be 5% and 30% in the treatment and control arms, respectively, is 46 patients per arm, or a </w:t>
      </w:r>
      <w:r>
        <w:rPr>
          <w:b/>
          <w:bCs/>
        </w:rPr>
        <w:t>total</w:t>
      </w:r>
      <w:r>
        <w:t xml:space="preserve"> of </w:t>
      </w:r>
      <w:r>
        <w:rPr>
          <w:b/>
          <w:bCs/>
        </w:rPr>
        <w:t>92 patients</w:t>
      </w:r>
      <w:r>
        <w:t xml:space="preserve"> for the study with an </w:t>
      </w:r>
      <w:r>
        <w:rPr>
          <w:b/>
          <w:bCs/>
        </w:rPr>
        <w:t>interim</w:t>
      </w:r>
      <w:r>
        <w:t xml:space="preserve"> analysis at 65% of the planned enrollment or after a total of </w:t>
      </w:r>
      <w:r>
        <w:rPr>
          <w:b/>
          <w:bCs/>
        </w:rPr>
        <w:t>60 patients</w:t>
      </w:r>
      <w:r>
        <w:t xml:space="preserve"> have been followed up successfully for 12 months. </w:t>
      </w:r>
    </w:p>
    <w:p w14:paraId="64CE5C65" w14:textId="1B52159B" w:rsidR="00045DB8" w:rsidRDefault="005523F1">
      <w:pPr>
        <w:pStyle w:val="FirstParagraph"/>
      </w:pPr>
      <w:r>
        <w:t>This higher-than-usual rate is recommended due to the minimum number of subjects required for a meaningful survival analysis at the interim coupled with the need for a reliable reestimation of the sample size at the interim.</w:t>
      </w:r>
    </w:p>
    <w:p w14:paraId="64CE5C66" w14:textId="77777777" w:rsidR="00045DB8" w:rsidRDefault="005523F1">
      <w:pPr>
        <w:numPr>
          <w:ilvl w:val="0"/>
          <w:numId w:val="3"/>
        </w:numPr>
      </w:pPr>
      <w:r>
        <w:t xml:space="preserve">For an interim analysis at 65% planned enrollment, the critical p-value should be </w:t>
      </w:r>
      <w:r>
        <w:rPr>
          <w:b/>
          <w:bCs/>
        </w:rPr>
        <w:t>0.0296</w:t>
      </w:r>
      <w:r>
        <w:t xml:space="preserve"> and the final analysis should be conducted at </w:t>
      </w:r>
      <w:r>
        <w:rPr>
          <w:b/>
          <w:bCs/>
        </w:rPr>
        <w:t>0.03341</w:t>
      </w:r>
      <w:r>
        <w:t>.</w:t>
      </w:r>
    </w:p>
    <w:p w14:paraId="64CE5C67" w14:textId="77777777" w:rsidR="00045DB8" w:rsidRDefault="005523F1">
      <w:pPr>
        <w:numPr>
          <w:ilvl w:val="0"/>
          <w:numId w:val="3"/>
        </w:numPr>
      </w:pPr>
      <w:r>
        <w:t>While the results do align well with the previous suggestion regarding the sample size, the new results show that we can conduct an interim analysis with adjusted (more stringent) significance levels while using data from censored (“dropped out”) patients. These two effects seem to cancel each other out leaving the sample size largely unaffected.</w:t>
      </w:r>
    </w:p>
    <w:p w14:paraId="64CE5C68" w14:textId="77777777" w:rsidR="00045DB8" w:rsidRDefault="005523F1">
      <w:pPr>
        <w:numPr>
          <w:ilvl w:val="0"/>
          <w:numId w:val="3"/>
        </w:numPr>
      </w:pPr>
      <w:r>
        <w:t>Based on the speed of enrollment, you may consider expanding the follow-up period. This does not necessarily mean that you have to follow up the last patient for an extended period of time, but if resources permit, it would seem to be wasteful to censor otherwise available patient data after a year.</w:t>
      </w:r>
    </w:p>
    <w:p w14:paraId="64CE5C69" w14:textId="77777777" w:rsidR="00045DB8" w:rsidRDefault="005523F1">
      <w:pPr>
        <w:pStyle w:val="FirstParagraph"/>
      </w:pPr>
      <w:r>
        <w:rPr>
          <w:noProof/>
        </w:rPr>
        <w:drawing>
          <wp:inline distT="0" distB="0" distL="0" distR="0" wp14:anchorId="64CE5C95" wp14:editId="64CE5C96">
            <wp:extent cx="5504749" cy="366983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_files/figure-docx/unnamed-chunk-9-1.png"/>
                    <pic:cNvPicPr>
                      <a:picLocks noChangeAspect="1" noChangeArrowheads="1"/>
                    </pic:cNvPicPr>
                  </pic:nvPicPr>
                  <pic:blipFill>
                    <a:blip r:embed="rId7"/>
                    <a:stretch>
                      <a:fillRect/>
                    </a:stretch>
                  </pic:blipFill>
                  <pic:spPr bwMode="auto">
                    <a:xfrm>
                      <a:off x="0" y="0"/>
                      <a:ext cx="5504749" cy="3669832"/>
                    </a:xfrm>
                    <a:prstGeom prst="rect">
                      <a:avLst/>
                    </a:prstGeom>
                    <a:noFill/>
                    <a:ln w="9525">
                      <a:noFill/>
                      <a:headEnd/>
                      <a:tailEnd/>
                    </a:ln>
                  </pic:spPr>
                </pic:pic>
              </a:graphicData>
            </a:graphic>
          </wp:inline>
        </w:drawing>
      </w:r>
    </w:p>
    <w:p w14:paraId="64CE5C6A" w14:textId="77777777" w:rsidR="00045DB8" w:rsidRDefault="005523F1">
      <w:pPr>
        <w:pStyle w:val="Heading1"/>
      </w:pPr>
      <w:bookmarkStart w:id="2" w:name="detailed-results"/>
      <w:bookmarkStart w:id="3" w:name="_Toc188618437"/>
      <w:bookmarkEnd w:id="0"/>
      <w:r>
        <w:lastRenderedPageBreak/>
        <w:t>Detailed results</w:t>
      </w:r>
      <w:bookmarkEnd w:id="3"/>
    </w:p>
    <w:p w14:paraId="64CE5C6B" w14:textId="77777777" w:rsidR="00045DB8" w:rsidRDefault="005523F1">
      <w:pPr>
        <w:pStyle w:val="Heading2"/>
      </w:pPr>
      <w:bookmarkStart w:id="4" w:name="parameters-used"/>
      <w:bookmarkStart w:id="5" w:name="_Toc188618438"/>
      <w:r>
        <w:t>Parameters used</w:t>
      </w:r>
      <w:bookmarkEnd w:id="5"/>
    </w:p>
    <w:p w14:paraId="64CE5C6C" w14:textId="77777777" w:rsidR="00045DB8" w:rsidRDefault="005523F1">
      <w:pPr>
        <w:pStyle w:val="Compact"/>
        <w:numPr>
          <w:ilvl w:val="0"/>
          <w:numId w:val="4"/>
        </w:numPr>
      </w:pPr>
      <w:r>
        <w:t>Power: at least 80%</w:t>
      </w:r>
    </w:p>
    <w:p w14:paraId="64CE5C6D" w14:textId="77777777" w:rsidR="00045DB8" w:rsidRDefault="005523F1">
      <w:pPr>
        <w:pStyle w:val="Compact"/>
        <w:numPr>
          <w:ilvl w:val="0"/>
          <w:numId w:val="4"/>
        </w:numPr>
      </w:pPr>
      <w:r>
        <w:t>Cox proportional hazards model</w:t>
      </w:r>
    </w:p>
    <w:p w14:paraId="64CE5C6E" w14:textId="77777777" w:rsidR="00045DB8" w:rsidRDefault="005523F1">
      <w:pPr>
        <w:pStyle w:val="Compact"/>
        <w:numPr>
          <w:ilvl w:val="0"/>
          <w:numId w:val="4"/>
        </w:numPr>
      </w:pPr>
      <w:r>
        <w:t xml:space="preserve">HR: 1 (no difference in the </w:t>
      </w:r>
      <w:r>
        <w:rPr>
          <w:iCs/>
        </w:rPr>
        <w:t>shape</w:t>
      </w:r>
      <w:r>
        <w:t xml:space="preserve"> of the survival curve between arms)</w:t>
      </w:r>
    </w:p>
    <w:p w14:paraId="64CE5C6F" w14:textId="77777777" w:rsidR="00045DB8" w:rsidRDefault="005523F1">
      <w:pPr>
        <w:pStyle w:val="Compact"/>
        <w:numPr>
          <w:ilvl w:val="0"/>
          <w:numId w:val="4"/>
        </w:numPr>
      </w:pPr>
      <w:r>
        <w:t>Proportion of events in the control arm: 30%</w:t>
      </w:r>
    </w:p>
    <w:p w14:paraId="64CE5C70" w14:textId="77777777" w:rsidR="00045DB8" w:rsidRDefault="005523F1">
      <w:pPr>
        <w:pStyle w:val="Compact"/>
        <w:numPr>
          <w:ilvl w:val="0"/>
          <w:numId w:val="4"/>
        </w:numPr>
      </w:pPr>
      <w:r>
        <w:t>Proportion of events in the treatment arm: 5%</w:t>
      </w:r>
    </w:p>
    <w:p w14:paraId="64CE5C71" w14:textId="77777777" w:rsidR="00045DB8" w:rsidRDefault="005523F1">
      <w:pPr>
        <w:pStyle w:val="Compact"/>
        <w:numPr>
          <w:ilvl w:val="0"/>
          <w:numId w:val="4"/>
        </w:numPr>
      </w:pPr>
      <w:r>
        <w:t>Proportion of patients censored before 360 days (“Dropout rate”): 25%</w:t>
      </w:r>
    </w:p>
    <w:p w14:paraId="64CE5C72" w14:textId="77777777" w:rsidR="00045DB8" w:rsidRDefault="005523F1">
      <w:pPr>
        <w:pStyle w:val="Compact"/>
        <w:numPr>
          <w:ilvl w:val="0"/>
          <w:numId w:val="4"/>
        </w:numPr>
      </w:pPr>
      <w:r>
        <w:t>Global significance level: 5%</w:t>
      </w:r>
    </w:p>
    <w:p w14:paraId="64CE5C73" w14:textId="77777777" w:rsidR="00045DB8" w:rsidRDefault="005523F1">
      <w:pPr>
        <w:pStyle w:val="Compact"/>
        <w:numPr>
          <w:ilvl w:val="0"/>
          <w:numId w:val="4"/>
        </w:numPr>
      </w:pPr>
      <w:r>
        <w:t xml:space="preserve">Hwang Shih DeCani (HSD) alpha spending framework with </w:t>
      </w:r>
      <m:oMath>
        <m:r>
          <w:rPr>
            <w:rFonts w:ascii="Cambria Math" w:hAnsi="Cambria Math"/>
          </w:rPr>
          <m:t>γ</m:t>
        </m:r>
        <m:r>
          <w:rPr>
            <w:rFonts w:ascii="Cambria Math" w:hAnsi="Cambria Math"/>
          </w:rPr>
          <m:t>=-</m:t>
        </m:r>
        <m:r>
          <w:rPr>
            <w:rFonts w:ascii="Cambria Math" w:hAnsi="Cambria Math"/>
          </w:rPr>
          <m:t>0.5</m:t>
        </m:r>
      </m:oMath>
    </w:p>
    <w:p w14:paraId="64CE5C74" w14:textId="77777777" w:rsidR="00045DB8" w:rsidRDefault="005523F1">
      <w:pPr>
        <w:pStyle w:val="Heading2"/>
      </w:pPr>
      <w:bookmarkStart w:id="6" w:name="explanation-of-the-interim-analysis"/>
      <w:bookmarkStart w:id="7" w:name="_Toc188618439"/>
      <w:bookmarkEnd w:id="4"/>
      <w:r>
        <w:t>Explanation of the interim analysis</w:t>
      </w:r>
      <w:bookmarkEnd w:id="7"/>
    </w:p>
    <w:p w14:paraId="64CE5C75" w14:textId="77777777" w:rsidR="00045DB8" w:rsidRDefault="005523F1">
      <w:pPr>
        <w:pStyle w:val="FirstParagraph"/>
      </w:pPr>
      <w:r>
        <w:t xml:space="preserve">The Hwang Shih DeCani (HSD) alpha spending framework was used to describe the adaptive element in the trial. Under this framework, only a </w:t>
      </w:r>
      <m:oMath>
        <m:r>
          <w:rPr>
            <w:rFonts w:ascii="Cambria Math" w:hAnsi="Cambria Math"/>
          </w:rPr>
          <m:t>γ</m:t>
        </m:r>
      </m:oMath>
      <w:r>
        <w:t xml:space="preserve"> parameter is fixed (taken to be -0.5), and the Investigator is free to choose when to conduct a (single) interim analysis.</w:t>
      </w:r>
    </w:p>
    <w:p w14:paraId="64CE5C76" w14:textId="77777777" w:rsidR="00045DB8" w:rsidRDefault="005523F1">
      <w:pPr>
        <w:pStyle w:val="BodyText"/>
      </w:pPr>
      <w:r>
        <w:t>An interim analysis after ~65% of the planned sample size is suggested. This would allow to have ~30 subjects / arm for the interim analysis, which is considered to be by some as the minimum number of subjects for a meaningful survival analysis. While this is debatable and lower numbers could be justified, it is a good rule of thumb to follow.</w:t>
      </w:r>
    </w:p>
    <w:p w14:paraId="64CE5C77" w14:textId="77777777" w:rsidR="00045DB8" w:rsidRDefault="005523F1">
      <w:pPr>
        <w:pStyle w:val="BodyText"/>
      </w:pPr>
      <w:r>
        <w:t>Sample size may be re-estimated after the data from the interim analysis become available.</w:t>
      </w:r>
    </w:p>
    <w:p w14:paraId="64CE5C78" w14:textId="77777777" w:rsidR="00045DB8" w:rsidRDefault="005523F1">
      <w:pPr>
        <w:pStyle w:val="BodyText"/>
      </w:pPr>
      <w:r>
        <w:t>Enrollment and continuous follow-up may be ongoing during the interim analysis. If the trial is to be stopped at the interim stage for success, the data collected during the interim may be presented separately.</w:t>
      </w:r>
    </w:p>
    <w:p w14:paraId="64CE5C79" w14:textId="77777777" w:rsidR="00045DB8" w:rsidRDefault="005523F1">
      <w:pPr>
        <w:pStyle w:val="Heading2"/>
      </w:pPr>
      <w:bookmarkStart w:id="8" w:name="robustness-of-results"/>
      <w:bookmarkStart w:id="9" w:name="_Toc188618440"/>
      <w:bookmarkEnd w:id="6"/>
      <w:r>
        <w:t>Robustness of results</w:t>
      </w:r>
      <w:bookmarkEnd w:id="9"/>
    </w:p>
    <w:p w14:paraId="64CE5C7A" w14:textId="0F1D9038" w:rsidR="00045DB8" w:rsidRDefault="005523F1">
      <w:pPr>
        <w:pStyle w:val="FirstParagraph"/>
      </w:pPr>
      <w:r>
        <w:t>The results are robust against deviations for the hypothesized ratio of early censored patients (“dropouts”); this is explained by the fact that in case of survival analysis, a patient lost to follow up at eg. 6 months without an event still contributes to the survival curve up to that point</w:t>
      </w:r>
      <w:r w:rsidR="00D356BA">
        <w:t xml:space="preserve"> so the impact of a </w:t>
      </w:r>
      <w:r w:rsidR="00F049FB">
        <w:t>“dropout” is relatively low</w:t>
      </w:r>
      <w:r>
        <w:t>.</w:t>
      </w:r>
    </w:p>
    <w:p w14:paraId="64CE5C7B" w14:textId="77777777" w:rsidR="00045DB8" w:rsidRDefault="005523F1">
      <w:pPr>
        <w:pStyle w:val="BodyText"/>
      </w:pPr>
      <w:r>
        <w:t xml:space="preserve">In contrast, the event rates impact the power of the study dramatically. The impact is mitigated by the adaptive element in the design; the re estimation of the sample size at the interim analysis therefore is highly recommended. Putting the interim analysis relatively late (ie. 65% of </w:t>
      </w:r>
      <w:r>
        <w:rPr>
          <w:i/>
          <w:iCs/>
        </w:rPr>
        <w:t>a priori</w:t>
      </w:r>
      <w:r>
        <w:t xml:space="preserve"> planned sample size) is recommended in this case so that at the interim a relatively robust re estimation of the sample size would be possible.</w:t>
      </w:r>
    </w:p>
    <w:p w14:paraId="64CE5C7C" w14:textId="387615FF" w:rsidR="00045DB8" w:rsidRDefault="005523F1">
      <w:pPr>
        <w:pStyle w:val="BodyText"/>
      </w:pPr>
      <w:r>
        <w:t xml:space="preserve">The timing of the interim analysis (aka. the information ratio - IR) does </w:t>
      </w:r>
      <w:r w:rsidR="00BF5293">
        <w:t>only</w:t>
      </w:r>
      <w:r>
        <w:t xml:space="preserve"> seem to have a minimal impact on the power of the study.</w:t>
      </w:r>
    </w:p>
    <w:p w14:paraId="64CE5C7D" w14:textId="77777777" w:rsidR="00045DB8" w:rsidRDefault="005523F1">
      <w:pPr>
        <w:pStyle w:val="BodyText"/>
      </w:pPr>
      <w:r>
        <w:rPr>
          <w:noProof/>
        </w:rPr>
        <w:lastRenderedPageBreak/>
        <w:drawing>
          <wp:inline distT="0" distB="0" distL="0" distR="0" wp14:anchorId="64CE5C97" wp14:editId="64CE5C98">
            <wp:extent cx="5504749" cy="366983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_files/figure-docx/unnamed-chunk-10-1.png"/>
                    <pic:cNvPicPr>
                      <a:picLocks noChangeAspect="1" noChangeArrowheads="1"/>
                    </pic:cNvPicPr>
                  </pic:nvPicPr>
                  <pic:blipFill>
                    <a:blip r:embed="rId8"/>
                    <a:stretch>
                      <a:fillRect/>
                    </a:stretch>
                  </pic:blipFill>
                  <pic:spPr bwMode="auto">
                    <a:xfrm>
                      <a:off x="0" y="0"/>
                      <a:ext cx="5504749" cy="3669832"/>
                    </a:xfrm>
                    <a:prstGeom prst="rect">
                      <a:avLst/>
                    </a:prstGeom>
                    <a:noFill/>
                    <a:ln w="9525">
                      <a:noFill/>
                      <a:headEnd/>
                      <a:tailEnd/>
                    </a:ln>
                  </pic:spPr>
                </pic:pic>
              </a:graphicData>
            </a:graphic>
          </wp:inline>
        </w:drawing>
      </w:r>
    </w:p>
    <w:p w14:paraId="64CE5C7E" w14:textId="77777777" w:rsidR="00045DB8" w:rsidRDefault="005523F1">
      <w:pPr>
        <w:pStyle w:val="BodyText"/>
      </w:pPr>
      <w:r>
        <w:rPr>
          <w:noProof/>
        </w:rPr>
        <w:drawing>
          <wp:inline distT="0" distB="0" distL="0" distR="0" wp14:anchorId="64CE5C99" wp14:editId="64CE5C9A">
            <wp:extent cx="5504749" cy="3669832"/>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ort_files/figure-docx/unnamed-chunk-11-1.png"/>
                    <pic:cNvPicPr>
                      <a:picLocks noChangeAspect="1" noChangeArrowheads="1"/>
                    </pic:cNvPicPr>
                  </pic:nvPicPr>
                  <pic:blipFill>
                    <a:blip r:embed="rId9"/>
                    <a:stretch>
                      <a:fillRect/>
                    </a:stretch>
                  </pic:blipFill>
                  <pic:spPr bwMode="auto">
                    <a:xfrm>
                      <a:off x="0" y="0"/>
                      <a:ext cx="5504749" cy="3669832"/>
                    </a:xfrm>
                    <a:prstGeom prst="rect">
                      <a:avLst/>
                    </a:prstGeom>
                    <a:noFill/>
                    <a:ln w="9525">
                      <a:noFill/>
                      <a:headEnd/>
                      <a:tailEnd/>
                    </a:ln>
                  </pic:spPr>
                </pic:pic>
              </a:graphicData>
            </a:graphic>
          </wp:inline>
        </w:drawing>
      </w:r>
    </w:p>
    <w:p w14:paraId="64CE5C7F" w14:textId="77777777" w:rsidR="00045DB8" w:rsidRDefault="005523F1">
      <w:pPr>
        <w:pStyle w:val="BodyText"/>
      </w:pPr>
      <w:r>
        <w:rPr>
          <w:noProof/>
        </w:rPr>
        <w:lastRenderedPageBreak/>
        <w:drawing>
          <wp:inline distT="0" distB="0" distL="0" distR="0" wp14:anchorId="64CE5C9B" wp14:editId="64CE5C9C">
            <wp:extent cx="5504749" cy="366983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port_files/figure-docx/unnamed-chunk-12-1.png"/>
                    <pic:cNvPicPr>
                      <a:picLocks noChangeAspect="1" noChangeArrowheads="1"/>
                    </pic:cNvPicPr>
                  </pic:nvPicPr>
                  <pic:blipFill>
                    <a:blip r:embed="rId10"/>
                    <a:stretch>
                      <a:fillRect/>
                    </a:stretch>
                  </pic:blipFill>
                  <pic:spPr bwMode="auto">
                    <a:xfrm>
                      <a:off x="0" y="0"/>
                      <a:ext cx="5504749" cy="3669832"/>
                    </a:xfrm>
                    <a:prstGeom prst="rect">
                      <a:avLst/>
                    </a:prstGeom>
                    <a:noFill/>
                    <a:ln w="9525">
                      <a:noFill/>
                      <a:headEnd/>
                      <a:tailEnd/>
                    </a:ln>
                  </pic:spPr>
                </pic:pic>
              </a:graphicData>
            </a:graphic>
          </wp:inline>
        </w:drawing>
      </w:r>
    </w:p>
    <w:p w14:paraId="64CE5C80" w14:textId="77777777" w:rsidR="00045DB8" w:rsidRDefault="005523F1">
      <w:r>
        <w:br w:type="page"/>
      </w:r>
    </w:p>
    <w:p w14:paraId="64CE5C81" w14:textId="77777777" w:rsidR="00045DB8" w:rsidRDefault="005523F1">
      <w:pPr>
        <w:pStyle w:val="Heading1"/>
      </w:pPr>
      <w:bookmarkStart w:id="10" w:name="remarks"/>
      <w:bookmarkStart w:id="11" w:name="_Toc188618441"/>
      <w:bookmarkEnd w:id="8"/>
      <w:bookmarkEnd w:id="2"/>
      <w:r>
        <w:lastRenderedPageBreak/>
        <w:t>Remarks</w:t>
      </w:r>
      <w:bookmarkEnd w:id="11"/>
    </w:p>
    <w:p w14:paraId="64CE5C82" w14:textId="77777777" w:rsidR="00045DB8" w:rsidRDefault="00045DB8">
      <w:pPr>
        <w:pStyle w:val="SourceCode"/>
      </w:pPr>
    </w:p>
    <w:p w14:paraId="64CE5C83" w14:textId="489FA88A" w:rsidR="00045DB8" w:rsidRDefault="00BF5293">
      <w:pPr>
        <w:pStyle w:val="Heading3"/>
      </w:pPr>
      <w:bookmarkStart w:id="12" w:name="Xd975bbd78198dd947303929e724d8aa5809362a"/>
      <w:r>
        <w:t>I</w:t>
      </w:r>
      <w:r w:rsidR="005523F1">
        <w:t>nformation regarding the document’s compilation</w:t>
      </w:r>
    </w:p>
    <w:p w14:paraId="64CE5C84" w14:textId="77777777" w:rsidR="00045DB8" w:rsidRDefault="005523F1">
      <w:pPr>
        <w:pStyle w:val="FirstParagraph"/>
      </w:pPr>
      <w:r>
        <w:t xml:space="preserve">Analyses were conducted using the R Statistical language (version 4.4.1; R Core Team, 2024) on Windows 11 x64 (build 26100), using the packages lubridate (version 1.9.3; Grolemund G, Wickham H, 2011), Hmisc (version 5.2.1; Harrell Jr F, 2024), rms (version 6.9.0; Harrell Jr FE, 2024), coxed (version 0.3.3; Jonathan K, Jeffrey H, 2020), nlme (version 3.1.166; Pinheiro J et al., 2024), gtsummary (version 2.0.4; Sjoberg D et al., 2021), ggfortify (version 0.4.17; Tang Y et al., 2016), survival (version 3.7.0; </w:t>
      </w:r>
      <w:r>
        <w:t>Therneau T, 2024), ggplot2 (version 3.5.1; Wickham H, 2016), dplyr (version 1.1.4; Wickham H et al., 2023), mgcv (version 1.9.1; Wood SN, 2011) and kableExtra (version 1.4.0; Zhu H, 2024).</w:t>
      </w:r>
    </w:p>
    <w:p w14:paraId="64CE5C85" w14:textId="77777777" w:rsidR="00045DB8" w:rsidRDefault="005523F1">
      <w:pPr>
        <w:pStyle w:val="Heading2"/>
      </w:pPr>
      <w:bookmarkStart w:id="13" w:name="references"/>
      <w:bookmarkStart w:id="14" w:name="_Toc188618442"/>
      <w:r>
        <w:t>References</w:t>
      </w:r>
      <w:bookmarkEnd w:id="14"/>
    </w:p>
    <w:p w14:paraId="64CE5C86" w14:textId="4628FEF5" w:rsidR="00045DB8" w:rsidRDefault="005523F1">
      <w:pPr>
        <w:pStyle w:val="Compact"/>
        <w:numPr>
          <w:ilvl w:val="0"/>
          <w:numId w:val="5"/>
        </w:numPr>
      </w:pPr>
      <w:r>
        <w:t xml:space="preserve">Grolemund G, Wickham H (2011). “Dates and Times Made Easy with lubridate.” </w:t>
      </w:r>
      <w:r>
        <w:rPr>
          <w:iCs/>
        </w:rPr>
        <w:t>Journal of Statistical Software</w:t>
      </w:r>
      <w:r>
        <w:t xml:space="preserve">, </w:t>
      </w:r>
      <w:r>
        <w:rPr>
          <w:iCs/>
        </w:rPr>
        <w:t>40</w:t>
      </w:r>
      <w:r>
        <w:t xml:space="preserve">(3), 1-25. </w:t>
      </w:r>
      <w:hyperlink r:id="rId11">
        <w:r>
          <w:rPr>
            <w:rStyle w:val="Hyperlink"/>
          </w:rPr>
          <w:t>https://www.jstatsoft.org/v40/i03/</w:t>
        </w:r>
      </w:hyperlink>
      <w:r>
        <w:t>.</w:t>
      </w:r>
    </w:p>
    <w:p w14:paraId="64CE5C87" w14:textId="33804B6D" w:rsidR="00045DB8" w:rsidRDefault="005523F1">
      <w:pPr>
        <w:pStyle w:val="Compact"/>
        <w:numPr>
          <w:ilvl w:val="0"/>
          <w:numId w:val="5"/>
        </w:numPr>
      </w:pPr>
      <w:r>
        <w:t xml:space="preserve">Harrell Jr F (2024). </w:t>
      </w:r>
      <w:r>
        <w:rPr>
          <w:iCs/>
        </w:rPr>
        <w:t>Hmisc: Harrell Miscellaneous</w:t>
      </w:r>
      <w:r>
        <w:t xml:space="preserve">. R package version 5.2-1, </w:t>
      </w:r>
      <w:hyperlink r:id="rId12">
        <w:r>
          <w:rPr>
            <w:rStyle w:val="Hyperlink"/>
          </w:rPr>
          <w:t>https://CRAN.R-project.org/package=Hmisc</w:t>
        </w:r>
      </w:hyperlink>
      <w:r>
        <w:t>.</w:t>
      </w:r>
    </w:p>
    <w:p w14:paraId="64CE5C88" w14:textId="6441C213" w:rsidR="00045DB8" w:rsidRDefault="005523F1">
      <w:pPr>
        <w:pStyle w:val="Compact"/>
        <w:numPr>
          <w:ilvl w:val="0"/>
          <w:numId w:val="5"/>
        </w:numPr>
      </w:pPr>
      <w:r>
        <w:t xml:space="preserve">Harrell Jr FE (2024). </w:t>
      </w:r>
      <w:r>
        <w:rPr>
          <w:iCs/>
        </w:rPr>
        <w:t>rms: Regression Modeling Strategies</w:t>
      </w:r>
      <w:r>
        <w:t xml:space="preserve">. R package version 6.9-0, </w:t>
      </w:r>
      <w:hyperlink r:id="rId13">
        <w:r>
          <w:rPr>
            <w:rStyle w:val="Hyperlink"/>
          </w:rPr>
          <w:t>https://CRAN.R-project.org/package=rms</w:t>
        </w:r>
      </w:hyperlink>
      <w:r>
        <w:t>.</w:t>
      </w:r>
    </w:p>
    <w:p w14:paraId="64CE5C89" w14:textId="4A31F802" w:rsidR="00045DB8" w:rsidRDefault="005523F1">
      <w:pPr>
        <w:pStyle w:val="Compact"/>
        <w:numPr>
          <w:ilvl w:val="0"/>
          <w:numId w:val="5"/>
        </w:numPr>
      </w:pPr>
      <w:r>
        <w:t xml:space="preserve">Jonathan K, Jeffrey J. H (2020). </w:t>
      </w:r>
      <w:r>
        <w:rPr>
          <w:iCs/>
        </w:rPr>
        <w:t>coxed: Duration-Based Quantities of Interest for the Cox Proportional Hazards Model</w:t>
      </w:r>
      <w:r>
        <w:t xml:space="preserve">. R package version 0.3.3, </w:t>
      </w:r>
      <w:hyperlink r:id="rId14">
        <w:r>
          <w:rPr>
            <w:rStyle w:val="Hyperlink"/>
          </w:rPr>
          <w:t>https://CRAN.R-project.org/package=coxed</w:t>
        </w:r>
      </w:hyperlink>
      <w:r>
        <w:t>.</w:t>
      </w:r>
    </w:p>
    <w:p w14:paraId="64CE5C8A" w14:textId="478F2200" w:rsidR="00045DB8" w:rsidRDefault="005523F1">
      <w:pPr>
        <w:pStyle w:val="Compact"/>
        <w:numPr>
          <w:ilvl w:val="0"/>
          <w:numId w:val="5"/>
        </w:numPr>
      </w:pPr>
      <w:r>
        <w:t xml:space="preserve">Pinheiro J, Bates D, R Core Team (2024). </w:t>
      </w:r>
      <w:r>
        <w:rPr>
          <w:iCs/>
        </w:rPr>
        <w:t>nlme: Linear and Nonlinear Mixed Effects Models</w:t>
      </w:r>
      <w:r>
        <w:t xml:space="preserve">. R package version 3.1-166, </w:t>
      </w:r>
      <w:hyperlink r:id="rId15">
        <w:r>
          <w:rPr>
            <w:rStyle w:val="Hyperlink"/>
          </w:rPr>
          <w:t>https://CRAN.R-project.org/package=nlme</w:t>
        </w:r>
      </w:hyperlink>
      <w:r>
        <w:t xml:space="preserve">. Pinheiro JC, Bates DM (2000). </w:t>
      </w:r>
      <w:r>
        <w:rPr>
          <w:iCs/>
        </w:rPr>
        <w:t>Mixed-Effects Models in S and S-PLUS</w:t>
      </w:r>
      <w:r>
        <w:t xml:space="preserve">. Springer, New York. doi:10.1007/b98882 </w:t>
      </w:r>
      <w:hyperlink r:id="rId16">
        <w:r>
          <w:rPr>
            <w:rStyle w:val="Hyperlink"/>
          </w:rPr>
          <w:t>https://doi.org/10.1007/b98882</w:t>
        </w:r>
      </w:hyperlink>
      <w:r>
        <w:t>.</w:t>
      </w:r>
    </w:p>
    <w:p w14:paraId="64CE5C8B" w14:textId="0ED4A470" w:rsidR="00045DB8" w:rsidRDefault="005523F1">
      <w:pPr>
        <w:pStyle w:val="Compact"/>
        <w:numPr>
          <w:ilvl w:val="0"/>
          <w:numId w:val="5"/>
        </w:numPr>
      </w:pPr>
      <w:r>
        <w:t xml:space="preserve">R Core Team (2024). </w:t>
      </w:r>
      <w:r>
        <w:rPr>
          <w:iCs/>
        </w:rPr>
        <w:t>R: A Language and Environment for Statistical Computing</w:t>
      </w:r>
      <w:r>
        <w:t xml:space="preserve">. R Foundation for Statistical Computing, Vienna, Austria. </w:t>
      </w:r>
      <w:hyperlink r:id="rId17">
        <w:r>
          <w:rPr>
            <w:rStyle w:val="Hyperlink"/>
          </w:rPr>
          <w:t>https://www.R-project.org/</w:t>
        </w:r>
      </w:hyperlink>
      <w:r>
        <w:t>.</w:t>
      </w:r>
    </w:p>
    <w:p w14:paraId="64CE5C8C" w14:textId="75401D44" w:rsidR="00045DB8" w:rsidRDefault="005523F1">
      <w:pPr>
        <w:pStyle w:val="Compact"/>
        <w:numPr>
          <w:ilvl w:val="0"/>
          <w:numId w:val="5"/>
        </w:numPr>
      </w:pPr>
      <w:r>
        <w:t xml:space="preserve">Sjoberg D, Whiting K, Curry M, Lavery J, Larmarange J (2021). “Reproducible Summary Tables with the gtsummary Package.” </w:t>
      </w:r>
      <w:r>
        <w:rPr>
          <w:iCs/>
        </w:rPr>
        <w:t>The R Journal</w:t>
      </w:r>
      <w:r>
        <w:t xml:space="preserve">, </w:t>
      </w:r>
      <w:r>
        <w:rPr>
          <w:iCs/>
        </w:rPr>
        <w:t>13</w:t>
      </w:r>
      <w:r>
        <w:t xml:space="preserve">, 570-580. doi:10.32614/RJ-2021-053 </w:t>
      </w:r>
      <w:hyperlink r:id="rId18">
        <w:r>
          <w:rPr>
            <w:rStyle w:val="Hyperlink"/>
          </w:rPr>
          <w:t>https://doi.org/10.32614/RJ-2021-053</w:t>
        </w:r>
      </w:hyperlink>
      <w:r>
        <w:t xml:space="preserve">, </w:t>
      </w:r>
      <w:hyperlink r:id="rId19">
        <w:r>
          <w:rPr>
            <w:rStyle w:val="Hyperlink"/>
          </w:rPr>
          <w:t>https://doi.org/10.32614/RJ-2021-053</w:t>
        </w:r>
      </w:hyperlink>
      <w:r>
        <w:t>.</w:t>
      </w:r>
    </w:p>
    <w:p w14:paraId="64CE5C8D" w14:textId="41294571" w:rsidR="00045DB8" w:rsidRDefault="005523F1">
      <w:pPr>
        <w:pStyle w:val="Compact"/>
        <w:numPr>
          <w:ilvl w:val="0"/>
          <w:numId w:val="5"/>
        </w:numPr>
      </w:pPr>
      <w:r>
        <w:t xml:space="preserve">Tang Y, Horikoshi M, Li W (2016). “ggfortify: Unified Interface to Visualize Statistical Result of Popular R Packages.” </w:t>
      </w:r>
      <w:r>
        <w:rPr>
          <w:iCs/>
        </w:rPr>
        <w:t>The R Journal</w:t>
      </w:r>
      <w:r>
        <w:t xml:space="preserve">, </w:t>
      </w:r>
      <w:r>
        <w:rPr>
          <w:iCs/>
        </w:rPr>
        <w:t>8</w:t>
      </w:r>
      <w:r>
        <w:t xml:space="preserve">(2), 474-485. doi:10.32614/RJ-2016-060 </w:t>
      </w:r>
      <w:hyperlink r:id="rId20">
        <w:r>
          <w:rPr>
            <w:rStyle w:val="Hyperlink"/>
          </w:rPr>
          <w:t>https://doi.org/10.32614/RJ-2016-060</w:t>
        </w:r>
      </w:hyperlink>
      <w:r>
        <w:t xml:space="preserve">, </w:t>
      </w:r>
      <w:hyperlink r:id="rId21">
        <w:r>
          <w:rPr>
            <w:rStyle w:val="Hyperlink"/>
          </w:rPr>
          <w:t>https://doi.org/10.32614/RJ-2016-060</w:t>
        </w:r>
      </w:hyperlink>
      <w:r>
        <w:t xml:space="preserve">. Horikoshi M, Tang Y (2018). </w:t>
      </w:r>
      <w:r>
        <w:rPr>
          <w:iCs/>
        </w:rPr>
        <w:t>ggfortify: Data Visualization Tools for Statistical Analysis Results</w:t>
      </w:r>
      <w:r>
        <w:t xml:space="preserve">. </w:t>
      </w:r>
      <w:hyperlink r:id="rId22">
        <w:r>
          <w:rPr>
            <w:rStyle w:val="Hyperlink"/>
          </w:rPr>
          <w:t>https://CRAN.R-project.org/package=ggfortify</w:t>
        </w:r>
      </w:hyperlink>
      <w:r>
        <w:t>.</w:t>
      </w:r>
    </w:p>
    <w:p w14:paraId="64CE5C8E" w14:textId="7AA1AD2C" w:rsidR="00045DB8" w:rsidRDefault="005523F1">
      <w:pPr>
        <w:pStyle w:val="Compact"/>
        <w:numPr>
          <w:ilvl w:val="0"/>
          <w:numId w:val="5"/>
        </w:numPr>
      </w:pPr>
      <w:r>
        <w:t xml:space="preserve">Therneau T (2024). </w:t>
      </w:r>
      <w:r>
        <w:rPr>
          <w:iCs/>
        </w:rPr>
        <w:t>A Package for Survival Analysis in R</w:t>
      </w:r>
      <w:r>
        <w:t xml:space="preserve">. R package version 3.7-0, </w:t>
      </w:r>
      <w:hyperlink r:id="rId23">
        <w:r>
          <w:rPr>
            <w:rStyle w:val="Hyperlink"/>
          </w:rPr>
          <w:t>https://CRAN.R-project.org/package=survival</w:t>
        </w:r>
      </w:hyperlink>
      <w:r>
        <w:t xml:space="preserve">. Terry M. Therneau, Patricia M. Grambsch (2000). </w:t>
      </w:r>
      <w:r>
        <w:rPr>
          <w:iCs/>
        </w:rPr>
        <w:t>Modeling Survival Data: Extending the Cox Model</w:t>
      </w:r>
      <w:r>
        <w:t>. Springer, New York. ISBN 0-387-98784-3.</w:t>
      </w:r>
    </w:p>
    <w:p w14:paraId="64CE5C8F" w14:textId="124991BD" w:rsidR="00045DB8" w:rsidRDefault="005523F1">
      <w:pPr>
        <w:pStyle w:val="Compact"/>
        <w:numPr>
          <w:ilvl w:val="0"/>
          <w:numId w:val="5"/>
        </w:numPr>
      </w:pPr>
      <w:r>
        <w:t xml:space="preserve">Wickham H (2016). </w:t>
      </w:r>
      <w:r>
        <w:rPr>
          <w:iCs/>
        </w:rPr>
        <w:t>ggplot2: Elegant Graphics for Data Analysis</w:t>
      </w:r>
      <w:r>
        <w:t xml:space="preserve">. Springer-Verlag New York. ISBN 978-3-319-24277-4, </w:t>
      </w:r>
      <w:hyperlink r:id="rId24">
        <w:r>
          <w:rPr>
            <w:rStyle w:val="Hyperlink"/>
          </w:rPr>
          <w:t>https://ggplot2.tidyverse.org</w:t>
        </w:r>
      </w:hyperlink>
      <w:r>
        <w:t>.</w:t>
      </w:r>
    </w:p>
    <w:p w14:paraId="64CE5C90" w14:textId="6D5098FE" w:rsidR="00045DB8" w:rsidRDefault="005523F1">
      <w:pPr>
        <w:pStyle w:val="Compact"/>
        <w:numPr>
          <w:ilvl w:val="0"/>
          <w:numId w:val="5"/>
        </w:numPr>
      </w:pPr>
      <w:r>
        <w:t xml:space="preserve">Wickham H, François R, Henry L, Müller K, Vaughan D (2023). </w:t>
      </w:r>
      <w:r>
        <w:rPr>
          <w:iCs/>
        </w:rPr>
        <w:t>dplyr: A Grammar of Data Manipulation</w:t>
      </w:r>
      <w:r>
        <w:t xml:space="preserve">. R package version 1.1.4, </w:t>
      </w:r>
      <w:hyperlink r:id="rId25">
        <w:r>
          <w:rPr>
            <w:rStyle w:val="Hyperlink"/>
          </w:rPr>
          <w:t>https://CRAN.R-project.org/package=dplyr</w:t>
        </w:r>
      </w:hyperlink>
      <w:r>
        <w:t>.</w:t>
      </w:r>
    </w:p>
    <w:p w14:paraId="64CE5C91" w14:textId="77777777" w:rsidR="00045DB8" w:rsidRDefault="005523F1">
      <w:pPr>
        <w:pStyle w:val="Compact"/>
        <w:numPr>
          <w:ilvl w:val="0"/>
          <w:numId w:val="5"/>
        </w:numPr>
      </w:pPr>
      <w:r>
        <w:t xml:space="preserve">Wood SN (2011). “Fast stable restricted maximum likelihood and marginal likelihood estimation of semiparametric generalized linear models.” </w:t>
      </w:r>
      <w:r>
        <w:rPr>
          <w:iCs/>
        </w:rPr>
        <w:t>Journal of the Royal Statistical Society (B)</w:t>
      </w:r>
      <w:r>
        <w:t xml:space="preserve">, </w:t>
      </w:r>
      <w:r>
        <w:rPr>
          <w:iCs/>
        </w:rPr>
        <w:t>73</w:t>
      </w:r>
      <w:r>
        <w:t xml:space="preserve">(1), 3-36. Wood S, N., Pya, S”afken B (2016). “Smoothing parameter and model selection for general smooth models (with discussion).” </w:t>
      </w:r>
      <w:r>
        <w:rPr>
          <w:iCs/>
        </w:rPr>
        <w:t>Journal of the American Statistical Association</w:t>
      </w:r>
      <w:r>
        <w:t xml:space="preserve">, </w:t>
      </w:r>
      <w:r>
        <w:rPr>
          <w:iCs/>
        </w:rPr>
        <w:t>111</w:t>
      </w:r>
      <w:r>
        <w:t xml:space="preserve">, 1548-1575. Wood SN (2004). “Stable and efficient multiple smoothing parameter estimation for generalized additive models.” </w:t>
      </w:r>
      <w:r>
        <w:rPr>
          <w:iCs/>
        </w:rPr>
        <w:t>Journal of the American Statistical Association</w:t>
      </w:r>
      <w:r>
        <w:t xml:space="preserve">, </w:t>
      </w:r>
      <w:r>
        <w:rPr>
          <w:iCs/>
        </w:rPr>
        <w:t>99</w:t>
      </w:r>
      <w:r>
        <w:t xml:space="preserve">(467), 673-686. Wood S (2017). </w:t>
      </w:r>
      <w:r>
        <w:rPr>
          <w:iCs/>
        </w:rPr>
        <w:t>Generalized Additive Models: An Introduction with R</w:t>
      </w:r>
      <w:r>
        <w:t xml:space="preserve">, 2 edition. Chapman </w:t>
      </w:r>
      <w:r>
        <w:t xml:space="preserve">and Hall/CRC. Wood SN (2003). “Thin-plate regression splines.” </w:t>
      </w:r>
      <w:r>
        <w:rPr>
          <w:iCs/>
        </w:rPr>
        <w:t>Journal of the Royal Statistical Society (B)</w:t>
      </w:r>
      <w:r>
        <w:t xml:space="preserve">, </w:t>
      </w:r>
      <w:r>
        <w:rPr>
          <w:iCs/>
        </w:rPr>
        <w:t>65</w:t>
      </w:r>
      <w:r>
        <w:t>(1), 95-114.</w:t>
      </w:r>
    </w:p>
    <w:p w14:paraId="64CE5C92" w14:textId="4C12B2EF" w:rsidR="00045DB8" w:rsidRDefault="005523F1">
      <w:pPr>
        <w:pStyle w:val="Compact"/>
        <w:numPr>
          <w:ilvl w:val="0"/>
          <w:numId w:val="5"/>
        </w:numPr>
      </w:pPr>
      <w:r>
        <w:t xml:space="preserve">Zhu H (2024). </w:t>
      </w:r>
      <w:r>
        <w:rPr>
          <w:iCs/>
        </w:rPr>
        <w:t>kableExtra: Construct Complex Table with ‘kable’ and Pipe Syntax</w:t>
      </w:r>
      <w:r>
        <w:t xml:space="preserve">. R package version 1.4.0, </w:t>
      </w:r>
      <w:hyperlink r:id="rId26">
        <w:r>
          <w:rPr>
            <w:rStyle w:val="Hyperlink"/>
          </w:rPr>
          <w:t>https://CRAN.R-project.org/package=kableExtra</w:t>
        </w:r>
      </w:hyperlink>
      <w:r>
        <w:t>.</w:t>
      </w:r>
    </w:p>
    <w:p w14:paraId="64CE5C93" w14:textId="77777777" w:rsidR="00045DB8" w:rsidRDefault="005523F1">
      <w:pPr>
        <w:pStyle w:val="Heading3"/>
      </w:pPr>
      <w:bookmarkStart w:id="15" w:name="time-of-compilation"/>
      <w:bookmarkEnd w:id="13"/>
      <w:bookmarkEnd w:id="12"/>
      <w:r>
        <w:t>Time of compilation</w:t>
      </w:r>
    </w:p>
    <w:p w14:paraId="64CE5C94" w14:textId="77777777" w:rsidR="00045DB8" w:rsidRDefault="005523F1">
      <w:pPr>
        <w:pStyle w:val="FirstParagraph"/>
      </w:pPr>
      <w:r>
        <w:t>2025-01-24 13:36:31.605907</w:t>
      </w:r>
    </w:p>
    <w:bookmarkEnd w:id="15"/>
    <w:bookmarkEnd w:id="10"/>
    <w:sectPr w:rsidR="00045DB8">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E5CA3" w14:textId="77777777" w:rsidR="005523F1" w:rsidRDefault="005523F1">
      <w:pPr>
        <w:spacing w:after="0"/>
      </w:pPr>
      <w:r>
        <w:separator/>
      </w:r>
    </w:p>
  </w:endnote>
  <w:endnote w:type="continuationSeparator" w:id="0">
    <w:p w14:paraId="64CE5CA5" w14:textId="77777777" w:rsidR="005523F1" w:rsidRDefault="005523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6284900"/>
      <w:docPartObj>
        <w:docPartGallery w:val="Page Numbers (Bottom of Page)"/>
        <w:docPartUnique/>
      </w:docPartObj>
    </w:sdtPr>
    <w:sdtEndPr>
      <w:rPr>
        <w:noProof/>
      </w:rPr>
    </w:sdtEndPr>
    <w:sdtContent>
      <w:p w14:paraId="64CE5C9F" w14:textId="77777777" w:rsidR="005523F1" w:rsidRDefault="005523F1">
        <w:pPr>
          <w:pStyle w:val="Footer"/>
        </w:pPr>
        <w:r>
          <w:fldChar w:fldCharType="begin"/>
        </w:r>
        <w:r>
          <w:instrText xml:space="preserve"> PAGE   \* MERGEFORMAT </w:instrText>
        </w:r>
        <w:r>
          <w:fldChar w:fldCharType="separate"/>
        </w:r>
        <w:r>
          <w:rPr>
            <w:noProof/>
          </w:rPr>
          <w:t>2</w:t>
        </w:r>
        <w:r>
          <w:rPr>
            <w:noProof/>
          </w:rPr>
          <w:fldChar w:fldCharType="end"/>
        </w:r>
      </w:p>
    </w:sdtContent>
  </w:sdt>
  <w:p w14:paraId="64CE5CA0" w14:textId="77777777" w:rsidR="005523F1" w:rsidRDefault="00552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E5C9D" w14:textId="77777777" w:rsidR="00045DB8" w:rsidRDefault="005523F1">
      <w:r>
        <w:separator/>
      </w:r>
    </w:p>
  </w:footnote>
  <w:footnote w:type="continuationSeparator" w:id="0">
    <w:p w14:paraId="64CE5C9E" w14:textId="77777777" w:rsidR="00045DB8" w:rsidRDefault="00552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CB676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B8091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58299420">
    <w:abstractNumId w:val="0"/>
  </w:num>
  <w:num w:numId="2" w16cid:durableId="2011061321">
    <w:abstractNumId w:val="0"/>
  </w:num>
  <w:num w:numId="3" w16cid:durableId="2040664368">
    <w:abstractNumId w:val="1"/>
  </w:num>
  <w:num w:numId="4" w16cid:durableId="1957787281">
    <w:abstractNumId w:val="1"/>
  </w:num>
  <w:num w:numId="5" w16cid:durableId="71565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B8"/>
    <w:rsid w:val="00045DB8"/>
    <w:rsid w:val="005523F1"/>
    <w:rsid w:val="00761737"/>
    <w:rsid w:val="007B27DB"/>
    <w:rsid w:val="00BF5293"/>
    <w:rsid w:val="00D356BA"/>
    <w:rsid w:val="00EC09D7"/>
    <w:rsid w:val="00F049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5C5F"/>
  <w15:docId w15:val="{4683E2AC-9D5B-4BBA-9D8E-67FBF1B4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76712"/>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76712"/>
    <w:pPr>
      <w:keepNext/>
      <w:keepLines/>
      <w:spacing w:before="200" w:after="0"/>
      <w:outlineLvl w:val="1"/>
    </w:pPr>
    <w:rPr>
      <w:rFonts w:asciiTheme="majorHAnsi" w:eastAsiaTheme="majorEastAsia" w:hAnsiTheme="majorHAnsi" w:cstheme="majorBidi"/>
      <w:b/>
      <w:bCs/>
      <w:i/>
      <w:sz w:val="28"/>
      <w:szCs w:val="28"/>
    </w:rPr>
  </w:style>
  <w:style w:type="paragraph" w:styleId="Heading3">
    <w:name w:val="heading 3"/>
    <w:basedOn w:val="Normal"/>
    <w:next w:val="BodyText"/>
    <w:uiPriority w:val="9"/>
    <w:unhideWhenUsed/>
    <w:qFormat/>
    <w:rsid w:val="00A7671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E10F89"/>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114CEB"/>
    <w:pPr>
      <w:spacing w:before="60" w:after="60" w:line="160" w:lineRule="exact"/>
    </w:pPr>
    <w:rPr>
      <w:i/>
      <w:sz w:val="20"/>
    </w:rPr>
  </w:style>
  <w:style w:type="paragraph" w:styleId="Title">
    <w:name w:val="Title"/>
    <w:basedOn w:val="Normal"/>
    <w:next w:val="BodyText"/>
    <w:qFormat/>
    <w:rsid w:val="00C707F3"/>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0F89"/>
    <w:pPr>
      <w:keepNext/>
      <w:keepLines/>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707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E10F89"/>
    <w:pPr>
      <w:spacing w:before="240" w:line="259" w:lineRule="auto"/>
      <w:outlineLvl w:val="9"/>
    </w:pPr>
    <w:rPr>
      <w:b w:val="0"/>
      <w:bCs w:val="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E10F89"/>
    <w:pPr>
      <w:spacing w:after="100"/>
    </w:pPr>
  </w:style>
  <w:style w:type="paragraph" w:styleId="TOC2">
    <w:name w:val="toc 2"/>
    <w:basedOn w:val="Normal"/>
    <w:next w:val="Normal"/>
    <w:autoRedefine/>
    <w:uiPriority w:val="39"/>
    <w:rsid w:val="00E10F89"/>
    <w:pPr>
      <w:spacing w:after="100"/>
      <w:ind w:left="240"/>
    </w:pPr>
  </w:style>
  <w:style w:type="paragraph" w:styleId="Header">
    <w:name w:val="header"/>
    <w:basedOn w:val="Normal"/>
    <w:link w:val="HeaderChar"/>
    <w:rsid w:val="00E10F89"/>
    <w:pPr>
      <w:tabs>
        <w:tab w:val="center" w:pos="4680"/>
        <w:tab w:val="right" w:pos="9360"/>
      </w:tabs>
      <w:spacing w:after="0"/>
    </w:pPr>
  </w:style>
  <w:style w:type="character" w:customStyle="1" w:styleId="HeaderChar">
    <w:name w:val="Header Char"/>
    <w:basedOn w:val="DefaultParagraphFont"/>
    <w:link w:val="Header"/>
    <w:rsid w:val="00E10F89"/>
  </w:style>
  <w:style w:type="paragraph" w:styleId="Footer">
    <w:name w:val="footer"/>
    <w:basedOn w:val="Normal"/>
    <w:link w:val="FooterChar"/>
    <w:uiPriority w:val="99"/>
    <w:rsid w:val="00E10F89"/>
    <w:pPr>
      <w:tabs>
        <w:tab w:val="center" w:pos="4680"/>
        <w:tab w:val="right" w:pos="9360"/>
      </w:tabs>
      <w:spacing w:after="0"/>
    </w:pPr>
  </w:style>
  <w:style w:type="character" w:customStyle="1" w:styleId="FooterChar">
    <w:name w:val="Footer Char"/>
    <w:basedOn w:val="DefaultParagraphFont"/>
    <w:link w:val="Footer"/>
    <w:uiPriority w:val="99"/>
    <w:rsid w:val="00E10F89"/>
  </w:style>
  <w:style w:type="character" w:styleId="PageNumber">
    <w:name w:val="page number"/>
    <w:basedOn w:val="DefaultParagraphFont"/>
    <w:rsid w:val="00C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package=rms" TargetMode="External"/><Relationship Id="rId18" Type="http://schemas.openxmlformats.org/officeDocument/2006/relationships/hyperlink" Target="https://doi.org/10.32614/RJ-2021-053" TargetMode="External"/><Relationship Id="rId26" Type="http://schemas.openxmlformats.org/officeDocument/2006/relationships/hyperlink" Target="https://CRAN.R-project.org/package=kableExtra" TargetMode="External"/><Relationship Id="rId3" Type="http://schemas.openxmlformats.org/officeDocument/2006/relationships/settings" Target="settings.xml"/><Relationship Id="rId21" Type="http://schemas.openxmlformats.org/officeDocument/2006/relationships/hyperlink" Target="https://doi.org/10.32614/RJ-2016-060" TargetMode="External"/><Relationship Id="rId7" Type="http://schemas.openxmlformats.org/officeDocument/2006/relationships/image" Target="media/image1.png"/><Relationship Id="rId12" Type="http://schemas.openxmlformats.org/officeDocument/2006/relationships/hyperlink" Target="https://CRAN.R-project.org/package=Hmisc" TargetMode="External"/><Relationship Id="rId17" Type="http://schemas.openxmlformats.org/officeDocument/2006/relationships/hyperlink" Target="https://www.R-project.org/" TargetMode="External"/><Relationship Id="rId25" Type="http://schemas.openxmlformats.org/officeDocument/2006/relationships/hyperlink" Target="https://CRAN.R-project.org/package=dplyr" TargetMode="External"/><Relationship Id="rId2" Type="http://schemas.openxmlformats.org/officeDocument/2006/relationships/styles" Target="styles.xml"/><Relationship Id="rId16" Type="http://schemas.openxmlformats.org/officeDocument/2006/relationships/hyperlink" Target="https://doi.org/10.1007/b98882" TargetMode="External"/><Relationship Id="rId20" Type="http://schemas.openxmlformats.org/officeDocument/2006/relationships/hyperlink" Target="https://doi.org/10.32614/RJ-2016-06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atsoft.org/v40/i03/" TargetMode="External"/><Relationship Id="rId24" Type="http://schemas.openxmlformats.org/officeDocument/2006/relationships/hyperlink" Target="https://ggplot2.tidyverse.org" TargetMode="External"/><Relationship Id="rId5" Type="http://schemas.openxmlformats.org/officeDocument/2006/relationships/footnotes" Target="footnotes.xml"/><Relationship Id="rId15" Type="http://schemas.openxmlformats.org/officeDocument/2006/relationships/hyperlink" Target="https://CRAN.R-project.org/package=nlme" TargetMode="External"/><Relationship Id="rId23" Type="http://schemas.openxmlformats.org/officeDocument/2006/relationships/hyperlink" Target="https://CRAN.R-project.org/package=surviva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32614/RJ-2021-05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coxed" TargetMode="External"/><Relationship Id="rId22" Type="http://schemas.openxmlformats.org/officeDocument/2006/relationships/hyperlink" Target="https://CRAN.R-project.org/package=ggfortify"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considerations for Tari Erika’s RCT</dc:title>
  <dc:creator>Márton Kiss, MD</dc:creator>
  <cp:keywords/>
  <cp:lastModifiedBy>Kiss Marton</cp:lastModifiedBy>
  <cp:revision>2</cp:revision>
  <dcterms:created xsi:type="dcterms:W3CDTF">2025-01-24T12:40:00Z</dcterms:created>
  <dcterms:modified xsi:type="dcterms:W3CDTF">2025-01-24T12:40:00Z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