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5702C" w14:textId="77777777" w:rsidR="00676734" w:rsidRDefault="00676734" w:rsidP="00676734">
      <w:pPr>
        <w:pStyle w:val="BodyText"/>
        <w:rPr>
          <w:rFonts w:ascii="Arial"/>
          <w:b/>
          <w:sz w:val="20"/>
        </w:rPr>
      </w:pPr>
    </w:p>
    <w:p w14:paraId="218D4604" w14:textId="2764E62C" w:rsidR="00676734" w:rsidRDefault="00676734" w:rsidP="00676734">
      <w:pPr>
        <w:pStyle w:val="BodyText"/>
        <w:rPr>
          <w:rFonts w:ascii="Arial"/>
          <w:b/>
          <w:sz w:val="20"/>
        </w:rPr>
      </w:pPr>
    </w:p>
    <w:p w14:paraId="43C3CF02" w14:textId="3684445C" w:rsidR="00676734" w:rsidRDefault="00676734" w:rsidP="00676734">
      <w:pPr>
        <w:pStyle w:val="BodyText"/>
        <w:rPr>
          <w:rFonts w:ascii="Arial"/>
          <w:b/>
          <w:sz w:val="20"/>
        </w:rPr>
      </w:pPr>
    </w:p>
    <w:p w14:paraId="49E96B79" w14:textId="77777777" w:rsidR="00676734" w:rsidRDefault="00676734" w:rsidP="00676734">
      <w:pPr>
        <w:pStyle w:val="BodyText"/>
        <w:spacing w:before="147"/>
        <w:rPr>
          <w:rFonts w:ascii="Arial"/>
          <w:b/>
          <w:sz w:val="20"/>
        </w:rPr>
      </w:pPr>
    </w:p>
    <w:p w14:paraId="1ACCE271" w14:textId="7C3409B5" w:rsidR="00676734" w:rsidRDefault="00676734" w:rsidP="00676734">
      <w:pPr>
        <w:spacing w:line="124" w:lineRule="exact"/>
        <w:ind w:left="-286"/>
        <w:rPr>
          <w:rFonts w:ascii="Arial"/>
          <w:position w:val="-1"/>
          <w:sz w:val="12"/>
        </w:rPr>
      </w:pPr>
    </w:p>
    <w:p w14:paraId="4117C897" w14:textId="77777777" w:rsidR="00676734" w:rsidRDefault="00676734" w:rsidP="00676734">
      <w:pPr>
        <w:spacing w:line="124" w:lineRule="exact"/>
        <w:rPr>
          <w:rFonts w:ascii="Arial"/>
          <w:position w:val="-1"/>
          <w:sz w:val="12"/>
        </w:rPr>
        <w:sectPr w:rsidR="00676734" w:rsidSect="00676734">
          <w:footerReference w:type="default" r:id="rId8"/>
          <w:type w:val="continuous"/>
          <w:pgSz w:w="11910" w:h="16850"/>
          <w:pgMar w:top="0" w:right="0" w:bottom="0" w:left="283" w:header="0" w:footer="0" w:gutter="0"/>
          <w:cols w:space="720"/>
        </w:sectPr>
      </w:pPr>
    </w:p>
    <w:p w14:paraId="487723E5" w14:textId="77777777" w:rsidR="00676734" w:rsidRDefault="00676734" w:rsidP="00676734">
      <w:pPr>
        <w:pStyle w:val="BodyText"/>
        <w:spacing w:before="138"/>
        <w:rPr>
          <w:rFonts w:ascii="Arial"/>
          <w:b/>
          <w:sz w:val="20"/>
        </w:rPr>
      </w:pPr>
    </w:p>
    <w:p w14:paraId="1DA8D645" w14:textId="0B3F5BE9" w:rsidR="00676734" w:rsidRPr="00676734" w:rsidRDefault="00676734" w:rsidP="00676734">
      <w:pPr>
        <w:spacing w:before="1"/>
        <w:ind w:left="141"/>
        <w:rPr>
          <w:rFonts w:ascii="Times New Roman"/>
          <w:sz w:val="20"/>
          <w:lang w:val="pl-PL"/>
        </w:rPr>
      </w:pPr>
    </w:p>
    <w:p w14:paraId="7130D2E1" w14:textId="2325CD1A" w:rsidR="00676734" w:rsidRPr="00627361" w:rsidRDefault="00676734" w:rsidP="00676734">
      <w:pPr>
        <w:spacing w:line="410" w:lineRule="exact"/>
        <w:ind w:left="102"/>
        <w:jc w:val="center"/>
        <w:rPr>
          <w:rFonts w:ascii="Times New Roman"/>
          <w:sz w:val="36"/>
        </w:rPr>
      </w:pPr>
      <w:r w:rsidRPr="00627361">
        <w:br w:type="column"/>
      </w:r>
      <w:r w:rsidR="00627361" w:rsidRPr="00627361">
        <w:rPr>
          <w:rFonts w:ascii="Times New Roman"/>
          <w:sz w:val="36"/>
        </w:rPr>
        <w:t>University of Wars</w:t>
      </w:r>
      <w:r w:rsidR="00627361">
        <w:rPr>
          <w:rFonts w:ascii="Times New Roman"/>
          <w:sz w:val="36"/>
        </w:rPr>
        <w:t>aw</w:t>
      </w:r>
    </w:p>
    <w:p w14:paraId="01DAB5ED" w14:textId="1E089366" w:rsidR="00676734" w:rsidRPr="00627361" w:rsidRDefault="00627361" w:rsidP="00627361">
      <w:pPr>
        <w:pStyle w:val="BodyText"/>
        <w:jc w:val="center"/>
        <w:rPr>
          <w:rFonts w:ascii="Times New Roman"/>
          <w:sz w:val="36"/>
          <w:lang w:val="en-GB"/>
        </w:rPr>
      </w:pPr>
      <w:r w:rsidRPr="00627361">
        <w:rPr>
          <w:rFonts w:ascii="Times New Roman" w:eastAsiaTheme="minorHAnsi" w:hAnsi="Times New Roman" w:cstheme="minorBidi"/>
          <w:kern w:val="2"/>
          <w:sz w:val="36"/>
          <w:lang w:val="en-GB"/>
          <w14:ligatures w14:val="standardContextual"/>
        </w:rPr>
        <w:t>Faculty of Economic Sci</w:t>
      </w:r>
      <w:r>
        <w:rPr>
          <w:rFonts w:ascii="Times New Roman" w:eastAsiaTheme="minorHAnsi" w:hAnsi="Times New Roman" w:cstheme="minorBidi"/>
          <w:kern w:val="2"/>
          <w:sz w:val="36"/>
          <w:lang w:val="en-GB"/>
          <w14:ligatures w14:val="standardContextual"/>
        </w:rPr>
        <w:t>ences</w:t>
      </w:r>
    </w:p>
    <w:p w14:paraId="3E81FA5F" w14:textId="77777777" w:rsidR="00676734" w:rsidRPr="00627361" w:rsidRDefault="00676734" w:rsidP="00676734">
      <w:pPr>
        <w:pStyle w:val="BodyText"/>
        <w:rPr>
          <w:rFonts w:ascii="Times New Roman"/>
          <w:sz w:val="36"/>
          <w:lang w:val="en-GB"/>
        </w:rPr>
      </w:pPr>
    </w:p>
    <w:p w14:paraId="1B6EEDFA" w14:textId="77777777" w:rsidR="00676734" w:rsidRPr="00627361" w:rsidRDefault="00676734" w:rsidP="00676734">
      <w:pPr>
        <w:pStyle w:val="BodyText"/>
        <w:rPr>
          <w:rFonts w:ascii="Times New Roman"/>
          <w:sz w:val="36"/>
          <w:lang w:val="en-GB"/>
        </w:rPr>
      </w:pPr>
    </w:p>
    <w:p w14:paraId="09AC43AD" w14:textId="77777777" w:rsidR="00676734" w:rsidRPr="00627361" w:rsidRDefault="00676734" w:rsidP="00676734">
      <w:pPr>
        <w:pStyle w:val="BodyText"/>
        <w:spacing w:before="138"/>
        <w:rPr>
          <w:rFonts w:ascii="Times New Roman"/>
          <w:sz w:val="36"/>
          <w:lang w:val="en-GB"/>
        </w:rPr>
      </w:pPr>
    </w:p>
    <w:p w14:paraId="30ACEBA3" w14:textId="001A7A8E" w:rsidR="00676734" w:rsidRPr="00627361" w:rsidRDefault="00627361" w:rsidP="00676734">
      <w:pPr>
        <w:spacing w:line="321" w:lineRule="exact"/>
        <w:ind w:left="104"/>
        <w:jc w:val="center"/>
        <w:rPr>
          <w:rFonts w:ascii="Times New Roman"/>
          <w:sz w:val="28"/>
        </w:rPr>
      </w:pPr>
      <w:r w:rsidRPr="00627361">
        <w:rPr>
          <w:rFonts w:ascii="Times New Roman"/>
          <w:sz w:val="28"/>
        </w:rPr>
        <w:t>Yuliya Martyniuk</w:t>
      </w:r>
    </w:p>
    <w:p w14:paraId="74D890FF" w14:textId="0D01BCA5" w:rsidR="00676734" w:rsidRPr="004E16F2" w:rsidRDefault="00627361" w:rsidP="00676734">
      <w:pPr>
        <w:spacing w:line="275" w:lineRule="exact"/>
        <w:ind w:left="100"/>
        <w:jc w:val="center"/>
        <w:rPr>
          <w:rFonts w:ascii="Times New Roman"/>
          <w:sz w:val="24"/>
        </w:rPr>
      </w:pPr>
      <w:r w:rsidRPr="004E16F2">
        <w:rPr>
          <w:rFonts w:ascii="Times New Roman"/>
          <w:sz w:val="24"/>
        </w:rPr>
        <w:t xml:space="preserve">Album </w:t>
      </w:r>
      <w:r w:rsidRPr="00627361">
        <w:rPr>
          <w:rFonts w:ascii="Times New Roman"/>
          <w:sz w:val="24"/>
        </w:rPr>
        <w:t>N</w:t>
      </w:r>
      <w:r w:rsidRPr="00627361">
        <w:rPr>
          <w:rFonts w:ascii="Times New Roman"/>
          <w:sz w:val="24"/>
        </w:rPr>
        <w:t>°</w:t>
      </w:r>
      <w:r w:rsidR="00676734" w:rsidRPr="004E16F2">
        <w:rPr>
          <w:rFonts w:ascii="Times New Roman"/>
          <w:sz w:val="24"/>
        </w:rPr>
        <w:t>:</w:t>
      </w:r>
      <w:r w:rsidR="00676734" w:rsidRPr="004E16F2">
        <w:rPr>
          <w:rFonts w:ascii="Times New Roman"/>
          <w:spacing w:val="-1"/>
          <w:sz w:val="24"/>
        </w:rPr>
        <w:t xml:space="preserve"> </w:t>
      </w:r>
      <w:r w:rsidR="00676734" w:rsidRPr="004E16F2">
        <w:rPr>
          <w:rFonts w:ascii="Times New Roman"/>
          <w:spacing w:val="-2"/>
          <w:sz w:val="24"/>
          <w:highlight w:val="yellow"/>
        </w:rPr>
        <w:t>12345</w:t>
      </w:r>
    </w:p>
    <w:p w14:paraId="333F7D19" w14:textId="77777777" w:rsidR="00676734" w:rsidRPr="004E16F2" w:rsidRDefault="00676734" w:rsidP="00676734">
      <w:pPr>
        <w:pStyle w:val="BodyText"/>
        <w:rPr>
          <w:rFonts w:ascii="Times New Roman"/>
          <w:sz w:val="24"/>
          <w:lang w:val="en-GB"/>
        </w:rPr>
      </w:pPr>
    </w:p>
    <w:p w14:paraId="25AF08AB" w14:textId="77777777" w:rsidR="00676734" w:rsidRPr="004E16F2" w:rsidRDefault="00676734" w:rsidP="00676734">
      <w:pPr>
        <w:pStyle w:val="BodyText"/>
        <w:spacing w:before="2"/>
        <w:rPr>
          <w:rFonts w:ascii="Times New Roman"/>
          <w:sz w:val="24"/>
          <w:lang w:val="en-GB"/>
        </w:rPr>
      </w:pPr>
    </w:p>
    <w:p w14:paraId="7B815796" w14:textId="77777777" w:rsidR="004E16F2" w:rsidRPr="004E16F2" w:rsidRDefault="004E16F2" w:rsidP="004E16F2">
      <w:pPr>
        <w:pStyle w:val="BodyText"/>
        <w:jc w:val="center"/>
        <w:rPr>
          <w:rFonts w:ascii="Times New Roman" w:hAnsi="Times New Roman"/>
          <w:b/>
          <w:bCs/>
          <w:sz w:val="40"/>
          <w:lang w:val="en-GB"/>
        </w:rPr>
      </w:pPr>
      <w:bookmarkStart w:id="0" w:name="Analiza_ekonomiczna_problemu._Nowa_ekono"/>
      <w:bookmarkStart w:id="1" w:name="-_podejście_w_UE"/>
      <w:bookmarkEnd w:id="0"/>
      <w:bookmarkEnd w:id="1"/>
      <w:r w:rsidRPr="004E16F2">
        <w:rPr>
          <w:rFonts w:ascii="Times New Roman" w:hAnsi="Times New Roman"/>
          <w:b/>
          <w:bCs/>
          <w:sz w:val="40"/>
          <w:highlight w:val="yellow"/>
          <w:lang w:val="en-GB"/>
        </w:rPr>
        <w:t>Title of the degree thesis</w:t>
      </w:r>
    </w:p>
    <w:p w14:paraId="1A70D776" w14:textId="77777777" w:rsidR="00676734" w:rsidRPr="004E16F2" w:rsidRDefault="00676734" w:rsidP="00676734">
      <w:pPr>
        <w:pStyle w:val="BodyText"/>
        <w:rPr>
          <w:rFonts w:ascii="Times New Roman"/>
          <w:b/>
          <w:sz w:val="40"/>
          <w:lang w:val="en-GB"/>
        </w:rPr>
      </w:pPr>
    </w:p>
    <w:p w14:paraId="76068BBA" w14:textId="77777777" w:rsidR="00676734" w:rsidRPr="004E16F2" w:rsidRDefault="00676734" w:rsidP="00676734">
      <w:pPr>
        <w:pStyle w:val="BodyText"/>
        <w:spacing w:before="183"/>
        <w:rPr>
          <w:rFonts w:ascii="Times New Roman"/>
          <w:b/>
          <w:sz w:val="40"/>
          <w:lang w:val="en-GB"/>
        </w:rPr>
      </w:pPr>
    </w:p>
    <w:p w14:paraId="5B8EE219" w14:textId="77777777" w:rsidR="004E16F2" w:rsidRPr="004E16F2" w:rsidRDefault="004E16F2" w:rsidP="004E16F2">
      <w:pPr>
        <w:pStyle w:val="BodyText"/>
        <w:spacing w:before="138"/>
        <w:jc w:val="center"/>
        <w:rPr>
          <w:rFonts w:ascii="Times New Roman"/>
          <w:sz w:val="24"/>
          <w:lang w:val="en-GB"/>
        </w:rPr>
      </w:pPr>
      <w:r w:rsidRPr="004E16F2">
        <w:rPr>
          <w:rFonts w:ascii="Times New Roman"/>
          <w:sz w:val="24"/>
          <w:highlight w:val="yellow"/>
          <w:lang w:val="en-GB"/>
        </w:rPr>
        <w:t>Licencjat/Magister (bachelor/master) degree thesis</w:t>
      </w:r>
    </w:p>
    <w:p w14:paraId="1384CAE7" w14:textId="63C82C81" w:rsidR="004E16F2" w:rsidRPr="004E16F2" w:rsidRDefault="004E16F2" w:rsidP="004E16F2">
      <w:pPr>
        <w:pStyle w:val="BodyText"/>
        <w:spacing w:before="138"/>
        <w:jc w:val="center"/>
        <w:rPr>
          <w:rFonts w:ascii="Times New Roman"/>
          <w:sz w:val="24"/>
          <w:lang w:val="en-GB"/>
        </w:rPr>
      </w:pPr>
      <w:r w:rsidRPr="004E16F2">
        <w:rPr>
          <w:rFonts w:ascii="Times New Roman"/>
          <w:sz w:val="24"/>
          <w:lang w:val="en-GB"/>
        </w:rPr>
        <w:t xml:space="preserve">Field of the study: </w:t>
      </w:r>
      <w:r>
        <w:rPr>
          <w:rFonts w:ascii="Times New Roman"/>
          <w:sz w:val="24"/>
          <w:lang w:val="en-GB"/>
        </w:rPr>
        <w:t>Data Science and Business Analytics</w:t>
      </w:r>
    </w:p>
    <w:p w14:paraId="1F045512" w14:textId="77777777" w:rsidR="00676734" w:rsidRPr="004E16F2" w:rsidRDefault="00676734" w:rsidP="00676734">
      <w:pPr>
        <w:pStyle w:val="BodyText"/>
        <w:spacing w:before="138"/>
        <w:rPr>
          <w:rFonts w:ascii="Times New Roman"/>
          <w:i/>
          <w:sz w:val="20"/>
          <w:lang w:val="en-GB"/>
        </w:rPr>
      </w:pPr>
      <w:r w:rsidRPr="004E16F2">
        <w:rPr>
          <w:lang w:val="en-GB"/>
        </w:rPr>
        <w:br w:type="column"/>
      </w:r>
    </w:p>
    <w:p w14:paraId="30CBD7CF" w14:textId="77777777" w:rsidR="00676734" w:rsidRPr="004E16F2" w:rsidRDefault="00676734" w:rsidP="00676734">
      <w:pPr>
        <w:rPr>
          <w:rFonts w:ascii="Times New Roman"/>
          <w:sz w:val="20"/>
        </w:rPr>
        <w:sectPr w:rsidR="00676734" w:rsidRPr="004E16F2" w:rsidSect="00676734">
          <w:type w:val="continuous"/>
          <w:pgSz w:w="11910" w:h="16850"/>
          <w:pgMar w:top="1320" w:right="0" w:bottom="280" w:left="283" w:header="0" w:footer="0" w:gutter="0"/>
          <w:cols w:num="3" w:space="720" w:equalWidth="0">
            <w:col w:w="729" w:space="615"/>
            <w:col w:w="8552" w:space="544"/>
            <w:col w:w="1187"/>
          </w:cols>
        </w:sectPr>
      </w:pPr>
    </w:p>
    <w:p w14:paraId="1722E270" w14:textId="77777777" w:rsidR="00676734" w:rsidRPr="004E16F2" w:rsidRDefault="00676734" w:rsidP="00676734">
      <w:pPr>
        <w:pStyle w:val="BodyText"/>
        <w:spacing w:before="204"/>
        <w:rPr>
          <w:rFonts w:ascii="Times New Roman"/>
          <w:sz w:val="24"/>
          <w:lang w:val="en-GB"/>
        </w:rPr>
      </w:pPr>
    </w:p>
    <w:p w14:paraId="61B5F52A" w14:textId="77777777" w:rsidR="00676734" w:rsidRPr="009964B4" w:rsidRDefault="00676734" w:rsidP="00676734">
      <w:pPr>
        <w:pStyle w:val="BodyText"/>
        <w:rPr>
          <w:rFonts w:ascii="Times New Roman"/>
          <w:i/>
          <w:sz w:val="24"/>
          <w:lang w:val="en-GB"/>
        </w:rPr>
      </w:pPr>
    </w:p>
    <w:p w14:paraId="34E523F0" w14:textId="77777777" w:rsidR="004E16F2" w:rsidRPr="009964B4" w:rsidRDefault="004E16F2" w:rsidP="00676734">
      <w:pPr>
        <w:pStyle w:val="BodyText"/>
        <w:rPr>
          <w:rFonts w:ascii="Times New Roman"/>
          <w:i/>
          <w:sz w:val="24"/>
          <w:lang w:val="en-GB"/>
        </w:rPr>
      </w:pPr>
    </w:p>
    <w:p w14:paraId="1C8B3DED" w14:textId="77777777" w:rsidR="00676734" w:rsidRPr="009964B4" w:rsidRDefault="00676734" w:rsidP="00676734">
      <w:pPr>
        <w:pStyle w:val="BodyText"/>
        <w:rPr>
          <w:rFonts w:ascii="Times New Roman"/>
          <w:i/>
          <w:sz w:val="24"/>
          <w:lang w:val="en-GB"/>
        </w:rPr>
      </w:pPr>
    </w:p>
    <w:p w14:paraId="24D375A1" w14:textId="77777777" w:rsidR="00676734" w:rsidRPr="009964B4" w:rsidRDefault="00676734" w:rsidP="00676734">
      <w:pPr>
        <w:pStyle w:val="BodyText"/>
        <w:rPr>
          <w:rFonts w:ascii="Times New Roman"/>
          <w:i/>
          <w:sz w:val="24"/>
          <w:lang w:val="en-GB"/>
        </w:rPr>
      </w:pPr>
    </w:p>
    <w:p w14:paraId="5F5474BB" w14:textId="77777777" w:rsidR="00676734" w:rsidRPr="009964B4" w:rsidRDefault="00676734" w:rsidP="00676734">
      <w:pPr>
        <w:pStyle w:val="BodyText"/>
        <w:rPr>
          <w:rFonts w:ascii="Times New Roman"/>
          <w:i/>
          <w:sz w:val="24"/>
          <w:lang w:val="en-GB"/>
        </w:rPr>
      </w:pPr>
    </w:p>
    <w:p w14:paraId="460F2291" w14:textId="77777777" w:rsidR="00676734" w:rsidRPr="009964B4" w:rsidRDefault="00676734" w:rsidP="00676734">
      <w:pPr>
        <w:pStyle w:val="BodyText"/>
        <w:spacing w:before="72"/>
        <w:rPr>
          <w:rFonts w:ascii="Times New Roman"/>
          <w:i/>
          <w:sz w:val="24"/>
          <w:lang w:val="en-GB"/>
        </w:rPr>
      </w:pPr>
    </w:p>
    <w:p w14:paraId="727DCD1A" w14:textId="77777777" w:rsidR="004E16F2" w:rsidRPr="004E16F2" w:rsidRDefault="004E16F2" w:rsidP="004E16F2">
      <w:pPr>
        <w:pStyle w:val="BodyText"/>
        <w:ind w:right="1137"/>
        <w:jc w:val="right"/>
        <w:rPr>
          <w:rFonts w:ascii="Times New Roman"/>
          <w:sz w:val="24"/>
          <w:highlight w:val="yellow"/>
          <w:lang w:val="en-GB"/>
        </w:rPr>
      </w:pPr>
      <w:r w:rsidRPr="004E16F2">
        <w:rPr>
          <w:rFonts w:ascii="Times New Roman"/>
          <w:sz w:val="24"/>
          <w:highlight w:val="yellow"/>
          <w:lang w:val="en-GB"/>
        </w:rPr>
        <w:t>The thesis written under the supervision of</w:t>
      </w:r>
    </w:p>
    <w:p w14:paraId="5F325C40" w14:textId="77777777" w:rsidR="004E16F2" w:rsidRPr="004E16F2" w:rsidRDefault="004E16F2" w:rsidP="004E16F2">
      <w:pPr>
        <w:pStyle w:val="BodyText"/>
        <w:ind w:right="1137"/>
        <w:jc w:val="right"/>
        <w:rPr>
          <w:rFonts w:ascii="Times New Roman"/>
          <w:sz w:val="24"/>
          <w:highlight w:val="yellow"/>
          <w:lang w:val="en-GB"/>
        </w:rPr>
      </w:pPr>
      <w:r w:rsidRPr="004E16F2">
        <w:rPr>
          <w:rFonts w:ascii="Times New Roman"/>
          <w:sz w:val="24"/>
          <w:highlight w:val="yellow"/>
          <w:lang w:val="en-GB"/>
        </w:rPr>
        <w:t>title/degree First name Surname</w:t>
      </w:r>
    </w:p>
    <w:p w14:paraId="2A09DC31" w14:textId="77777777" w:rsidR="004E16F2" w:rsidRPr="004E16F2" w:rsidRDefault="004E16F2" w:rsidP="004E16F2">
      <w:pPr>
        <w:pStyle w:val="BodyText"/>
        <w:ind w:right="1137"/>
        <w:jc w:val="right"/>
        <w:rPr>
          <w:rFonts w:ascii="Times New Roman"/>
          <w:sz w:val="24"/>
          <w:highlight w:val="yellow"/>
          <w:lang w:val="en-GB"/>
        </w:rPr>
      </w:pPr>
      <w:r w:rsidRPr="004E16F2">
        <w:rPr>
          <w:rFonts w:ascii="Times New Roman"/>
          <w:sz w:val="24"/>
          <w:highlight w:val="yellow"/>
          <w:lang w:val="en-GB"/>
        </w:rPr>
        <w:t>from (name of the supervisor</w:t>
      </w:r>
      <w:r w:rsidRPr="004E16F2">
        <w:rPr>
          <w:rFonts w:ascii="Times New Roman"/>
          <w:sz w:val="24"/>
          <w:highlight w:val="yellow"/>
          <w:lang w:val="en-GB"/>
        </w:rPr>
        <w:t>’</w:t>
      </w:r>
      <w:r w:rsidRPr="004E16F2">
        <w:rPr>
          <w:rFonts w:ascii="Times New Roman"/>
          <w:sz w:val="24"/>
          <w:highlight w:val="yellow"/>
          <w:lang w:val="en-GB"/>
        </w:rPr>
        <w:t>s unit)</w:t>
      </w:r>
    </w:p>
    <w:p w14:paraId="57510E94" w14:textId="77777777" w:rsidR="004E16F2" w:rsidRPr="009964B4" w:rsidRDefault="004E16F2" w:rsidP="004E16F2">
      <w:pPr>
        <w:pStyle w:val="BodyText"/>
        <w:ind w:right="1137"/>
        <w:jc w:val="right"/>
        <w:rPr>
          <w:rFonts w:ascii="Times New Roman"/>
          <w:sz w:val="24"/>
          <w:lang w:val="en-GB"/>
        </w:rPr>
      </w:pPr>
      <w:r w:rsidRPr="009964B4">
        <w:rPr>
          <w:rFonts w:ascii="Times New Roman"/>
          <w:sz w:val="24"/>
          <w:highlight w:val="yellow"/>
          <w:lang w:val="en-GB"/>
        </w:rPr>
        <w:t>WNE UW</w:t>
      </w:r>
    </w:p>
    <w:p w14:paraId="6D14D200" w14:textId="77777777" w:rsidR="00676734" w:rsidRPr="009964B4" w:rsidRDefault="00676734" w:rsidP="00676734">
      <w:pPr>
        <w:pStyle w:val="BodyText"/>
        <w:rPr>
          <w:rFonts w:ascii="Times New Roman"/>
          <w:sz w:val="20"/>
          <w:lang w:val="en-GB"/>
        </w:rPr>
      </w:pPr>
    </w:p>
    <w:p w14:paraId="52C945DB" w14:textId="77777777" w:rsidR="00676734" w:rsidRPr="009964B4" w:rsidRDefault="00676734" w:rsidP="00676734">
      <w:pPr>
        <w:pStyle w:val="BodyText"/>
        <w:rPr>
          <w:rFonts w:ascii="Times New Roman"/>
          <w:sz w:val="20"/>
          <w:lang w:val="en-GB"/>
        </w:rPr>
      </w:pPr>
    </w:p>
    <w:p w14:paraId="0E89C624" w14:textId="77777777" w:rsidR="00676734" w:rsidRPr="009964B4" w:rsidRDefault="00676734" w:rsidP="00676734">
      <w:pPr>
        <w:pStyle w:val="BodyText"/>
        <w:rPr>
          <w:rFonts w:ascii="Times New Roman"/>
          <w:sz w:val="20"/>
          <w:lang w:val="en-GB"/>
        </w:rPr>
      </w:pPr>
    </w:p>
    <w:p w14:paraId="568315EA" w14:textId="77777777" w:rsidR="00676734" w:rsidRPr="009964B4" w:rsidRDefault="00676734" w:rsidP="00676734">
      <w:pPr>
        <w:pStyle w:val="BodyText"/>
        <w:rPr>
          <w:rFonts w:ascii="Times New Roman"/>
          <w:sz w:val="20"/>
          <w:lang w:val="en-GB"/>
        </w:rPr>
      </w:pPr>
    </w:p>
    <w:p w14:paraId="7DEC8CBE" w14:textId="77777777" w:rsidR="00676734" w:rsidRPr="009964B4" w:rsidRDefault="00676734" w:rsidP="00676734">
      <w:pPr>
        <w:pStyle w:val="BodyText"/>
        <w:rPr>
          <w:rFonts w:ascii="Times New Roman"/>
          <w:sz w:val="20"/>
          <w:lang w:val="en-GB"/>
        </w:rPr>
      </w:pPr>
    </w:p>
    <w:p w14:paraId="76E053F3" w14:textId="77777777" w:rsidR="00676734" w:rsidRPr="009964B4" w:rsidRDefault="00676734" w:rsidP="00676734">
      <w:pPr>
        <w:pStyle w:val="BodyText"/>
        <w:rPr>
          <w:rFonts w:ascii="Times New Roman"/>
          <w:sz w:val="20"/>
          <w:lang w:val="en-GB"/>
        </w:rPr>
      </w:pPr>
    </w:p>
    <w:p w14:paraId="17018618" w14:textId="77777777" w:rsidR="00676734" w:rsidRPr="009964B4" w:rsidRDefault="00676734" w:rsidP="00676734">
      <w:pPr>
        <w:pStyle w:val="BodyText"/>
        <w:rPr>
          <w:rFonts w:ascii="Times New Roman"/>
          <w:sz w:val="20"/>
          <w:lang w:val="en-GB"/>
        </w:rPr>
      </w:pPr>
    </w:p>
    <w:p w14:paraId="30820117" w14:textId="5019BC23" w:rsidR="00676734" w:rsidRPr="009964B4" w:rsidRDefault="00676734" w:rsidP="00676734">
      <w:pPr>
        <w:pStyle w:val="BodyText"/>
        <w:jc w:val="center"/>
        <w:rPr>
          <w:rFonts w:ascii="Times New Roman"/>
          <w:sz w:val="20"/>
          <w:lang w:val="en-GB"/>
        </w:rPr>
      </w:pPr>
      <w:r w:rsidRPr="009964B4">
        <w:rPr>
          <w:rFonts w:ascii="Times New Roman"/>
          <w:sz w:val="20"/>
          <w:highlight w:val="yellow"/>
          <w:lang w:val="en-GB"/>
        </w:rPr>
        <w:t>War</w:t>
      </w:r>
      <w:r w:rsidR="004E16F2" w:rsidRPr="009964B4">
        <w:rPr>
          <w:rFonts w:ascii="Times New Roman"/>
          <w:sz w:val="20"/>
          <w:highlight w:val="yellow"/>
          <w:lang w:val="en-GB"/>
        </w:rPr>
        <w:t>saw</w:t>
      </w:r>
      <w:r w:rsidRPr="009964B4">
        <w:rPr>
          <w:rFonts w:ascii="Times New Roman"/>
          <w:sz w:val="20"/>
          <w:highlight w:val="yellow"/>
          <w:lang w:val="en-GB"/>
        </w:rPr>
        <w:t xml:space="preserve">, </w:t>
      </w:r>
      <w:r w:rsidR="004E16F2" w:rsidRPr="009964B4">
        <w:rPr>
          <w:rFonts w:ascii="Times New Roman"/>
          <w:sz w:val="20"/>
          <w:highlight w:val="yellow"/>
          <w:lang w:val="en-GB"/>
        </w:rPr>
        <w:t>June</w:t>
      </w:r>
      <w:r w:rsidRPr="009964B4">
        <w:rPr>
          <w:rFonts w:ascii="Times New Roman"/>
          <w:sz w:val="20"/>
          <w:highlight w:val="yellow"/>
          <w:lang w:val="en-GB"/>
        </w:rPr>
        <w:t xml:space="preserve"> 202</w:t>
      </w:r>
      <w:r w:rsidR="004E16F2" w:rsidRPr="009964B4">
        <w:rPr>
          <w:rFonts w:ascii="Times New Roman"/>
          <w:sz w:val="20"/>
          <w:highlight w:val="yellow"/>
          <w:lang w:val="en-GB"/>
        </w:rPr>
        <w:t>6</w:t>
      </w:r>
    </w:p>
    <w:p w14:paraId="067095F1" w14:textId="77777777" w:rsidR="00676734" w:rsidRPr="009964B4" w:rsidRDefault="00676734" w:rsidP="00676734">
      <w:pPr>
        <w:pStyle w:val="BodyText"/>
        <w:rPr>
          <w:rFonts w:ascii="Times New Roman"/>
          <w:sz w:val="20"/>
          <w:lang w:val="en-GB"/>
        </w:rPr>
      </w:pPr>
    </w:p>
    <w:p w14:paraId="2834F613" w14:textId="77777777" w:rsidR="00676734" w:rsidRPr="009964B4" w:rsidRDefault="00676734" w:rsidP="00676734">
      <w:pPr>
        <w:pStyle w:val="BodyText"/>
        <w:rPr>
          <w:rFonts w:ascii="Times New Roman"/>
          <w:sz w:val="20"/>
          <w:lang w:val="en-GB"/>
        </w:rPr>
      </w:pPr>
    </w:p>
    <w:p w14:paraId="12D1013C" w14:textId="77777777" w:rsidR="00676734" w:rsidRPr="009964B4" w:rsidRDefault="00676734" w:rsidP="00676734">
      <w:pPr>
        <w:pStyle w:val="BodyText"/>
        <w:rPr>
          <w:rFonts w:ascii="Times New Roman"/>
          <w:sz w:val="20"/>
          <w:lang w:val="en-GB"/>
        </w:rPr>
      </w:pPr>
    </w:p>
    <w:p w14:paraId="77291576" w14:textId="77777777" w:rsidR="00676734" w:rsidRPr="009964B4" w:rsidRDefault="00676734" w:rsidP="00676734">
      <w:pPr>
        <w:pStyle w:val="BodyText"/>
        <w:rPr>
          <w:rFonts w:ascii="Times New Roman"/>
          <w:sz w:val="20"/>
          <w:lang w:val="en-GB"/>
        </w:rPr>
      </w:pPr>
    </w:p>
    <w:p w14:paraId="7E2958AF" w14:textId="77777777" w:rsidR="00676734" w:rsidRPr="009964B4" w:rsidRDefault="00676734" w:rsidP="00676734">
      <w:pPr>
        <w:pStyle w:val="BodyText"/>
        <w:spacing w:before="24"/>
        <w:rPr>
          <w:rFonts w:ascii="Times New Roman"/>
          <w:sz w:val="20"/>
          <w:lang w:val="en-GB"/>
        </w:rPr>
      </w:pPr>
    </w:p>
    <w:p w14:paraId="133C257E" w14:textId="77777777" w:rsidR="00676734" w:rsidRPr="009964B4" w:rsidRDefault="00676734" w:rsidP="00676734">
      <w:pPr>
        <w:pStyle w:val="BodyText"/>
        <w:rPr>
          <w:rFonts w:ascii="Times New Roman"/>
          <w:sz w:val="20"/>
          <w:lang w:val="en-GB"/>
        </w:rPr>
        <w:sectPr w:rsidR="00676734" w:rsidRPr="009964B4" w:rsidSect="00676734">
          <w:type w:val="continuous"/>
          <w:pgSz w:w="11910" w:h="16850"/>
          <w:pgMar w:top="1320" w:right="0" w:bottom="280" w:left="283" w:header="0" w:footer="0" w:gutter="0"/>
          <w:cols w:space="720"/>
        </w:sectPr>
      </w:pPr>
    </w:p>
    <w:p w14:paraId="423796EC" w14:textId="77777777" w:rsidR="00676734" w:rsidRPr="009964B4" w:rsidRDefault="00676734" w:rsidP="00676734">
      <w:pPr>
        <w:pStyle w:val="BodyText"/>
        <w:spacing w:before="2"/>
        <w:rPr>
          <w:rFonts w:ascii="Times New Roman"/>
          <w:sz w:val="13"/>
          <w:lang w:val="en-GB"/>
        </w:rPr>
      </w:pPr>
    </w:p>
    <w:p w14:paraId="69A5B51F" w14:textId="18B5AEFF" w:rsidR="00676734" w:rsidRPr="009964B4" w:rsidRDefault="00676734" w:rsidP="00676734">
      <w:pPr>
        <w:spacing w:line="120" w:lineRule="exact"/>
        <w:ind w:left="-283" w:right="-461"/>
        <w:rPr>
          <w:rFonts w:ascii="Times New Roman"/>
          <w:position w:val="-1"/>
          <w:sz w:val="12"/>
        </w:rPr>
      </w:pPr>
    </w:p>
    <w:p w14:paraId="15225ADA" w14:textId="77777777" w:rsidR="00676734" w:rsidRPr="009964B4" w:rsidRDefault="00676734" w:rsidP="00676734">
      <w:pPr>
        <w:pStyle w:val="BodyText"/>
        <w:rPr>
          <w:rFonts w:ascii="Times New Roman"/>
          <w:sz w:val="24"/>
          <w:lang w:val="en-GB"/>
        </w:rPr>
      </w:pPr>
      <w:r w:rsidRPr="009964B4">
        <w:rPr>
          <w:lang w:val="en-GB"/>
        </w:rPr>
        <w:br w:type="column"/>
      </w:r>
    </w:p>
    <w:p w14:paraId="54A3BE41" w14:textId="573DA6CA" w:rsidR="00676734" w:rsidRPr="009964B4" w:rsidRDefault="00676734" w:rsidP="00676734">
      <w:pPr>
        <w:rPr>
          <w:rFonts w:ascii="Times New Roman"/>
          <w:sz w:val="24"/>
        </w:rPr>
      </w:pPr>
    </w:p>
    <w:p w14:paraId="39B261ED" w14:textId="2B329ED3" w:rsidR="00676734" w:rsidRPr="009964B4" w:rsidRDefault="00676734" w:rsidP="009042F6">
      <w:pPr>
        <w:spacing w:before="91"/>
        <w:ind w:left="141"/>
        <w:rPr>
          <w:rFonts w:ascii="Times New Roman"/>
          <w:sz w:val="13"/>
        </w:rPr>
        <w:sectPr w:rsidR="00676734" w:rsidRPr="009964B4" w:rsidSect="00676734">
          <w:type w:val="continuous"/>
          <w:pgSz w:w="11910" w:h="16850"/>
          <w:pgMar w:top="1320" w:right="0" w:bottom="280" w:left="283" w:header="0" w:footer="0" w:gutter="0"/>
          <w:cols w:num="3" w:space="720" w:equalWidth="0">
            <w:col w:w="728" w:space="3704"/>
            <w:col w:w="2374" w:space="3634"/>
            <w:col w:w="1187"/>
          </w:cols>
        </w:sectPr>
      </w:pPr>
      <w:r w:rsidRPr="009964B4">
        <w:br w:type="column"/>
      </w:r>
    </w:p>
    <w:p w14:paraId="07417A9B" w14:textId="2FF549B1" w:rsidR="00676734" w:rsidRPr="009964B4" w:rsidRDefault="00676734" w:rsidP="00676734">
      <w:pPr>
        <w:rPr>
          <w:sz w:val="18"/>
          <w:szCs w:val="18"/>
        </w:rPr>
        <w:sectPr w:rsidR="00676734" w:rsidRPr="009964B4" w:rsidSect="00AB7912">
          <w:type w:val="continuous"/>
          <w:pgSz w:w="11910" w:h="16850"/>
          <w:pgMar w:top="1418" w:right="1418" w:bottom="1418" w:left="1418" w:header="0" w:footer="0" w:gutter="0"/>
          <w:cols w:space="720"/>
        </w:sectPr>
      </w:pPr>
    </w:p>
    <w:p w14:paraId="73B6C803" w14:textId="77777777" w:rsidR="00AB7912" w:rsidRPr="00AB7912" w:rsidRDefault="00AB7912" w:rsidP="00AB7912">
      <w:pPr>
        <w:pageBreakBefore/>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bookmarkStart w:id="2" w:name="Oświadczenia_kierującego_pracą"/>
      <w:bookmarkEnd w:id="2"/>
    </w:p>
    <w:p w14:paraId="46241B84" w14:textId="77777777" w:rsidR="00AB7912" w:rsidRPr="00AB7912" w:rsidRDefault="00AB7912" w:rsidP="00AB7912">
      <w:pPr>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p>
    <w:p w14:paraId="72407DAD" w14:textId="77777777" w:rsidR="00AB7912" w:rsidRPr="00AB7912" w:rsidRDefault="00AB7912" w:rsidP="00AB7912">
      <w:pPr>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p>
    <w:p w14:paraId="2F22572D" w14:textId="77777777" w:rsidR="00AB7912" w:rsidRPr="002D17FF" w:rsidRDefault="00AB7912" w:rsidP="00AB7912">
      <w:pPr>
        <w:suppressAutoHyphens/>
        <w:autoSpaceDN w:val="0"/>
        <w:spacing w:before="240" w:after="60" w:line="240" w:lineRule="auto"/>
        <w:outlineLvl w:val="6"/>
        <w:rPr>
          <w:rFonts w:ascii="Times New Roman" w:eastAsia="Times New Roman" w:hAnsi="Times New Roman" w:cs="Times New Roman"/>
          <w:i/>
          <w:iCs/>
          <w:kern w:val="3"/>
          <w:sz w:val="24"/>
          <w:szCs w:val="24"/>
          <w:highlight w:val="yellow"/>
          <w:lang w:eastAsia="zh-CN"/>
          <w14:ligatures w14:val="none"/>
        </w:rPr>
      </w:pPr>
      <w:r w:rsidRPr="002D17FF">
        <w:rPr>
          <w:rFonts w:ascii="Times New Roman" w:eastAsia="Times New Roman" w:hAnsi="Times New Roman" w:cs="Times New Roman"/>
          <w:i/>
          <w:iCs/>
          <w:kern w:val="3"/>
          <w:sz w:val="24"/>
          <w:szCs w:val="24"/>
          <w:highlight w:val="yellow"/>
          <w:lang w:eastAsia="zh-CN"/>
          <w14:ligatures w14:val="none"/>
        </w:rPr>
        <w:t>Declaration of the supervisor</w:t>
      </w:r>
    </w:p>
    <w:p w14:paraId="5377209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iCs/>
          <w:kern w:val="3"/>
          <w:sz w:val="24"/>
          <w:szCs w:val="24"/>
          <w:highlight w:val="yellow"/>
          <w:lang w:eastAsia="zh-CN"/>
          <w14:ligatures w14:val="none"/>
        </w:rPr>
      </w:pPr>
    </w:p>
    <w:p w14:paraId="1C2AAA2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declare that the following thesis was written under my supervision and I state that it meets all criterias to be submitted for the procedure of academic degree award.</w:t>
      </w:r>
    </w:p>
    <w:p w14:paraId="2BCF98AE"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5621094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declare that my participation in the scientific article, which is a part of this thesis is ….%, while the supplement to the thesis was written independently by the graduate (s).</w:t>
      </w:r>
    </w:p>
    <w:p w14:paraId="4C6CC56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03DCC7A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cross out if not applicable</w:t>
      </w:r>
    </w:p>
    <w:p w14:paraId="47E3E1A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0C53AB6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Date</w:t>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t>Signature of the Supervisor</w:t>
      </w:r>
    </w:p>
    <w:p w14:paraId="00E3D7C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FD8BD3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78DFA00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360A0E12"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ACA9BE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09CD0009" w14:textId="77777777" w:rsidR="00AB7912" w:rsidRPr="002D17FF" w:rsidRDefault="00AB7912" w:rsidP="00AB7912">
      <w:pPr>
        <w:suppressAutoHyphens/>
        <w:autoSpaceDN w:val="0"/>
        <w:spacing w:before="240" w:after="60" w:line="240" w:lineRule="auto"/>
        <w:outlineLvl w:val="6"/>
        <w:rPr>
          <w:rFonts w:ascii="Times New Roman" w:eastAsia="Times New Roman" w:hAnsi="Times New Roman" w:cs="Times New Roman"/>
          <w:i/>
          <w:iCs/>
          <w:kern w:val="3"/>
          <w:sz w:val="24"/>
          <w:szCs w:val="24"/>
          <w:highlight w:val="yellow"/>
          <w:lang w:eastAsia="zh-CN"/>
          <w14:ligatures w14:val="none"/>
        </w:rPr>
      </w:pPr>
      <w:r w:rsidRPr="002D17FF">
        <w:rPr>
          <w:rFonts w:ascii="Times New Roman" w:eastAsia="Times New Roman" w:hAnsi="Times New Roman" w:cs="Times New Roman"/>
          <w:i/>
          <w:iCs/>
          <w:kern w:val="3"/>
          <w:sz w:val="24"/>
          <w:szCs w:val="24"/>
          <w:highlight w:val="yellow"/>
          <w:lang w:eastAsia="zh-CN"/>
          <w14:ligatures w14:val="none"/>
        </w:rPr>
        <w:t>Declaration of the author of the thesis**</w:t>
      </w:r>
    </w:p>
    <w:p w14:paraId="1887157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iCs/>
          <w:kern w:val="3"/>
          <w:sz w:val="24"/>
          <w:szCs w:val="24"/>
          <w:highlight w:val="yellow"/>
          <w:lang w:eastAsia="zh-CN"/>
          <w14:ligatures w14:val="none"/>
        </w:rPr>
      </w:pPr>
    </w:p>
    <w:p w14:paraId="114E3E0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Aware of the legal responsibility, I declare that I am the sole author of the following thesis and that the thesis is free from any content that constitutes copyright infringement or has been acquired contrary to applicable laws and regulations.</w:t>
      </w:r>
    </w:p>
    <w:p w14:paraId="01AF8D29"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46C70ADA"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also declare that the thesis has never been a subject of degree-awarding procedures in any higher education institution.</w:t>
      </w:r>
    </w:p>
    <w:p w14:paraId="5CF8267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6E76DF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Moreover I declare that the attached version of the thesis is identical with the enclosed electronic version.</w:t>
      </w:r>
    </w:p>
    <w:p w14:paraId="6773011C"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41FE819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 I declare that my*** participation in the scientific article, which is part of this thesis is ……..% (not less than 60%), while the supplement to the thesis was written by me***.</w:t>
      </w:r>
    </w:p>
    <w:p w14:paraId="5BBE3F57"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C90E35E"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cross out if not applicable</w:t>
      </w:r>
    </w:p>
    <w:p w14:paraId="4D6F632A"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453C302D"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Date</w:t>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t>Signature of the Author</w:t>
      </w:r>
    </w:p>
    <w:p w14:paraId="31111A19"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7822EC33"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6ECC466D"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DB6C50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57B05F2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43F1FF4" w14:textId="77777777" w:rsidR="00AB7912" w:rsidRPr="002D17FF" w:rsidRDefault="00AB7912" w:rsidP="00AB7912">
      <w:pPr>
        <w:suppressAutoHyphens/>
        <w:autoSpaceDN w:val="0"/>
        <w:spacing w:after="0" w:line="240" w:lineRule="auto"/>
        <w:rPr>
          <w:rFonts w:ascii="Times New Roman" w:eastAsia="Times New Roman" w:hAnsi="Times New Roman" w:cs="Times New Roman"/>
          <w:kern w:val="3"/>
          <w:sz w:val="24"/>
          <w:szCs w:val="24"/>
          <w:highlight w:val="yellow"/>
          <w:lang w:eastAsia="zh-CN"/>
          <w14:ligatures w14:val="none"/>
        </w:rPr>
      </w:pPr>
    </w:p>
    <w:p w14:paraId="24B9A3BE" w14:textId="77777777" w:rsidR="00AB7912" w:rsidRPr="002D17FF" w:rsidRDefault="00AB7912" w:rsidP="00AB7912">
      <w:pPr>
        <w:suppressAutoHyphens/>
        <w:autoSpaceDN w:val="0"/>
        <w:spacing w:after="0" w:line="240" w:lineRule="auto"/>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each of the co-authors of the thesis submit the statement separately.</w:t>
      </w:r>
    </w:p>
    <w:p w14:paraId="1343387D" w14:textId="535C6D44" w:rsidR="00676734" w:rsidRPr="002D17FF" w:rsidRDefault="00AB7912" w:rsidP="002D17FF">
      <w:pPr>
        <w:suppressAutoHyphens/>
        <w:autoSpaceDN w:val="0"/>
        <w:spacing w:after="0" w:line="240" w:lineRule="auto"/>
        <w:rPr>
          <w:rFonts w:ascii="Times New Roman" w:eastAsia="Times New Roman" w:hAnsi="Times New Roman" w:cs="Times New Roman"/>
          <w:i/>
          <w:kern w:val="3"/>
          <w:sz w:val="24"/>
          <w:szCs w:val="24"/>
          <w:lang w:eastAsia="zh-CN"/>
          <w14:ligatures w14:val="none"/>
        </w:rPr>
        <w:sectPr w:rsidR="00676734" w:rsidRPr="002D17FF" w:rsidSect="00AB7912">
          <w:footerReference w:type="default" r:id="rId9"/>
          <w:pgSz w:w="11910" w:h="16850"/>
          <w:pgMar w:top="1418" w:right="1418" w:bottom="1418" w:left="1418" w:header="0" w:footer="775" w:gutter="0"/>
          <w:pgNumType w:start="1"/>
          <w:cols w:space="720"/>
        </w:sectPr>
      </w:pPr>
      <w:r w:rsidRPr="002D17FF">
        <w:rPr>
          <w:rFonts w:ascii="Times New Roman" w:eastAsia="Times New Roman" w:hAnsi="Times New Roman" w:cs="Times New Roman"/>
          <w:i/>
          <w:kern w:val="3"/>
          <w:sz w:val="24"/>
          <w:szCs w:val="24"/>
          <w:highlight w:val="yellow"/>
          <w:lang w:eastAsia="zh-CN"/>
          <w14:ligatures w14:val="none"/>
        </w:rPr>
        <w:t>*** in the case of  co-author of thesis, substantive and percentage contribution should be declared.</w:t>
      </w:r>
    </w:p>
    <w:p w14:paraId="2638B383" w14:textId="77777777" w:rsidR="00607520" w:rsidRPr="00607520" w:rsidRDefault="00607520" w:rsidP="00607520">
      <w:pPr>
        <w:pageBreakBefore/>
        <w:suppressAutoHyphens/>
        <w:autoSpaceDN w:val="0"/>
        <w:spacing w:after="0" w:line="240" w:lineRule="auto"/>
        <w:jc w:val="both"/>
        <w:rPr>
          <w:rFonts w:ascii="Times New Roman" w:eastAsia="Times New Roman" w:hAnsi="Times New Roman" w:cs="Times New Roman"/>
          <w:i/>
          <w:spacing w:val="-3"/>
          <w:kern w:val="3"/>
          <w:sz w:val="24"/>
          <w:szCs w:val="24"/>
          <w:lang w:eastAsia="zh-CN"/>
          <w14:ligatures w14:val="none"/>
        </w:rPr>
      </w:pPr>
    </w:p>
    <w:p w14:paraId="684B7D08" w14:textId="77777777" w:rsidR="00607520" w:rsidRPr="001F451E" w:rsidRDefault="00607520" w:rsidP="00FA12C2">
      <w:pPr>
        <w:jc w:val="center"/>
        <w:rPr>
          <w:rFonts w:ascii="Times New Roman" w:hAnsi="Times New Roman" w:cs="Times New Roman"/>
          <w:sz w:val="24"/>
          <w:szCs w:val="24"/>
          <w:lang w:eastAsia="zh-CN"/>
        </w:rPr>
      </w:pPr>
    </w:p>
    <w:p w14:paraId="330890F2" w14:textId="77777777" w:rsidR="00607520" w:rsidRPr="001F451E" w:rsidRDefault="00607520" w:rsidP="00FA12C2">
      <w:pPr>
        <w:jc w:val="center"/>
        <w:rPr>
          <w:rFonts w:ascii="Times New Roman" w:hAnsi="Times New Roman" w:cs="Times New Roman"/>
          <w:b/>
          <w:bCs/>
          <w:sz w:val="24"/>
          <w:szCs w:val="24"/>
          <w:highlight w:val="yellow"/>
          <w:lang w:eastAsia="zh-CN"/>
        </w:rPr>
      </w:pPr>
      <w:r w:rsidRPr="001F451E">
        <w:rPr>
          <w:rFonts w:ascii="Times New Roman" w:hAnsi="Times New Roman" w:cs="Times New Roman"/>
          <w:b/>
          <w:bCs/>
          <w:sz w:val="24"/>
          <w:szCs w:val="24"/>
          <w:highlight w:val="yellow"/>
          <w:lang w:eastAsia="zh-CN"/>
        </w:rPr>
        <w:t>Summary</w:t>
      </w:r>
    </w:p>
    <w:p w14:paraId="6AAD631C" w14:textId="77777777" w:rsidR="00607520" w:rsidRPr="001F451E" w:rsidRDefault="00607520" w:rsidP="00FA12C2">
      <w:pPr>
        <w:jc w:val="center"/>
        <w:rPr>
          <w:rFonts w:ascii="Times New Roman" w:hAnsi="Times New Roman" w:cs="Times New Roman"/>
          <w:sz w:val="24"/>
          <w:szCs w:val="24"/>
          <w:highlight w:val="yellow"/>
          <w:lang w:eastAsia="zh-CN"/>
        </w:rPr>
      </w:pPr>
    </w:p>
    <w:p w14:paraId="18C02927" w14:textId="77777777" w:rsidR="00607520" w:rsidRPr="001F451E" w:rsidRDefault="00607520" w:rsidP="00FA12C2">
      <w:pPr>
        <w:jc w:val="center"/>
        <w:rPr>
          <w:rFonts w:ascii="Times New Roman" w:hAnsi="Times New Roman" w:cs="Times New Roman"/>
          <w:sz w:val="24"/>
          <w:szCs w:val="24"/>
          <w:highlight w:val="yellow"/>
          <w:lang w:eastAsia="zh-CN"/>
        </w:rPr>
      </w:pPr>
      <w:r w:rsidRPr="001F451E">
        <w:rPr>
          <w:rFonts w:ascii="Times New Roman" w:hAnsi="Times New Roman" w:cs="Times New Roman"/>
          <w:sz w:val="24"/>
          <w:szCs w:val="24"/>
          <w:highlight w:val="yellow"/>
          <w:lang w:eastAsia="zh-CN"/>
        </w:rPr>
        <w:t>The thesis concerns / covers / present issues...</w:t>
      </w:r>
    </w:p>
    <w:p w14:paraId="1EF779F0"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i/>
          <w:sz w:val="24"/>
          <w:szCs w:val="24"/>
          <w:highlight w:val="yellow"/>
          <w:lang w:eastAsia="zh-CN"/>
        </w:rPr>
        <w:t>&lt;justified text, no tab, containing no more than 800 signs with spaces. Do not specify the purpose or topic of  the thesis&gt;</w:t>
      </w:r>
    </w:p>
    <w:p w14:paraId="170DAB94" w14:textId="77777777" w:rsidR="00607520" w:rsidRPr="001F451E" w:rsidRDefault="00607520" w:rsidP="00FA12C2">
      <w:pPr>
        <w:jc w:val="center"/>
        <w:rPr>
          <w:rFonts w:ascii="Times New Roman" w:hAnsi="Times New Roman" w:cs="Times New Roman"/>
          <w:i/>
          <w:sz w:val="24"/>
          <w:szCs w:val="24"/>
          <w:lang w:eastAsia="zh-CN"/>
        </w:rPr>
      </w:pPr>
    </w:p>
    <w:p w14:paraId="027C19DF" w14:textId="77777777" w:rsidR="00607520" w:rsidRPr="001F451E" w:rsidRDefault="00607520" w:rsidP="00FA12C2">
      <w:pPr>
        <w:jc w:val="center"/>
        <w:rPr>
          <w:rFonts w:ascii="Times New Roman" w:hAnsi="Times New Roman" w:cs="Times New Roman"/>
          <w:sz w:val="24"/>
          <w:szCs w:val="24"/>
          <w:lang w:eastAsia="zh-CN"/>
        </w:rPr>
      </w:pPr>
    </w:p>
    <w:p w14:paraId="6DF92FF7" w14:textId="77777777" w:rsidR="00607520" w:rsidRPr="001F451E" w:rsidRDefault="00607520" w:rsidP="00FA12C2">
      <w:pPr>
        <w:jc w:val="center"/>
        <w:rPr>
          <w:rFonts w:ascii="Times New Roman" w:hAnsi="Times New Roman" w:cs="Times New Roman"/>
          <w:sz w:val="24"/>
          <w:szCs w:val="24"/>
          <w:lang w:eastAsia="zh-CN"/>
        </w:rPr>
      </w:pPr>
    </w:p>
    <w:p w14:paraId="0BB1FA2B" w14:textId="77777777" w:rsidR="00607520" w:rsidRPr="001F451E" w:rsidRDefault="00607520" w:rsidP="00FA12C2">
      <w:pPr>
        <w:jc w:val="center"/>
        <w:rPr>
          <w:rFonts w:ascii="Times New Roman" w:hAnsi="Times New Roman" w:cs="Times New Roman"/>
          <w:sz w:val="24"/>
          <w:szCs w:val="24"/>
          <w:lang w:eastAsia="zh-CN"/>
        </w:rPr>
      </w:pPr>
    </w:p>
    <w:p w14:paraId="45D6E929" w14:textId="77777777" w:rsidR="00607520" w:rsidRPr="001F451E" w:rsidRDefault="00607520" w:rsidP="00FA12C2">
      <w:pPr>
        <w:jc w:val="center"/>
        <w:rPr>
          <w:rFonts w:ascii="Times New Roman" w:hAnsi="Times New Roman" w:cs="Times New Roman"/>
          <w:b/>
          <w:bCs/>
          <w:sz w:val="24"/>
          <w:szCs w:val="24"/>
          <w:highlight w:val="yellow"/>
          <w:lang w:eastAsia="zh-CN"/>
        </w:rPr>
      </w:pPr>
      <w:r w:rsidRPr="001F451E">
        <w:rPr>
          <w:rFonts w:ascii="Times New Roman" w:hAnsi="Times New Roman" w:cs="Times New Roman"/>
          <w:b/>
          <w:bCs/>
          <w:sz w:val="24"/>
          <w:szCs w:val="24"/>
          <w:highlight w:val="yellow"/>
          <w:lang w:eastAsia="zh-CN"/>
        </w:rPr>
        <w:t>Key  words</w:t>
      </w:r>
    </w:p>
    <w:p w14:paraId="60BBA3CF" w14:textId="77777777" w:rsidR="00607520" w:rsidRPr="001F451E" w:rsidRDefault="00607520" w:rsidP="00FA12C2">
      <w:pPr>
        <w:jc w:val="center"/>
        <w:rPr>
          <w:rFonts w:ascii="Times New Roman" w:hAnsi="Times New Roman" w:cs="Times New Roman"/>
          <w:sz w:val="24"/>
          <w:szCs w:val="24"/>
          <w:highlight w:val="yellow"/>
          <w:lang w:eastAsia="zh-CN"/>
        </w:rPr>
      </w:pPr>
    </w:p>
    <w:p w14:paraId="198814D8"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sz w:val="24"/>
          <w:szCs w:val="24"/>
          <w:highlight w:val="yellow"/>
          <w:lang w:eastAsia="zh-CN"/>
        </w:rPr>
        <w:t>&lt;</w:t>
      </w:r>
      <w:r w:rsidRPr="001F451E">
        <w:rPr>
          <w:rFonts w:ascii="Times New Roman" w:hAnsi="Times New Roman" w:cs="Times New Roman"/>
          <w:i/>
          <w:sz w:val="24"/>
          <w:szCs w:val="24"/>
          <w:highlight w:val="yellow"/>
          <w:lang w:eastAsia="zh-CN"/>
        </w:rPr>
        <w:t>words centered, separated by commas, written in lowercase - except for generic names, including terms related to the work - mainly from the title of the thesis and the thesis summary, total number of words- no more than 10&gt;</w:t>
      </w:r>
    </w:p>
    <w:p w14:paraId="14945160" w14:textId="77777777" w:rsidR="00607520" w:rsidRPr="001F451E" w:rsidRDefault="00607520" w:rsidP="00FA12C2">
      <w:pPr>
        <w:jc w:val="center"/>
        <w:rPr>
          <w:rFonts w:ascii="Times New Roman" w:hAnsi="Times New Roman" w:cs="Times New Roman"/>
          <w:sz w:val="24"/>
          <w:szCs w:val="24"/>
          <w:lang w:eastAsia="zh-CN"/>
        </w:rPr>
      </w:pPr>
    </w:p>
    <w:p w14:paraId="19029E7A" w14:textId="77777777" w:rsidR="00607520" w:rsidRPr="001F451E" w:rsidRDefault="00607520" w:rsidP="00FA12C2">
      <w:pPr>
        <w:jc w:val="center"/>
        <w:rPr>
          <w:rFonts w:ascii="Times New Roman" w:hAnsi="Times New Roman" w:cs="Times New Roman"/>
          <w:sz w:val="24"/>
          <w:szCs w:val="24"/>
          <w:lang w:eastAsia="zh-CN"/>
        </w:rPr>
      </w:pPr>
    </w:p>
    <w:p w14:paraId="1486768E" w14:textId="77777777" w:rsidR="00607520" w:rsidRPr="001F451E" w:rsidRDefault="00607520" w:rsidP="00FA12C2">
      <w:pPr>
        <w:jc w:val="center"/>
        <w:rPr>
          <w:rFonts w:ascii="Times New Roman" w:hAnsi="Times New Roman" w:cs="Times New Roman"/>
          <w:sz w:val="24"/>
          <w:szCs w:val="24"/>
          <w:lang w:eastAsia="zh-CN"/>
        </w:rPr>
      </w:pPr>
    </w:p>
    <w:p w14:paraId="057EDCF6" w14:textId="77777777" w:rsidR="00607520" w:rsidRPr="001F451E" w:rsidRDefault="00607520" w:rsidP="00FA12C2">
      <w:pPr>
        <w:jc w:val="center"/>
        <w:rPr>
          <w:rFonts w:ascii="Times New Roman" w:hAnsi="Times New Roman" w:cs="Times New Roman"/>
          <w:sz w:val="24"/>
          <w:szCs w:val="24"/>
          <w:lang w:eastAsia="zh-CN"/>
        </w:rPr>
      </w:pPr>
    </w:p>
    <w:p w14:paraId="6EEF85C2" w14:textId="77777777" w:rsidR="00607520" w:rsidRPr="001F451E" w:rsidRDefault="00607520" w:rsidP="00FA12C2">
      <w:pPr>
        <w:jc w:val="center"/>
        <w:rPr>
          <w:rFonts w:ascii="Times New Roman" w:hAnsi="Times New Roman" w:cs="Times New Roman"/>
          <w:b/>
          <w:sz w:val="24"/>
          <w:szCs w:val="24"/>
          <w:highlight w:val="yellow"/>
          <w:lang w:eastAsia="zh-CN"/>
        </w:rPr>
      </w:pPr>
      <w:r w:rsidRPr="001F451E">
        <w:rPr>
          <w:rFonts w:ascii="Times New Roman" w:hAnsi="Times New Roman" w:cs="Times New Roman"/>
          <w:b/>
          <w:sz w:val="24"/>
          <w:szCs w:val="24"/>
          <w:highlight w:val="yellow"/>
          <w:lang w:eastAsia="zh-CN"/>
        </w:rPr>
        <w:t>Field of the thesis (codes according to the Erasmus program)</w:t>
      </w:r>
    </w:p>
    <w:p w14:paraId="75EB4CBF" w14:textId="77777777" w:rsidR="00607520" w:rsidRPr="001F451E" w:rsidRDefault="00607520" w:rsidP="00FA12C2">
      <w:pPr>
        <w:jc w:val="center"/>
        <w:rPr>
          <w:rFonts w:ascii="Times New Roman" w:hAnsi="Times New Roman" w:cs="Times New Roman"/>
          <w:sz w:val="24"/>
          <w:szCs w:val="24"/>
          <w:highlight w:val="yellow"/>
          <w:lang w:eastAsia="zh-CN"/>
        </w:rPr>
      </w:pPr>
    </w:p>
    <w:p w14:paraId="5EEC4388"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sz w:val="24"/>
          <w:szCs w:val="24"/>
          <w:highlight w:val="yellow"/>
          <w:lang w:eastAsia="zh-CN"/>
        </w:rPr>
        <w:t>Economics (14300)</w:t>
      </w:r>
    </w:p>
    <w:p w14:paraId="28E793E5" w14:textId="77777777" w:rsidR="00607520" w:rsidRPr="001F451E" w:rsidRDefault="00607520" w:rsidP="00FA12C2">
      <w:pPr>
        <w:jc w:val="center"/>
        <w:rPr>
          <w:rFonts w:ascii="Times New Roman" w:hAnsi="Times New Roman" w:cs="Times New Roman"/>
          <w:sz w:val="24"/>
          <w:szCs w:val="24"/>
          <w:lang w:eastAsia="zh-CN"/>
        </w:rPr>
      </w:pPr>
    </w:p>
    <w:p w14:paraId="572189B6" w14:textId="77777777" w:rsidR="00607520" w:rsidRPr="001F451E" w:rsidRDefault="00607520" w:rsidP="00FA12C2">
      <w:pPr>
        <w:jc w:val="center"/>
        <w:rPr>
          <w:rFonts w:ascii="Times New Roman" w:hAnsi="Times New Roman" w:cs="Times New Roman"/>
          <w:sz w:val="24"/>
          <w:szCs w:val="24"/>
          <w:lang w:eastAsia="zh-CN"/>
        </w:rPr>
      </w:pPr>
    </w:p>
    <w:p w14:paraId="3CACFCEF" w14:textId="77777777" w:rsidR="00607520" w:rsidRPr="001F451E" w:rsidRDefault="00607520" w:rsidP="00FA12C2">
      <w:pPr>
        <w:jc w:val="center"/>
        <w:rPr>
          <w:rFonts w:ascii="Times New Roman" w:hAnsi="Times New Roman" w:cs="Times New Roman"/>
          <w:sz w:val="24"/>
          <w:szCs w:val="24"/>
          <w:lang w:eastAsia="zh-CN"/>
        </w:rPr>
      </w:pPr>
    </w:p>
    <w:p w14:paraId="5370334A" w14:textId="77777777" w:rsidR="00607520" w:rsidRPr="001F451E" w:rsidRDefault="00607520" w:rsidP="00FA12C2">
      <w:pPr>
        <w:jc w:val="center"/>
        <w:rPr>
          <w:rFonts w:ascii="Times New Roman" w:hAnsi="Times New Roman" w:cs="Times New Roman"/>
          <w:sz w:val="24"/>
          <w:szCs w:val="24"/>
          <w:lang w:eastAsia="zh-CN"/>
        </w:rPr>
      </w:pPr>
    </w:p>
    <w:p w14:paraId="126C8F41" w14:textId="77777777" w:rsidR="00607520" w:rsidRPr="001F451E" w:rsidRDefault="00607520" w:rsidP="00FA12C2">
      <w:pPr>
        <w:jc w:val="center"/>
        <w:rPr>
          <w:rFonts w:ascii="Times New Roman" w:hAnsi="Times New Roman" w:cs="Times New Roman"/>
          <w:sz w:val="24"/>
          <w:szCs w:val="24"/>
          <w:highlight w:val="yellow"/>
          <w:lang w:eastAsia="zh-CN"/>
        </w:rPr>
      </w:pPr>
      <w:r w:rsidRPr="001F451E">
        <w:rPr>
          <w:rFonts w:ascii="Times New Roman" w:hAnsi="Times New Roman" w:cs="Times New Roman"/>
          <w:sz w:val="24"/>
          <w:szCs w:val="24"/>
          <w:highlight w:val="yellow"/>
          <w:lang w:eastAsia="zh-CN"/>
        </w:rPr>
        <w:t>Thematic classification</w:t>
      </w:r>
    </w:p>
    <w:p w14:paraId="69C05D45" w14:textId="77777777" w:rsidR="00607520" w:rsidRPr="001F451E" w:rsidRDefault="00607520" w:rsidP="00FA12C2">
      <w:pPr>
        <w:jc w:val="center"/>
        <w:rPr>
          <w:rFonts w:ascii="Times New Roman" w:hAnsi="Times New Roman" w:cs="Times New Roman"/>
          <w:sz w:val="24"/>
          <w:szCs w:val="24"/>
          <w:highlight w:val="yellow"/>
          <w:lang w:eastAsia="zh-CN"/>
        </w:rPr>
      </w:pPr>
    </w:p>
    <w:p w14:paraId="13C703CD"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i/>
          <w:sz w:val="24"/>
          <w:szCs w:val="24"/>
          <w:highlight w:val="yellow"/>
          <w:lang w:eastAsia="zh-CN"/>
        </w:rPr>
        <w:t>&lt;If it is unknown,do not put anything &gt;</w:t>
      </w:r>
    </w:p>
    <w:p w14:paraId="54E979E2" w14:textId="77777777" w:rsidR="00607520" w:rsidRPr="001F451E" w:rsidRDefault="00607520" w:rsidP="00FA12C2">
      <w:pPr>
        <w:jc w:val="center"/>
        <w:rPr>
          <w:rFonts w:ascii="Times New Roman" w:hAnsi="Times New Roman" w:cs="Times New Roman"/>
          <w:b/>
          <w:bCs/>
          <w:i/>
          <w:sz w:val="24"/>
          <w:szCs w:val="24"/>
          <w:lang w:eastAsia="zh-CN"/>
        </w:rPr>
      </w:pPr>
    </w:p>
    <w:p w14:paraId="1BF5A59A" w14:textId="77777777" w:rsidR="00607520" w:rsidRPr="001F451E" w:rsidRDefault="00607520" w:rsidP="00FA12C2">
      <w:pPr>
        <w:jc w:val="center"/>
        <w:rPr>
          <w:rFonts w:ascii="Times New Roman" w:hAnsi="Times New Roman" w:cs="Times New Roman"/>
          <w:b/>
          <w:bCs/>
          <w:sz w:val="24"/>
          <w:szCs w:val="24"/>
          <w:lang w:eastAsia="zh-CN"/>
        </w:rPr>
      </w:pPr>
    </w:p>
    <w:p w14:paraId="39DEB7E6" w14:textId="77777777" w:rsidR="00607520" w:rsidRPr="001F451E" w:rsidRDefault="00607520" w:rsidP="00FA12C2">
      <w:pPr>
        <w:jc w:val="center"/>
        <w:rPr>
          <w:rFonts w:ascii="Times New Roman" w:hAnsi="Times New Roman" w:cs="Times New Roman"/>
          <w:b/>
          <w:bCs/>
          <w:sz w:val="24"/>
          <w:szCs w:val="24"/>
          <w:lang w:eastAsia="zh-CN"/>
        </w:rPr>
      </w:pPr>
    </w:p>
    <w:p w14:paraId="3041B9D0" w14:textId="77777777" w:rsidR="00607520" w:rsidRPr="001F451E" w:rsidRDefault="00607520" w:rsidP="00FA12C2">
      <w:pPr>
        <w:jc w:val="center"/>
        <w:rPr>
          <w:rFonts w:ascii="Times New Roman" w:hAnsi="Times New Roman" w:cs="Times New Roman"/>
          <w:b/>
          <w:bCs/>
          <w:sz w:val="24"/>
          <w:szCs w:val="24"/>
          <w:lang w:eastAsia="zh-CN"/>
        </w:rPr>
      </w:pPr>
    </w:p>
    <w:p w14:paraId="6482306F" w14:textId="77777777" w:rsidR="00607520" w:rsidRPr="001F451E" w:rsidRDefault="00607520" w:rsidP="00FA12C2">
      <w:pPr>
        <w:jc w:val="center"/>
        <w:rPr>
          <w:rFonts w:ascii="Times New Roman" w:hAnsi="Times New Roman" w:cs="Times New Roman"/>
          <w:b/>
          <w:bCs/>
          <w:sz w:val="24"/>
          <w:szCs w:val="24"/>
          <w:highlight w:val="yellow"/>
          <w:lang w:eastAsia="zh-CN"/>
        </w:rPr>
      </w:pPr>
      <w:r w:rsidRPr="001F451E">
        <w:rPr>
          <w:rFonts w:ascii="Times New Roman" w:hAnsi="Times New Roman" w:cs="Times New Roman"/>
          <w:b/>
          <w:bCs/>
          <w:sz w:val="24"/>
          <w:szCs w:val="24"/>
          <w:highlight w:val="yellow"/>
          <w:lang w:eastAsia="zh-CN"/>
        </w:rPr>
        <w:t>The title of the thesis in Polish</w:t>
      </w:r>
    </w:p>
    <w:p w14:paraId="7189044A" w14:textId="77777777" w:rsidR="00607520" w:rsidRPr="001F451E" w:rsidRDefault="00607520" w:rsidP="00FA12C2">
      <w:pPr>
        <w:jc w:val="center"/>
        <w:rPr>
          <w:rFonts w:ascii="Times New Roman" w:hAnsi="Times New Roman" w:cs="Times New Roman"/>
          <w:bCs/>
          <w:sz w:val="24"/>
          <w:szCs w:val="24"/>
          <w:highlight w:val="yellow"/>
          <w:lang w:eastAsia="zh-CN"/>
        </w:rPr>
      </w:pPr>
    </w:p>
    <w:p w14:paraId="30766F4A"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i/>
          <w:sz w:val="24"/>
          <w:szCs w:val="24"/>
          <w:highlight w:val="yellow"/>
          <w:lang w:eastAsia="zh-CN"/>
        </w:rPr>
        <w:t>&lt;The title of the thesis translated into Polish&gt;</w:t>
      </w:r>
    </w:p>
    <w:p w14:paraId="4A982CA5" w14:textId="77777777" w:rsidR="00607520" w:rsidRPr="00607520" w:rsidRDefault="00607520" w:rsidP="00FA12C2">
      <w:pPr>
        <w:jc w:val="center"/>
        <w:rPr>
          <w:i/>
          <w:lang w:eastAsia="zh-CN"/>
        </w:rPr>
      </w:pPr>
    </w:p>
    <w:p w14:paraId="4AF589B6" w14:textId="77777777" w:rsidR="00607520" w:rsidRPr="00607520" w:rsidRDefault="00607520" w:rsidP="00607520">
      <w:pPr>
        <w:suppressAutoHyphens/>
        <w:autoSpaceDN w:val="0"/>
        <w:spacing w:after="0" w:line="240" w:lineRule="auto"/>
        <w:ind w:left="360" w:hanging="360"/>
        <w:jc w:val="center"/>
        <w:rPr>
          <w:rFonts w:ascii="Times New Roman" w:eastAsia="Times New Roman" w:hAnsi="Times New Roman" w:cs="Times New Roman"/>
          <w:i/>
          <w:spacing w:val="-3"/>
          <w:kern w:val="3"/>
          <w:sz w:val="24"/>
          <w:szCs w:val="24"/>
          <w:lang w:eastAsia="zh-CN"/>
          <w14:ligatures w14:val="none"/>
        </w:rPr>
      </w:pPr>
    </w:p>
    <w:p w14:paraId="08DA964F" w14:textId="77777777" w:rsidR="00A1390F" w:rsidRPr="00607520" w:rsidRDefault="00A1390F" w:rsidP="00A1390F">
      <w:pPr>
        <w:pStyle w:val="BodyText"/>
        <w:spacing w:before="2"/>
        <w:rPr>
          <w:rFonts w:ascii="Times New Roman"/>
          <w:sz w:val="13"/>
          <w:lang w:val="en-GB"/>
        </w:rPr>
      </w:pPr>
    </w:p>
    <w:p w14:paraId="44C4FC30" w14:textId="5AF44654" w:rsidR="00A1390F" w:rsidRPr="00607520" w:rsidRDefault="00A1390F" w:rsidP="00A1390F">
      <w:pPr>
        <w:spacing w:line="120" w:lineRule="exact"/>
        <w:ind w:left="-283" w:right="-461"/>
        <w:rPr>
          <w:rFonts w:ascii="Times New Roman"/>
          <w:position w:val="-1"/>
          <w:sz w:val="12"/>
        </w:rPr>
      </w:pPr>
    </w:p>
    <w:p w14:paraId="487AAD38" w14:textId="77777777" w:rsidR="00676734" w:rsidRPr="00607520" w:rsidRDefault="00676734" w:rsidP="00676734">
      <w:pPr>
        <w:pStyle w:val="BodyText"/>
        <w:rPr>
          <w:lang w:val="en-GB"/>
        </w:rPr>
      </w:pPr>
    </w:p>
    <w:p w14:paraId="269FB106" w14:textId="77777777" w:rsidR="00676734" w:rsidRPr="00607520" w:rsidRDefault="00676734">
      <w:pPr>
        <w:rPr>
          <w:rFonts w:ascii="Arial MT" w:eastAsia="Arial MT" w:hAnsi="Arial MT" w:cs="Arial MT"/>
          <w:kern w:val="0"/>
          <w14:ligatures w14:val="none"/>
        </w:rPr>
      </w:pPr>
      <w:r w:rsidRPr="00607520">
        <w:br w:type="page"/>
      </w:r>
    </w:p>
    <w:sdt>
      <w:sdtPr>
        <w:rPr>
          <w:rFonts w:asciiTheme="minorHAnsi" w:eastAsiaTheme="minorHAnsi" w:hAnsiTheme="minorHAnsi" w:cstheme="minorBidi"/>
          <w:color w:val="auto"/>
          <w:kern w:val="2"/>
          <w:sz w:val="22"/>
          <w:szCs w:val="22"/>
          <w:lang w:eastAsia="en-US"/>
          <w14:ligatures w14:val="standardContextual"/>
        </w:rPr>
        <w:id w:val="-1623613791"/>
        <w:docPartObj>
          <w:docPartGallery w:val="Table of Contents"/>
          <w:docPartUnique/>
        </w:docPartObj>
      </w:sdtPr>
      <w:sdtEndPr>
        <w:rPr>
          <w:b/>
          <w:bCs/>
        </w:rPr>
      </w:sdtEndPr>
      <w:sdtContent>
        <w:p w14:paraId="3826557C" w14:textId="59082B28" w:rsidR="00A1390F" w:rsidRPr="00FA12C2" w:rsidRDefault="00607520" w:rsidP="00607520">
          <w:pPr>
            <w:pStyle w:val="TOCHeading"/>
            <w:jc w:val="center"/>
            <w:rPr>
              <w:rFonts w:ascii="Times New Roman" w:eastAsiaTheme="minorHAnsi" w:hAnsi="Times New Roman" w:cs="Times New Roman"/>
              <w:b/>
              <w:bCs/>
              <w:color w:val="000000" w:themeColor="text1"/>
              <w:kern w:val="2"/>
              <w:sz w:val="24"/>
              <w:szCs w:val="24"/>
              <w:lang w:eastAsia="en-US"/>
              <w14:ligatures w14:val="standardContextual"/>
            </w:rPr>
          </w:pPr>
          <w:r w:rsidRPr="00FA12C2">
            <w:rPr>
              <w:rFonts w:ascii="Times New Roman" w:hAnsi="Times New Roman" w:cs="Times New Roman"/>
              <w:b/>
              <w:bCs/>
              <w:color w:val="000000" w:themeColor="text1"/>
              <w:sz w:val="24"/>
              <w:szCs w:val="24"/>
            </w:rPr>
            <w:t>TABLE OF CONTENTS</w:t>
          </w:r>
        </w:p>
        <w:p w14:paraId="595A570D" w14:textId="341224E4" w:rsidR="00995883" w:rsidRDefault="00A1390F">
          <w:pPr>
            <w:pStyle w:val="TOC1"/>
            <w:tabs>
              <w:tab w:val="right" w:leader="dot" w:pos="906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0044112" w:history="1">
            <w:r w:rsidR="00995883" w:rsidRPr="00082866">
              <w:rPr>
                <w:rStyle w:val="Hyperlink"/>
                <w:noProof/>
              </w:rPr>
              <w:t>INTRODUCTION</w:t>
            </w:r>
            <w:r w:rsidR="00995883">
              <w:rPr>
                <w:noProof/>
                <w:webHidden/>
              </w:rPr>
              <w:tab/>
            </w:r>
            <w:r w:rsidR="00995883">
              <w:rPr>
                <w:noProof/>
                <w:webHidden/>
              </w:rPr>
              <w:fldChar w:fldCharType="begin"/>
            </w:r>
            <w:r w:rsidR="00995883">
              <w:rPr>
                <w:noProof/>
                <w:webHidden/>
              </w:rPr>
              <w:instrText xml:space="preserve"> PAGEREF _Toc230044112 \h </w:instrText>
            </w:r>
            <w:r w:rsidR="00995883">
              <w:rPr>
                <w:noProof/>
                <w:webHidden/>
              </w:rPr>
            </w:r>
            <w:r w:rsidR="00995883">
              <w:rPr>
                <w:noProof/>
                <w:webHidden/>
              </w:rPr>
              <w:fldChar w:fldCharType="separate"/>
            </w:r>
            <w:r w:rsidR="00995883">
              <w:rPr>
                <w:noProof/>
                <w:webHidden/>
              </w:rPr>
              <w:t>6</w:t>
            </w:r>
            <w:r w:rsidR="00995883">
              <w:rPr>
                <w:noProof/>
                <w:webHidden/>
              </w:rPr>
              <w:fldChar w:fldCharType="end"/>
            </w:r>
          </w:hyperlink>
        </w:p>
        <w:p w14:paraId="79CA780B" w14:textId="17FB916D" w:rsidR="00995883" w:rsidRDefault="00995883">
          <w:pPr>
            <w:pStyle w:val="TOC1"/>
            <w:tabs>
              <w:tab w:val="right" w:leader="dot" w:pos="9060"/>
            </w:tabs>
            <w:rPr>
              <w:rFonts w:cstheme="minorBidi"/>
              <w:noProof/>
              <w:kern w:val="2"/>
              <w:sz w:val="24"/>
              <w:szCs w:val="24"/>
              <w14:ligatures w14:val="standardContextual"/>
            </w:rPr>
          </w:pPr>
          <w:hyperlink w:anchor="_Toc230044113" w:history="1">
            <w:r w:rsidRPr="00082866">
              <w:rPr>
                <w:rStyle w:val="Hyperlink"/>
                <w:noProof/>
              </w:rPr>
              <w:t>CHAPTER I</w:t>
            </w:r>
            <w:r>
              <w:rPr>
                <w:noProof/>
                <w:webHidden/>
              </w:rPr>
              <w:tab/>
            </w:r>
            <w:r>
              <w:rPr>
                <w:noProof/>
                <w:webHidden/>
              </w:rPr>
              <w:fldChar w:fldCharType="begin"/>
            </w:r>
            <w:r>
              <w:rPr>
                <w:noProof/>
                <w:webHidden/>
              </w:rPr>
              <w:instrText xml:space="preserve"> PAGEREF _Toc230044113 \h </w:instrText>
            </w:r>
            <w:r>
              <w:rPr>
                <w:noProof/>
                <w:webHidden/>
              </w:rPr>
            </w:r>
            <w:r>
              <w:rPr>
                <w:noProof/>
                <w:webHidden/>
              </w:rPr>
              <w:fldChar w:fldCharType="separate"/>
            </w:r>
            <w:r>
              <w:rPr>
                <w:noProof/>
                <w:webHidden/>
              </w:rPr>
              <w:t>7</w:t>
            </w:r>
            <w:r>
              <w:rPr>
                <w:noProof/>
                <w:webHidden/>
              </w:rPr>
              <w:fldChar w:fldCharType="end"/>
            </w:r>
          </w:hyperlink>
        </w:p>
        <w:p w14:paraId="676C3488" w14:textId="0363D2FB" w:rsidR="00995883" w:rsidRDefault="00995883">
          <w:pPr>
            <w:pStyle w:val="TOC1"/>
            <w:tabs>
              <w:tab w:val="right" w:leader="dot" w:pos="9060"/>
            </w:tabs>
            <w:rPr>
              <w:rFonts w:cstheme="minorBidi"/>
              <w:noProof/>
              <w:kern w:val="2"/>
              <w:sz w:val="24"/>
              <w:szCs w:val="24"/>
              <w14:ligatures w14:val="standardContextual"/>
            </w:rPr>
          </w:pPr>
          <w:hyperlink w:anchor="_Toc230044114" w:history="1">
            <w:r w:rsidRPr="00082866">
              <w:rPr>
                <w:rStyle w:val="Hyperlink"/>
                <w:noProof/>
              </w:rPr>
              <w:t>LITERATURE REVIEW  AND THEORETICAL FRAMEWORK</w:t>
            </w:r>
            <w:r>
              <w:rPr>
                <w:noProof/>
                <w:webHidden/>
              </w:rPr>
              <w:tab/>
            </w:r>
            <w:r>
              <w:rPr>
                <w:noProof/>
                <w:webHidden/>
              </w:rPr>
              <w:fldChar w:fldCharType="begin"/>
            </w:r>
            <w:r>
              <w:rPr>
                <w:noProof/>
                <w:webHidden/>
              </w:rPr>
              <w:instrText xml:space="preserve"> PAGEREF _Toc230044114 \h </w:instrText>
            </w:r>
            <w:r>
              <w:rPr>
                <w:noProof/>
                <w:webHidden/>
              </w:rPr>
            </w:r>
            <w:r>
              <w:rPr>
                <w:noProof/>
                <w:webHidden/>
              </w:rPr>
              <w:fldChar w:fldCharType="separate"/>
            </w:r>
            <w:r>
              <w:rPr>
                <w:noProof/>
                <w:webHidden/>
              </w:rPr>
              <w:t>7</w:t>
            </w:r>
            <w:r>
              <w:rPr>
                <w:noProof/>
                <w:webHidden/>
              </w:rPr>
              <w:fldChar w:fldCharType="end"/>
            </w:r>
          </w:hyperlink>
        </w:p>
        <w:p w14:paraId="3D282D08" w14:textId="7DFEF3D4" w:rsidR="00995883" w:rsidRDefault="00995883">
          <w:pPr>
            <w:pStyle w:val="TOC2"/>
            <w:tabs>
              <w:tab w:val="right" w:leader="dot" w:pos="9060"/>
            </w:tabs>
            <w:rPr>
              <w:rFonts w:eastAsiaTheme="minorEastAsia"/>
              <w:noProof/>
              <w:sz w:val="24"/>
              <w:szCs w:val="24"/>
              <w:lang w:eastAsia="en-GB"/>
            </w:rPr>
          </w:pPr>
          <w:hyperlink w:anchor="_Toc230044115" w:history="1">
            <w:r w:rsidRPr="00082866">
              <w:rPr>
                <w:rStyle w:val="Hyperlink"/>
                <w:noProof/>
              </w:rPr>
              <w:t>1.1. Technology, Automation, and Wages: A Historical Perspective</w:t>
            </w:r>
            <w:r>
              <w:rPr>
                <w:noProof/>
                <w:webHidden/>
              </w:rPr>
              <w:tab/>
            </w:r>
            <w:r>
              <w:rPr>
                <w:noProof/>
                <w:webHidden/>
              </w:rPr>
              <w:fldChar w:fldCharType="begin"/>
            </w:r>
            <w:r>
              <w:rPr>
                <w:noProof/>
                <w:webHidden/>
              </w:rPr>
              <w:instrText xml:space="preserve"> PAGEREF _Toc230044115 \h </w:instrText>
            </w:r>
            <w:r>
              <w:rPr>
                <w:noProof/>
                <w:webHidden/>
              </w:rPr>
            </w:r>
            <w:r>
              <w:rPr>
                <w:noProof/>
                <w:webHidden/>
              </w:rPr>
              <w:fldChar w:fldCharType="separate"/>
            </w:r>
            <w:r>
              <w:rPr>
                <w:noProof/>
                <w:webHidden/>
              </w:rPr>
              <w:t>7</w:t>
            </w:r>
            <w:r>
              <w:rPr>
                <w:noProof/>
                <w:webHidden/>
              </w:rPr>
              <w:fldChar w:fldCharType="end"/>
            </w:r>
          </w:hyperlink>
        </w:p>
        <w:p w14:paraId="49546DC3" w14:textId="14E81E1F" w:rsidR="00995883" w:rsidRDefault="00995883">
          <w:pPr>
            <w:pStyle w:val="TOC3"/>
            <w:tabs>
              <w:tab w:val="right" w:leader="dot" w:pos="9060"/>
            </w:tabs>
            <w:rPr>
              <w:rFonts w:cstheme="minorBidi"/>
              <w:noProof/>
              <w:kern w:val="2"/>
              <w:sz w:val="24"/>
              <w:szCs w:val="24"/>
              <w14:ligatures w14:val="standardContextual"/>
            </w:rPr>
          </w:pPr>
          <w:hyperlink w:anchor="_Toc230044116" w:history="1">
            <w:r w:rsidRPr="00082866">
              <w:rPr>
                <w:rStyle w:val="Hyperlink"/>
                <w:noProof/>
              </w:rPr>
              <w:t>1.1.1. Classical debates on mechanisation, wages, and technological unemployment</w:t>
            </w:r>
            <w:r>
              <w:rPr>
                <w:noProof/>
                <w:webHidden/>
              </w:rPr>
              <w:tab/>
            </w:r>
            <w:r>
              <w:rPr>
                <w:noProof/>
                <w:webHidden/>
              </w:rPr>
              <w:fldChar w:fldCharType="begin"/>
            </w:r>
            <w:r>
              <w:rPr>
                <w:noProof/>
                <w:webHidden/>
              </w:rPr>
              <w:instrText xml:space="preserve"> PAGEREF _Toc230044116 \h </w:instrText>
            </w:r>
            <w:r>
              <w:rPr>
                <w:noProof/>
                <w:webHidden/>
              </w:rPr>
            </w:r>
            <w:r>
              <w:rPr>
                <w:noProof/>
                <w:webHidden/>
              </w:rPr>
              <w:fldChar w:fldCharType="separate"/>
            </w:r>
            <w:r>
              <w:rPr>
                <w:noProof/>
                <w:webHidden/>
              </w:rPr>
              <w:t>7</w:t>
            </w:r>
            <w:r>
              <w:rPr>
                <w:noProof/>
                <w:webHidden/>
              </w:rPr>
              <w:fldChar w:fldCharType="end"/>
            </w:r>
          </w:hyperlink>
        </w:p>
        <w:p w14:paraId="4703B438" w14:textId="31F39BE8" w:rsidR="00995883" w:rsidRDefault="00995883">
          <w:pPr>
            <w:pStyle w:val="TOC3"/>
            <w:tabs>
              <w:tab w:val="right" w:leader="dot" w:pos="9060"/>
            </w:tabs>
            <w:rPr>
              <w:rFonts w:cstheme="minorBidi"/>
              <w:noProof/>
              <w:kern w:val="2"/>
              <w:sz w:val="24"/>
              <w:szCs w:val="24"/>
              <w14:ligatures w14:val="standardContextual"/>
            </w:rPr>
          </w:pPr>
          <w:hyperlink w:anchor="_Toc230044117" w:history="1">
            <w:r w:rsidRPr="00082866">
              <w:rPr>
                <w:rStyle w:val="Hyperlink"/>
                <w:noProof/>
              </w:rPr>
              <w:t>1.1.2. The First Industrial Revolution: displacement, skill formation, and wage divergence</w:t>
            </w:r>
            <w:r>
              <w:rPr>
                <w:noProof/>
                <w:webHidden/>
              </w:rPr>
              <w:tab/>
            </w:r>
            <w:r>
              <w:rPr>
                <w:noProof/>
                <w:webHidden/>
              </w:rPr>
              <w:fldChar w:fldCharType="begin"/>
            </w:r>
            <w:r>
              <w:rPr>
                <w:noProof/>
                <w:webHidden/>
              </w:rPr>
              <w:instrText xml:space="preserve"> PAGEREF _Toc230044117 \h </w:instrText>
            </w:r>
            <w:r>
              <w:rPr>
                <w:noProof/>
                <w:webHidden/>
              </w:rPr>
            </w:r>
            <w:r>
              <w:rPr>
                <w:noProof/>
                <w:webHidden/>
              </w:rPr>
              <w:fldChar w:fldCharType="separate"/>
            </w:r>
            <w:r>
              <w:rPr>
                <w:noProof/>
                <w:webHidden/>
              </w:rPr>
              <w:t>7</w:t>
            </w:r>
            <w:r>
              <w:rPr>
                <w:noProof/>
                <w:webHidden/>
              </w:rPr>
              <w:fldChar w:fldCharType="end"/>
            </w:r>
          </w:hyperlink>
        </w:p>
        <w:p w14:paraId="7425B523" w14:textId="40359616" w:rsidR="00995883" w:rsidRDefault="00995883">
          <w:pPr>
            <w:pStyle w:val="TOC3"/>
            <w:tabs>
              <w:tab w:val="right" w:leader="dot" w:pos="9060"/>
            </w:tabs>
            <w:rPr>
              <w:rFonts w:cstheme="minorBidi"/>
              <w:noProof/>
              <w:kern w:val="2"/>
              <w:sz w:val="24"/>
              <w:szCs w:val="24"/>
              <w14:ligatures w14:val="standardContextual"/>
            </w:rPr>
          </w:pPr>
          <w:hyperlink w:anchor="_Toc230044118" w:history="1">
            <w:r w:rsidRPr="00082866">
              <w:rPr>
                <w:rStyle w:val="Hyperlink"/>
                <w:noProof/>
              </w:rPr>
              <w:t>1.1.3. General-purpose technologies and delayed wage gains</w:t>
            </w:r>
            <w:r>
              <w:rPr>
                <w:noProof/>
                <w:webHidden/>
              </w:rPr>
              <w:tab/>
            </w:r>
            <w:r>
              <w:rPr>
                <w:noProof/>
                <w:webHidden/>
              </w:rPr>
              <w:fldChar w:fldCharType="begin"/>
            </w:r>
            <w:r>
              <w:rPr>
                <w:noProof/>
                <w:webHidden/>
              </w:rPr>
              <w:instrText xml:space="preserve"> PAGEREF _Toc230044118 \h </w:instrText>
            </w:r>
            <w:r>
              <w:rPr>
                <w:noProof/>
                <w:webHidden/>
              </w:rPr>
            </w:r>
            <w:r>
              <w:rPr>
                <w:noProof/>
                <w:webHidden/>
              </w:rPr>
              <w:fldChar w:fldCharType="separate"/>
            </w:r>
            <w:r>
              <w:rPr>
                <w:noProof/>
                <w:webHidden/>
              </w:rPr>
              <w:t>9</w:t>
            </w:r>
            <w:r>
              <w:rPr>
                <w:noProof/>
                <w:webHidden/>
              </w:rPr>
              <w:fldChar w:fldCharType="end"/>
            </w:r>
          </w:hyperlink>
        </w:p>
        <w:p w14:paraId="65A2F606" w14:textId="377EA964" w:rsidR="00995883" w:rsidRDefault="00995883">
          <w:pPr>
            <w:pStyle w:val="TOC3"/>
            <w:tabs>
              <w:tab w:val="right" w:leader="dot" w:pos="9060"/>
            </w:tabs>
            <w:rPr>
              <w:rFonts w:cstheme="minorBidi"/>
              <w:noProof/>
              <w:kern w:val="2"/>
              <w:sz w:val="24"/>
              <w:szCs w:val="24"/>
              <w14:ligatures w14:val="standardContextual"/>
            </w:rPr>
          </w:pPr>
          <w:hyperlink w:anchor="_Toc230044119" w:history="1">
            <w:r w:rsidRPr="00082866">
              <w:rPr>
                <w:rStyle w:val="Hyperlink"/>
                <w:noProof/>
              </w:rPr>
              <w:t>1.1.4. Electrification, skill demand, and the education response</w:t>
            </w:r>
            <w:r>
              <w:rPr>
                <w:noProof/>
                <w:webHidden/>
              </w:rPr>
              <w:tab/>
            </w:r>
            <w:r>
              <w:rPr>
                <w:noProof/>
                <w:webHidden/>
              </w:rPr>
              <w:fldChar w:fldCharType="begin"/>
            </w:r>
            <w:r>
              <w:rPr>
                <w:noProof/>
                <w:webHidden/>
              </w:rPr>
              <w:instrText xml:space="preserve"> PAGEREF _Toc230044119 \h </w:instrText>
            </w:r>
            <w:r>
              <w:rPr>
                <w:noProof/>
                <w:webHidden/>
              </w:rPr>
            </w:r>
            <w:r>
              <w:rPr>
                <w:noProof/>
                <w:webHidden/>
              </w:rPr>
              <w:fldChar w:fldCharType="separate"/>
            </w:r>
            <w:r>
              <w:rPr>
                <w:noProof/>
                <w:webHidden/>
              </w:rPr>
              <w:t>9</w:t>
            </w:r>
            <w:r>
              <w:rPr>
                <w:noProof/>
                <w:webHidden/>
              </w:rPr>
              <w:fldChar w:fldCharType="end"/>
            </w:r>
          </w:hyperlink>
        </w:p>
        <w:p w14:paraId="37C53D31" w14:textId="4085254E" w:rsidR="00995883" w:rsidRDefault="00995883">
          <w:pPr>
            <w:pStyle w:val="TOC3"/>
            <w:tabs>
              <w:tab w:val="right" w:leader="dot" w:pos="9060"/>
            </w:tabs>
            <w:rPr>
              <w:rFonts w:cstheme="minorBidi"/>
              <w:noProof/>
              <w:kern w:val="2"/>
              <w:sz w:val="24"/>
              <w:szCs w:val="24"/>
              <w14:ligatures w14:val="standardContextual"/>
            </w:rPr>
          </w:pPr>
          <w:hyperlink w:anchor="_Toc230044120" w:history="1">
            <w:r w:rsidRPr="00082866">
              <w:rPr>
                <w:rStyle w:val="Hyperlink"/>
                <w:noProof/>
              </w:rPr>
              <w:t>1.1.5. Computerisation, skill-biased change, and routine-task polarisation</w:t>
            </w:r>
            <w:r>
              <w:rPr>
                <w:noProof/>
                <w:webHidden/>
              </w:rPr>
              <w:tab/>
            </w:r>
            <w:r>
              <w:rPr>
                <w:noProof/>
                <w:webHidden/>
              </w:rPr>
              <w:fldChar w:fldCharType="begin"/>
            </w:r>
            <w:r>
              <w:rPr>
                <w:noProof/>
                <w:webHidden/>
              </w:rPr>
              <w:instrText xml:space="preserve"> PAGEREF _Toc230044120 \h </w:instrText>
            </w:r>
            <w:r>
              <w:rPr>
                <w:noProof/>
                <w:webHidden/>
              </w:rPr>
            </w:r>
            <w:r>
              <w:rPr>
                <w:noProof/>
                <w:webHidden/>
              </w:rPr>
              <w:fldChar w:fldCharType="separate"/>
            </w:r>
            <w:r>
              <w:rPr>
                <w:noProof/>
                <w:webHidden/>
              </w:rPr>
              <w:t>11</w:t>
            </w:r>
            <w:r>
              <w:rPr>
                <w:noProof/>
                <w:webHidden/>
              </w:rPr>
              <w:fldChar w:fldCharType="end"/>
            </w:r>
          </w:hyperlink>
        </w:p>
        <w:p w14:paraId="24C941B1" w14:textId="260FEDA3" w:rsidR="00995883" w:rsidRDefault="00995883">
          <w:pPr>
            <w:pStyle w:val="TOC2"/>
            <w:tabs>
              <w:tab w:val="right" w:leader="dot" w:pos="9060"/>
            </w:tabs>
            <w:rPr>
              <w:rFonts w:eastAsiaTheme="minorEastAsia"/>
              <w:noProof/>
              <w:sz w:val="24"/>
              <w:szCs w:val="24"/>
              <w:lang w:eastAsia="en-GB"/>
            </w:rPr>
          </w:pPr>
          <w:hyperlink w:anchor="_Toc230044121" w:history="1">
            <w:r w:rsidRPr="00082866">
              <w:rPr>
                <w:rStyle w:val="Hyperlink"/>
                <w:noProof/>
              </w:rPr>
              <w:t>1.2. Task-Based Theories of Automation and Wages</w:t>
            </w:r>
            <w:r>
              <w:rPr>
                <w:noProof/>
                <w:webHidden/>
              </w:rPr>
              <w:tab/>
            </w:r>
            <w:r>
              <w:rPr>
                <w:noProof/>
                <w:webHidden/>
              </w:rPr>
              <w:fldChar w:fldCharType="begin"/>
            </w:r>
            <w:r>
              <w:rPr>
                <w:noProof/>
                <w:webHidden/>
              </w:rPr>
              <w:instrText xml:space="preserve"> PAGEREF _Toc230044121 \h </w:instrText>
            </w:r>
            <w:r>
              <w:rPr>
                <w:noProof/>
                <w:webHidden/>
              </w:rPr>
            </w:r>
            <w:r>
              <w:rPr>
                <w:noProof/>
                <w:webHidden/>
              </w:rPr>
              <w:fldChar w:fldCharType="separate"/>
            </w:r>
            <w:r>
              <w:rPr>
                <w:noProof/>
                <w:webHidden/>
              </w:rPr>
              <w:t>12</w:t>
            </w:r>
            <w:r>
              <w:rPr>
                <w:noProof/>
                <w:webHidden/>
              </w:rPr>
              <w:fldChar w:fldCharType="end"/>
            </w:r>
          </w:hyperlink>
        </w:p>
        <w:p w14:paraId="57E9E250" w14:textId="7298E490" w:rsidR="00995883" w:rsidRDefault="00995883">
          <w:pPr>
            <w:pStyle w:val="TOC3"/>
            <w:tabs>
              <w:tab w:val="right" w:leader="dot" w:pos="9060"/>
            </w:tabs>
            <w:rPr>
              <w:rFonts w:cstheme="minorBidi"/>
              <w:noProof/>
              <w:kern w:val="2"/>
              <w:sz w:val="24"/>
              <w:szCs w:val="24"/>
              <w14:ligatures w14:val="standardContextual"/>
            </w:rPr>
          </w:pPr>
          <w:hyperlink w:anchor="_Toc230044122" w:history="1">
            <w:r w:rsidRPr="00082866">
              <w:rPr>
                <w:rStyle w:val="Hyperlink"/>
                <w:noProof/>
              </w:rPr>
              <w:t>1.2.1. Displacement and productivity effects in task-based models</w:t>
            </w:r>
            <w:r>
              <w:rPr>
                <w:noProof/>
                <w:webHidden/>
              </w:rPr>
              <w:tab/>
            </w:r>
            <w:r>
              <w:rPr>
                <w:noProof/>
                <w:webHidden/>
              </w:rPr>
              <w:fldChar w:fldCharType="begin"/>
            </w:r>
            <w:r>
              <w:rPr>
                <w:noProof/>
                <w:webHidden/>
              </w:rPr>
              <w:instrText xml:space="preserve"> PAGEREF _Toc230044122 \h </w:instrText>
            </w:r>
            <w:r>
              <w:rPr>
                <w:noProof/>
                <w:webHidden/>
              </w:rPr>
            </w:r>
            <w:r>
              <w:rPr>
                <w:noProof/>
                <w:webHidden/>
              </w:rPr>
              <w:fldChar w:fldCharType="separate"/>
            </w:r>
            <w:r>
              <w:rPr>
                <w:noProof/>
                <w:webHidden/>
              </w:rPr>
              <w:t>12</w:t>
            </w:r>
            <w:r>
              <w:rPr>
                <w:noProof/>
                <w:webHidden/>
              </w:rPr>
              <w:fldChar w:fldCharType="end"/>
            </w:r>
          </w:hyperlink>
        </w:p>
        <w:p w14:paraId="429C0E0C" w14:textId="0F100164" w:rsidR="00995883" w:rsidRDefault="00995883">
          <w:pPr>
            <w:pStyle w:val="TOC3"/>
            <w:tabs>
              <w:tab w:val="right" w:leader="dot" w:pos="9060"/>
            </w:tabs>
            <w:rPr>
              <w:rFonts w:cstheme="minorBidi"/>
              <w:noProof/>
              <w:kern w:val="2"/>
              <w:sz w:val="24"/>
              <w:szCs w:val="24"/>
              <w14:ligatures w14:val="standardContextual"/>
            </w:rPr>
          </w:pPr>
          <w:hyperlink w:anchor="_Toc230044123" w:history="1">
            <w:r w:rsidRPr="00082866">
              <w:rPr>
                <w:rStyle w:val="Hyperlink"/>
                <w:noProof/>
              </w:rPr>
              <w:t>1.2.2. Reinstatement, complementarity, and new task creation in the age of AI</w:t>
            </w:r>
            <w:r>
              <w:rPr>
                <w:noProof/>
                <w:webHidden/>
              </w:rPr>
              <w:tab/>
            </w:r>
            <w:r>
              <w:rPr>
                <w:noProof/>
                <w:webHidden/>
              </w:rPr>
              <w:fldChar w:fldCharType="begin"/>
            </w:r>
            <w:r>
              <w:rPr>
                <w:noProof/>
                <w:webHidden/>
              </w:rPr>
              <w:instrText xml:space="preserve"> PAGEREF _Toc230044123 \h </w:instrText>
            </w:r>
            <w:r>
              <w:rPr>
                <w:noProof/>
                <w:webHidden/>
              </w:rPr>
            </w:r>
            <w:r>
              <w:rPr>
                <w:noProof/>
                <w:webHidden/>
              </w:rPr>
              <w:fldChar w:fldCharType="separate"/>
            </w:r>
            <w:r>
              <w:rPr>
                <w:noProof/>
                <w:webHidden/>
              </w:rPr>
              <w:t>14</w:t>
            </w:r>
            <w:r>
              <w:rPr>
                <w:noProof/>
                <w:webHidden/>
              </w:rPr>
              <w:fldChar w:fldCharType="end"/>
            </w:r>
          </w:hyperlink>
        </w:p>
        <w:p w14:paraId="77D3CD47" w14:textId="73B00A70" w:rsidR="00995883" w:rsidRDefault="00995883">
          <w:pPr>
            <w:pStyle w:val="TOC2"/>
            <w:tabs>
              <w:tab w:val="right" w:leader="dot" w:pos="9060"/>
            </w:tabs>
            <w:rPr>
              <w:rFonts w:eastAsiaTheme="minorEastAsia"/>
              <w:noProof/>
              <w:sz w:val="24"/>
              <w:szCs w:val="24"/>
              <w:lang w:eastAsia="en-GB"/>
            </w:rPr>
          </w:pPr>
          <w:hyperlink w:anchor="_Toc230044124" w:history="1">
            <w:r w:rsidRPr="00082866">
              <w:rPr>
                <w:rStyle w:val="Hyperlink"/>
                <w:noProof/>
              </w:rPr>
              <w:t>1.3. AI, Skills, and Wage Outcomes: Empirical Motivation and Hypotheses</w:t>
            </w:r>
            <w:r>
              <w:rPr>
                <w:noProof/>
                <w:webHidden/>
              </w:rPr>
              <w:tab/>
            </w:r>
            <w:r>
              <w:rPr>
                <w:noProof/>
                <w:webHidden/>
              </w:rPr>
              <w:fldChar w:fldCharType="begin"/>
            </w:r>
            <w:r>
              <w:rPr>
                <w:noProof/>
                <w:webHidden/>
              </w:rPr>
              <w:instrText xml:space="preserve"> PAGEREF _Toc230044124 \h </w:instrText>
            </w:r>
            <w:r>
              <w:rPr>
                <w:noProof/>
                <w:webHidden/>
              </w:rPr>
            </w:r>
            <w:r>
              <w:rPr>
                <w:noProof/>
                <w:webHidden/>
              </w:rPr>
              <w:fldChar w:fldCharType="separate"/>
            </w:r>
            <w:r>
              <w:rPr>
                <w:noProof/>
                <w:webHidden/>
              </w:rPr>
              <w:t>14</w:t>
            </w:r>
            <w:r>
              <w:rPr>
                <w:noProof/>
                <w:webHidden/>
              </w:rPr>
              <w:fldChar w:fldCharType="end"/>
            </w:r>
          </w:hyperlink>
        </w:p>
        <w:p w14:paraId="137724B7" w14:textId="1F1D2EB0" w:rsidR="00995883" w:rsidRDefault="00995883">
          <w:pPr>
            <w:pStyle w:val="TOC3"/>
            <w:tabs>
              <w:tab w:val="right" w:leader="dot" w:pos="9060"/>
            </w:tabs>
            <w:rPr>
              <w:rFonts w:cstheme="minorBidi"/>
              <w:noProof/>
              <w:kern w:val="2"/>
              <w:sz w:val="24"/>
              <w:szCs w:val="24"/>
              <w14:ligatures w14:val="standardContextual"/>
            </w:rPr>
          </w:pPr>
          <w:hyperlink w:anchor="_Toc230044125" w:history="1">
            <w:r w:rsidRPr="00082866">
              <w:rPr>
                <w:rStyle w:val="Hyperlink"/>
                <w:noProof/>
              </w:rPr>
              <w:t>1.3.1. Emerging demand for AI-complementary skills</w:t>
            </w:r>
            <w:r>
              <w:rPr>
                <w:noProof/>
                <w:webHidden/>
              </w:rPr>
              <w:tab/>
            </w:r>
            <w:r>
              <w:rPr>
                <w:noProof/>
                <w:webHidden/>
              </w:rPr>
              <w:fldChar w:fldCharType="begin"/>
            </w:r>
            <w:r>
              <w:rPr>
                <w:noProof/>
                <w:webHidden/>
              </w:rPr>
              <w:instrText xml:space="preserve"> PAGEREF _Toc230044125 \h </w:instrText>
            </w:r>
            <w:r>
              <w:rPr>
                <w:noProof/>
                <w:webHidden/>
              </w:rPr>
            </w:r>
            <w:r>
              <w:rPr>
                <w:noProof/>
                <w:webHidden/>
              </w:rPr>
              <w:fldChar w:fldCharType="separate"/>
            </w:r>
            <w:r>
              <w:rPr>
                <w:noProof/>
                <w:webHidden/>
              </w:rPr>
              <w:t>14</w:t>
            </w:r>
            <w:r>
              <w:rPr>
                <w:noProof/>
                <w:webHidden/>
              </w:rPr>
              <w:fldChar w:fldCharType="end"/>
            </w:r>
          </w:hyperlink>
        </w:p>
        <w:p w14:paraId="5CC84723" w14:textId="10C05085" w:rsidR="00995883" w:rsidRDefault="00995883">
          <w:pPr>
            <w:pStyle w:val="TOC3"/>
            <w:tabs>
              <w:tab w:val="right" w:leader="dot" w:pos="9060"/>
            </w:tabs>
            <w:rPr>
              <w:rFonts w:cstheme="minorBidi"/>
              <w:noProof/>
              <w:kern w:val="2"/>
              <w:sz w:val="24"/>
              <w:szCs w:val="24"/>
              <w14:ligatures w14:val="standardContextual"/>
            </w:rPr>
          </w:pPr>
          <w:hyperlink w:anchor="_Toc230044126" w:history="1">
            <w:r w:rsidRPr="00082866">
              <w:rPr>
                <w:rStyle w:val="Hyperlink"/>
                <w:noProof/>
              </w:rPr>
              <w:t>1.3.2. AI exposure, wage heterogeneity, and the European evidence</w:t>
            </w:r>
            <w:r>
              <w:rPr>
                <w:noProof/>
                <w:webHidden/>
              </w:rPr>
              <w:tab/>
            </w:r>
            <w:r>
              <w:rPr>
                <w:noProof/>
                <w:webHidden/>
              </w:rPr>
              <w:fldChar w:fldCharType="begin"/>
            </w:r>
            <w:r>
              <w:rPr>
                <w:noProof/>
                <w:webHidden/>
              </w:rPr>
              <w:instrText xml:space="preserve"> PAGEREF _Toc230044126 \h </w:instrText>
            </w:r>
            <w:r>
              <w:rPr>
                <w:noProof/>
                <w:webHidden/>
              </w:rPr>
            </w:r>
            <w:r>
              <w:rPr>
                <w:noProof/>
                <w:webHidden/>
              </w:rPr>
              <w:fldChar w:fldCharType="separate"/>
            </w:r>
            <w:r>
              <w:rPr>
                <w:noProof/>
                <w:webHidden/>
              </w:rPr>
              <w:t>15</w:t>
            </w:r>
            <w:r>
              <w:rPr>
                <w:noProof/>
                <w:webHidden/>
              </w:rPr>
              <w:fldChar w:fldCharType="end"/>
            </w:r>
          </w:hyperlink>
        </w:p>
        <w:p w14:paraId="0A5DEE92" w14:textId="1EC6F842" w:rsidR="00995883" w:rsidRDefault="00995883">
          <w:pPr>
            <w:pStyle w:val="TOC3"/>
            <w:tabs>
              <w:tab w:val="right" w:leader="dot" w:pos="9060"/>
            </w:tabs>
            <w:rPr>
              <w:rFonts w:cstheme="minorBidi"/>
              <w:noProof/>
              <w:kern w:val="2"/>
              <w:sz w:val="24"/>
              <w:szCs w:val="24"/>
              <w14:ligatures w14:val="standardContextual"/>
            </w:rPr>
          </w:pPr>
          <w:hyperlink w:anchor="_Toc230044127" w:history="1">
            <w:r w:rsidRPr="00082866">
              <w:rPr>
                <w:rStyle w:val="Hyperlink"/>
                <w:noProof/>
              </w:rPr>
              <w:t>1.3.3. Research gap and hypotheses</w:t>
            </w:r>
            <w:r>
              <w:rPr>
                <w:noProof/>
                <w:webHidden/>
              </w:rPr>
              <w:tab/>
            </w:r>
            <w:r>
              <w:rPr>
                <w:noProof/>
                <w:webHidden/>
              </w:rPr>
              <w:fldChar w:fldCharType="begin"/>
            </w:r>
            <w:r>
              <w:rPr>
                <w:noProof/>
                <w:webHidden/>
              </w:rPr>
              <w:instrText xml:space="preserve"> PAGEREF _Toc230044127 \h </w:instrText>
            </w:r>
            <w:r>
              <w:rPr>
                <w:noProof/>
                <w:webHidden/>
              </w:rPr>
            </w:r>
            <w:r>
              <w:rPr>
                <w:noProof/>
                <w:webHidden/>
              </w:rPr>
              <w:fldChar w:fldCharType="separate"/>
            </w:r>
            <w:r>
              <w:rPr>
                <w:noProof/>
                <w:webHidden/>
              </w:rPr>
              <w:t>16</w:t>
            </w:r>
            <w:r>
              <w:rPr>
                <w:noProof/>
                <w:webHidden/>
              </w:rPr>
              <w:fldChar w:fldCharType="end"/>
            </w:r>
          </w:hyperlink>
        </w:p>
        <w:p w14:paraId="50961D3F" w14:textId="66D3C6DE" w:rsidR="00995883" w:rsidRDefault="00995883">
          <w:pPr>
            <w:pStyle w:val="TOC1"/>
            <w:tabs>
              <w:tab w:val="right" w:leader="dot" w:pos="9060"/>
            </w:tabs>
            <w:rPr>
              <w:rFonts w:cstheme="minorBidi"/>
              <w:noProof/>
              <w:kern w:val="2"/>
              <w:sz w:val="24"/>
              <w:szCs w:val="24"/>
              <w14:ligatures w14:val="standardContextual"/>
            </w:rPr>
          </w:pPr>
          <w:hyperlink w:anchor="_Toc230044128" w:history="1">
            <w:r w:rsidRPr="00082866">
              <w:rPr>
                <w:rStyle w:val="Hyperlink"/>
                <w:noProof/>
              </w:rPr>
              <w:t>CHAPTER II</w:t>
            </w:r>
            <w:r>
              <w:rPr>
                <w:noProof/>
                <w:webHidden/>
              </w:rPr>
              <w:tab/>
            </w:r>
            <w:r>
              <w:rPr>
                <w:noProof/>
                <w:webHidden/>
              </w:rPr>
              <w:fldChar w:fldCharType="begin"/>
            </w:r>
            <w:r>
              <w:rPr>
                <w:noProof/>
                <w:webHidden/>
              </w:rPr>
              <w:instrText xml:space="preserve"> PAGEREF _Toc230044128 \h </w:instrText>
            </w:r>
            <w:r>
              <w:rPr>
                <w:noProof/>
                <w:webHidden/>
              </w:rPr>
            </w:r>
            <w:r>
              <w:rPr>
                <w:noProof/>
                <w:webHidden/>
              </w:rPr>
              <w:fldChar w:fldCharType="separate"/>
            </w:r>
            <w:r>
              <w:rPr>
                <w:noProof/>
                <w:webHidden/>
              </w:rPr>
              <w:t>18</w:t>
            </w:r>
            <w:r>
              <w:rPr>
                <w:noProof/>
                <w:webHidden/>
              </w:rPr>
              <w:fldChar w:fldCharType="end"/>
            </w:r>
          </w:hyperlink>
        </w:p>
        <w:p w14:paraId="29ECDB4C" w14:textId="2566AAF3" w:rsidR="00995883" w:rsidRDefault="00995883">
          <w:pPr>
            <w:pStyle w:val="TOC1"/>
            <w:tabs>
              <w:tab w:val="right" w:leader="dot" w:pos="9060"/>
            </w:tabs>
            <w:rPr>
              <w:rFonts w:cstheme="minorBidi"/>
              <w:noProof/>
              <w:kern w:val="2"/>
              <w:sz w:val="24"/>
              <w:szCs w:val="24"/>
              <w14:ligatures w14:val="standardContextual"/>
            </w:rPr>
          </w:pPr>
          <w:hyperlink w:anchor="_Toc230044129" w:history="1">
            <w:r w:rsidRPr="00082866">
              <w:rPr>
                <w:rStyle w:val="Hyperlink"/>
                <w:noProof/>
              </w:rPr>
              <w:t>DATA AND METHODOLOGY</w:t>
            </w:r>
            <w:r>
              <w:rPr>
                <w:noProof/>
                <w:webHidden/>
              </w:rPr>
              <w:tab/>
            </w:r>
            <w:r>
              <w:rPr>
                <w:noProof/>
                <w:webHidden/>
              </w:rPr>
              <w:fldChar w:fldCharType="begin"/>
            </w:r>
            <w:r>
              <w:rPr>
                <w:noProof/>
                <w:webHidden/>
              </w:rPr>
              <w:instrText xml:space="preserve"> PAGEREF _Toc230044129 \h </w:instrText>
            </w:r>
            <w:r>
              <w:rPr>
                <w:noProof/>
                <w:webHidden/>
              </w:rPr>
            </w:r>
            <w:r>
              <w:rPr>
                <w:noProof/>
                <w:webHidden/>
              </w:rPr>
              <w:fldChar w:fldCharType="separate"/>
            </w:r>
            <w:r>
              <w:rPr>
                <w:noProof/>
                <w:webHidden/>
              </w:rPr>
              <w:t>18</w:t>
            </w:r>
            <w:r>
              <w:rPr>
                <w:noProof/>
                <w:webHidden/>
              </w:rPr>
              <w:fldChar w:fldCharType="end"/>
            </w:r>
          </w:hyperlink>
        </w:p>
        <w:p w14:paraId="7EA5AB2D" w14:textId="4AF02149" w:rsidR="00995883" w:rsidRDefault="00995883">
          <w:pPr>
            <w:pStyle w:val="TOC2"/>
            <w:tabs>
              <w:tab w:val="right" w:leader="dot" w:pos="9060"/>
            </w:tabs>
            <w:rPr>
              <w:rFonts w:eastAsiaTheme="minorEastAsia"/>
              <w:noProof/>
              <w:sz w:val="24"/>
              <w:szCs w:val="24"/>
              <w:lang w:eastAsia="en-GB"/>
            </w:rPr>
          </w:pPr>
          <w:hyperlink w:anchor="_Toc230044130" w:history="1">
            <w:r w:rsidRPr="00082866">
              <w:rPr>
                <w:rStyle w:val="Hyperlink"/>
                <w:noProof/>
              </w:rPr>
              <w:t>2.1. Data Sources, Variables, and Panel Construction</w:t>
            </w:r>
            <w:r>
              <w:rPr>
                <w:noProof/>
                <w:webHidden/>
              </w:rPr>
              <w:tab/>
            </w:r>
            <w:r>
              <w:rPr>
                <w:noProof/>
                <w:webHidden/>
              </w:rPr>
              <w:fldChar w:fldCharType="begin"/>
            </w:r>
            <w:r>
              <w:rPr>
                <w:noProof/>
                <w:webHidden/>
              </w:rPr>
              <w:instrText xml:space="preserve"> PAGEREF _Toc230044130 \h </w:instrText>
            </w:r>
            <w:r>
              <w:rPr>
                <w:noProof/>
                <w:webHidden/>
              </w:rPr>
            </w:r>
            <w:r>
              <w:rPr>
                <w:noProof/>
                <w:webHidden/>
              </w:rPr>
              <w:fldChar w:fldCharType="separate"/>
            </w:r>
            <w:r>
              <w:rPr>
                <w:noProof/>
                <w:webHidden/>
              </w:rPr>
              <w:t>18</w:t>
            </w:r>
            <w:r>
              <w:rPr>
                <w:noProof/>
                <w:webHidden/>
              </w:rPr>
              <w:fldChar w:fldCharType="end"/>
            </w:r>
          </w:hyperlink>
        </w:p>
        <w:p w14:paraId="34A4E2DF" w14:textId="3A0C15CD" w:rsidR="00995883" w:rsidRDefault="00995883">
          <w:pPr>
            <w:pStyle w:val="TOC3"/>
            <w:tabs>
              <w:tab w:val="right" w:leader="dot" w:pos="9060"/>
            </w:tabs>
            <w:rPr>
              <w:rFonts w:cstheme="minorBidi"/>
              <w:noProof/>
              <w:kern w:val="2"/>
              <w:sz w:val="24"/>
              <w:szCs w:val="24"/>
              <w14:ligatures w14:val="standardContextual"/>
            </w:rPr>
          </w:pPr>
          <w:hyperlink w:anchor="_Toc230044131" w:history="1">
            <w:r w:rsidRPr="00082866">
              <w:rPr>
                <w:rStyle w:val="Hyperlink"/>
                <w:noProof/>
              </w:rPr>
              <w:t>2.1.1. Variable definitions and operationalisation</w:t>
            </w:r>
            <w:r>
              <w:rPr>
                <w:noProof/>
                <w:webHidden/>
              </w:rPr>
              <w:tab/>
            </w:r>
            <w:r>
              <w:rPr>
                <w:noProof/>
                <w:webHidden/>
              </w:rPr>
              <w:fldChar w:fldCharType="begin"/>
            </w:r>
            <w:r>
              <w:rPr>
                <w:noProof/>
                <w:webHidden/>
              </w:rPr>
              <w:instrText xml:space="preserve"> PAGEREF _Toc230044131 \h </w:instrText>
            </w:r>
            <w:r>
              <w:rPr>
                <w:noProof/>
                <w:webHidden/>
              </w:rPr>
            </w:r>
            <w:r>
              <w:rPr>
                <w:noProof/>
                <w:webHidden/>
              </w:rPr>
              <w:fldChar w:fldCharType="separate"/>
            </w:r>
            <w:r>
              <w:rPr>
                <w:noProof/>
                <w:webHidden/>
              </w:rPr>
              <w:t>18</w:t>
            </w:r>
            <w:r>
              <w:rPr>
                <w:noProof/>
                <w:webHidden/>
              </w:rPr>
              <w:fldChar w:fldCharType="end"/>
            </w:r>
          </w:hyperlink>
        </w:p>
        <w:p w14:paraId="34A052DD" w14:textId="187179F3" w:rsidR="00995883" w:rsidRDefault="00995883">
          <w:pPr>
            <w:pStyle w:val="TOC3"/>
            <w:tabs>
              <w:tab w:val="right" w:leader="dot" w:pos="9060"/>
            </w:tabs>
            <w:rPr>
              <w:rFonts w:cstheme="minorBidi"/>
              <w:noProof/>
              <w:kern w:val="2"/>
              <w:sz w:val="24"/>
              <w:szCs w:val="24"/>
              <w14:ligatures w14:val="standardContextual"/>
            </w:rPr>
          </w:pPr>
          <w:hyperlink w:anchor="_Toc230044132" w:history="1">
            <w:r w:rsidRPr="00082866">
              <w:rPr>
                <w:rStyle w:val="Hyperlink"/>
                <w:noProof/>
              </w:rPr>
              <w:t>2.1.2. Data transformations and aggregation</w:t>
            </w:r>
            <w:r>
              <w:rPr>
                <w:noProof/>
                <w:webHidden/>
              </w:rPr>
              <w:tab/>
            </w:r>
            <w:r>
              <w:rPr>
                <w:noProof/>
                <w:webHidden/>
              </w:rPr>
              <w:fldChar w:fldCharType="begin"/>
            </w:r>
            <w:r>
              <w:rPr>
                <w:noProof/>
                <w:webHidden/>
              </w:rPr>
              <w:instrText xml:space="preserve"> PAGEREF _Toc230044132 \h </w:instrText>
            </w:r>
            <w:r>
              <w:rPr>
                <w:noProof/>
                <w:webHidden/>
              </w:rPr>
            </w:r>
            <w:r>
              <w:rPr>
                <w:noProof/>
                <w:webHidden/>
              </w:rPr>
              <w:fldChar w:fldCharType="separate"/>
            </w:r>
            <w:r>
              <w:rPr>
                <w:noProof/>
                <w:webHidden/>
              </w:rPr>
              <w:t>20</w:t>
            </w:r>
            <w:r>
              <w:rPr>
                <w:noProof/>
                <w:webHidden/>
              </w:rPr>
              <w:fldChar w:fldCharType="end"/>
            </w:r>
          </w:hyperlink>
        </w:p>
        <w:p w14:paraId="0597B790" w14:textId="0523C322" w:rsidR="00995883" w:rsidRDefault="00995883">
          <w:pPr>
            <w:pStyle w:val="TOC3"/>
            <w:tabs>
              <w:tab w:val="right" w:leader="dot" w:pos="9060"/>
            </w:tabs>
            <w:rPr>
              <w:rFonts w:cstheme="minorBidi"/>
              <w:noProof/>
              <w:kern w:val="2"/>
              <w:sz w:val="24"/>
              <w:szCs w:val="24"/>
              <w14:ligatures w14:val="standardContextual"/>
            </w:rPr>
          </w:pPr>
          <w:hyperlink w:anchor="_Toc230044133" w:history="1">
            <w:r w:rsidRPr="00082866">
              <w:rPr>
                <w:rStyle w:val="Hyperlink"/>
                <w:noProof/>
              </w:rPr>
              <w:t>2.1.3. Panel structure and econometric limitations</w:t>
            </w:r>
            <w:r>
              <w:rPr>
                <w:noProof/>
                <w:webHidden/>
              </w:rPr>
              <w:tab/>
            </w:r>
            <w:r>
              <w:rPr>
                <w:noProof/>
                <w:webHidden/>
              </w:rPr>
              <w:fldChar w:fldCharType="begin"/>
            </w:r>
            <w:r>
              <w:rPr>
                <w:noProof/>
                <w:webHidden/>
              </w:rPr>
              <w:instrText xml:space="preserve"> PAGEREF _Toc230044133 \h </w:instrText>
            </w:r>
            <w:r>
              <w:rPr>
                <w:noProof/>
                <w:webHidden/>
              </w:rPr>
            </w:r>
            <w:r>
              <w:rPr>
                <w:noProof/>
                <w:webHidden/>
              </w:rPr>
              <w:fldChar w:fldCharType="separate"/>
            </w:r>
            <w:r>
              <w:rPr>
                <w:noProof/>
                <w:webHidden/>
              </w:rPr>
              <w:t>20</w:t>
            </w:r>
            <w:r>
              <w:rPr>
                <w:noProof/>
                <w:webHidden/>
              </w:rPr>
              <w:fldChar w:fldCharType="end"/>
            </w:r>
          </w:hyperlink>
        </w:p>
        <w:p w14:paraId="2869C989" w14:textId="0282A8AC" w:rsidR="00995883" w:rsidRDefault="00995883">
          <w:pPr>
            <w:pStyle w:val="TOC2"/>
            <w:tabs>
              <w:tab w:val="right" w:leader="dot" w:pos="9060"/>
            </w:tabs>
            <w:rPr>
              <w:rFonts w:eastAsiaTheme="minorEastAsia"/>
              <w:noProof/>
              <w:sz w:val="24"/>
              <w:szCs w:val="24"/>
              <w:lang w:eastAsia="en-GB"/>
            </w:rPr>
          </w:pPr>
          <w:hyperlink w:anchor="_Toc230044134" w:history="1">
            <w:r w:rsidRPr="00082866">
              <w:rPr>
                <w:rStyle w:val="Hyperlink"/>
                <w:noProof/>
              </w:rPr>
              <w:t>2.2. Exploratory Data Analysis</w:t>
            </w:r>
            <w:r>
              <w:rPr>
                <w:noProof/>
                <w:webHidden/>
              </w:rPr>
              <w:tab/>
            </w:r>
            <w:r>
              <w:rPr>
                <w:noProof/>
                <w:webHidden/>
              </w:rPr>
              <w:fldChar w:fldCharType="begin"/>
            </w:r>
            <w:r>
              <w:rPr>
                <w:noProof/>
                <w:webHidden/>
              </w:rPr>
              <w:instrText xml:space="preserve"> PAGEREF _Toc230044134 \h </w:instrText>
            </w:r>
            <w:r>
              <w:rPr>
                <w:noProof/>
                <w:webHidden/>
              </w:rPr>
            </w:r>
            <w:r>
              <w:rPr>
                <w:noProof/>
                <w:webHidden/>
              </w:rPr>
              <w:fldChar w:fldCharType="separate"/>
            </w:r>
            <w:r>
              <w:rPr>
                <w:noProof/>
                <w:webHidden/>
              </w:rPr>
              <w:t>21</w:t>
            </w:r>
            <w:r>
              <w:rPr>
                <w:noProof/>
                <w:webHidden/>
              </w:rPr>
              <w:fldChar w:fldCharType="end"/>
            </w:r>
          </w:hyperlink>
        </w:p>
        <w:p w14:paraId="7D654569" w14:textId="76A27650" w:rsidR="00995883" w:rsidRDefault="00995883">
          <w:pPr>
            <w:pStyle w:val="TOC3"/>
            <w:tabs>
              <w:tab w:val="right" w:leader="dot" w:pos="9060"/>
            </w:tabs>
            <w:rPr>
              <w:rFonts w:cstheme="minorBidi"/>
              <w:noProof/>
              <w:kern w:val="2"/>
              <w:sz w:val="24"/>
              <w:szCs w:val="24"/>
              <w14:ligatures w14:val="standardContextual"/>
            </w:rPr>
          </w:pPr>
          <w:hyperlink w:anchor="_Toc230044135" w:history="1">
            <w:r w:rsidRPr="00082866">
              <w:rPr>
                <w:rStyle w:val="Hyperlink"/>
                <w:noProof/>
              </w:rPr>
              <w:t>2.2.1. Sample composition and missingness patterns</w:t>
            </w:r>
            <w:r>
              <w:rPr>
                <w:noProof/>
                <w:webHidden/>
              </w:rPr>
              <w:tab/>
            </w:r>
            <w:r>
              <w:rPr>
                <w:noProof/>
                <w:webHidden/>
              </w:rPr>
              <w:fldChar w:fldCharType="begin"/>
            </w:r>
            <w:r>
              <w:rPr>
                <w:noProof/>
                <w:webHidden/>
              </w:rPr>
              <w:instrText xml:space="preserve"> PAGEREF _Toc230044135 \h </w:instrText>
            </w:r>
            <w:r>
              <w:rPr>
                <w:noProof/>
                <w:webHidden/>
              </w:rPr>
            </w:r>
            <w:r>
              <w:rPr>
                <w:noProof/>
                <w:webHidden/>
              </w:rPr>
              <w:fldChar w:fldCharType="separate"/>
            </w:r>
            <w:r>
              <w:rPr>
                <w:noProof/>
                <w:webHidden/>
              </w:rPr>
              <w:t>21</w:t>
            </w:r>
            <w:r>
              <w:rPr>
                <w:noProof/>
                <w:webHidden/>
              </w:rPr>
              <w:fldChar w:fldCharType="end"/>
            </w:r>
          </w:hyperlink>
        </w:p>
        <w:p w14:paraId="3124D9A3" w14:textId="46C20FC4" w:rsidR="00995883" w:rsidRDefault="00995883">
          <w:pPr>
            <w:pStyle w:val="TOC3"/>
            <w:tabs>
              <w:tab w:val="right" w:leader="dot" w:pos="9060"/>
            </w:tabs>
            <w:rPr>
              <w:rFonts w:cstheme="minorBidi"/>
              <w:noProof/>
              <w:kern w:val="2"/>
              <w:sz w:val="24"/>
              <w:szCs w:val="24"/>
              <w14:ligatures w14:val="standardContextual"/>
            </w:rPr>
          </w:pPr>
          <w:hyperlink w:anchor="_Toc230044136" w:history="1">
            <w:r w:rsidRPr="00082866">
              <w:rPr>
                <w:rStyle w:val="Hyperlink"/>
                <w:noProof/>
              </w:rPr>
              <w:t>2.2.2. Summary statistics and variance decomposition</w:t>
            </w:r>
            <w:r>
              <w:rPr>
                <w:noProof/>
                <w:webHidden/>
              </w:rPr>
              <w:tab/>
            </w:r>
            <w:r>
              <w:rPr>
                <w:noProof/>
                <w:webHidden/>
              </w:rPr>
              <w:fldChar w:fldCharType="begin"/>
            </w:r>
            <w:r>
              <w:rPr>
                <w:noProof/>
                <w:webHidden/>
              </w:rPr>
              <w:instrText xml:space="preserve"> PAGEREF _Toc230044136 \h </w:instrText>
            </w:r>
            <w:r>
              <w:rPr>
                <w:noProof/>
                <w:webHidden/>
              </w:rPr>
            </w:r>
            <w:r>
              <w:rPr>
                <w:noProof/>
                <w:webHidden/>
              </w:rPr>
              <w:fldChar w:fldCharType="separate"/>
            </w:r>
            <w:r>
              <w:rPr>
                <w:noProof/>
                <w:webHidden/>
              </w:rPr>
              <w:t>23</w:t>
            </w:r>
            <w:r>
              <w:rPr>
                <w:noProof/>
                <w:webHidden/>
              </w:rPr>
              <w:fldChar w:fldCharType="end"/>
            </w:r>
          </w:hyperlink>
        </w:p>
        <w:p w14:paraId="6DBE0BDE" w14:textId="43A20447" w:rsidR="00995883" w:rsidRDefault="00995883">
          <w:pPr>
            <w:pStyle w:val="TOC3"/>
            <w:tabs>
              <w:tab w:val="right" w:leader="dot" w:pos="9060"/>
            </w:tabs>
            <w:rPr>
              <w:rFonts w:cstheme="minorBidi"/>
              <w:noProof/>
              <w:kern w:val="2"/>
              <w:sz w:val="24"/>
              <w:szCs w:val="24"/>
              <w14:ligatures w14:val="standardContextual"/>
            </w:rPr>
          </w:pPr>
          <w:hyperlink w:anchor="_Toc230044137" w:history="1">
            <w:r w:rsidRPr="00082866">
              <w:rPr>
                <w:rStyle w:val="Hyperlink"/>
                <w:noProof/>
              </w:rPr>
              <w:t>2.2.3. Multicollinearity and correlation analysis</w:t>
            </w:r>
            <w:r>
              <w:rPr>
                <w:noProof/>
                <w:webHidden/>
              </w:rPr>
              <w:tab/>
            </w:r>
            <w:r>
              <w:rPr>
                <w:noProof/>
                <w:webHidden/>
              </w:rPr>
              <w:fldChar w:fldCharType="begin"/>
            </w:r>
            <w:r>
              <w:rPr>
                <w:noProof/>
                <w:webHidden/>
              </w:rPr>
              <w:instrText xml:space="preserve"> PAGEREF _Toc230044137 \h </w:instrText>
            </w:r>
            <w:r>
              <w:rPr>
                <w:noProof/>
                <w:webHidden/>
              </w:rPr>
            </w:r>
            <w:r>
              <w:rPr>
                <w:noProof/>
                <w:webHidden/>
              </w:rPr>
              <w:fldChar w:fldCharType="separate"/>
            </w:r>
            <w:r>
              <w:rPr>
                <w:noProof/>
                <w:webHidden/>
              </w:rPr>
              <w:t>25</w:t>
            </w:r>
            <w:r>
              <w:rPr>
                <w:noProof/>
                <w:webHidden/>
              </w:rPr>
              <w:fldChar w:fldCharType="end"/>
            </w:r>
          </w:hyperlink>
        </w:p>
        <w:p w14:paraId="2EDA32B2" w14:textId="239277F2" w:rsidR="00995883" w:rsidRDefault="00995883">
          <w:pPr>
            <w:pStyle w:val="TOC3"/>
            <w:tabs>
              <w:tab w:val="right" w:leader="dot" w:pos="9060"/>
            </w:tabs>
            <w:rPr>
              <w:rFonts w:cstheme="minorBidi"/>
              <w:noProof/>
              <w:kern w:val="2"/>
              <w:sz w:val="24"/>
              <w:szCs w:val="24"/>
              <w14:ligatures w14:val="standardContextual"/>
            </w:rPr>
          </w:pPr>
          <w:hyperlink w:anchor="_Toc230044138" w:history="1">
            <w:r w:rsidRPr="00082866">
              <w:rPr>
                <w:rStyle w:val="Hyperlink"/>
                <w:noProof/>
              </w:rPr>
              <w:t>2.2.4. Spatial and visual analysis of AI-wage dynamics</w:t>
            </w:r>
            <w:r>
              <w:rPr>
                <w:noProof/>
                <w:webHidden/>
              </w:rPr>
              <w:tab/>
            </w:r>
            <w:r>
              <w:rPr>
                <w:noProof/>
                <w:webHidden/>
              </w:rPr>
              <w:fldChar w:fldCharType="begin"/>
            </w:r>
            <w:r>
              <w:rPr>
                <w:noProof/>
                <w:webHidden/>
              </w:rPr>
              <w:instrText xml:space="preserve"> PAGEREF _Toc230044138 \h </w:instrText>
            </w:r>
            <w:r>
              <w:rPr>
                <w:noProof/>
                <w:webHidden/>
              </w:rPr>
            </w:r>
            <w:r>
              <w:rPr>
                <w:noProof/>
                <w:webHidden/>
              </w:rPr>
              <w:fldChar w:fldCharType="separate"/>
            </w:r>
            <w:r>
              <w:rPr>
                <w:noProof/>
                <w:webHidden/>
              </w:rPr>
              <w:t>27</w:t>
            </w:r>
            <w:r>
              <w:rPr>
                <w:noProof/>
                <w:webHidden/>
              </w:rPr>
              <w:fldChar w:fldCharType="end"/>
            </w:r>
          </w:hyperlink>
        </w:p>
        <w:p w14:paraId="03D791A3" w14:textId="1D7D690F" w:rsidR="00995883" w:rsidRDefault="00995883">
          <w:pPr>
            <w:pStyle w:val="TOC2"/>
            <w:tabs>
              <w:tab w:val="right" w:leader="dot" w:pos="9060"/>
            </w:tabs>
            <w:rPr>
              <w:rFonts w:eastAsiaTheme="minorEastAsia"/>
              <w:noProof/>
              <w:sz w:val="24"/>
              <w:szCs w:val="24"/>
              <w:lang w:eastAsia="en-GB"/>
            </w:rPr>
          </w:pPr>
          <w:hyperlink w:anchor="_Toc230044139" w:history="1">
            <w:r w:rsidRPr="00082866">
              <w:rPr>
                <w:rStyle w:val="Hyperlink"/>
                <w:noProof/>
              </w:rPr>
              <w:t>2.3. Econometric Modelling Strategy</w:t>
            </w:r>
            <w:r>
              <w:rPr>
                <w:noProof/>
                <w:webHidden/>
              </w:rPr>
              <w:tab/>
            </w:r>
            <w:r>
              <w:rPr>
                <w:noProof/>
                <w:webHidden/>
              </w:rPr>
              <w:fldChar w:fldCharType="begin"/>
            </w:r>
            <w:r>
              <w:rPr>
                <w:noProof/>
                <w:webHidden/>
              </w:rPr>
              <w:instrText xml:space="preserve"> PAGEREF _Toc230044139 \h </w:instrText>
            </w:r>
            <w:r>
              <w:rPr>
                <w:noProof/>
                <w:webHidden/>
              </w:rPr>
            </w:r>
            <w:r>
              <w:rPr>
                <w:noProof/>
                <w:webHidden/>
              </w:rPr>
              <w:fldChar w:fldCharType="separate"/>
            </w:r>
            <w:r>
              <w:rPr>
                <w:noProof/>
                <w:webHidden/>
              </w:rPr>
              <w:t>30</w:t>
            </w:r>
            <w:r>
              <w:rPr>
                <w:noProof/>
                <w:webHidden/>
              </w:rPr>
              <w:fldChar w:fldCharType="end"/>
            </w:r>
          </w:hyperlink>
        </w:p>
        <w:p w14:paraId="7FFACBD0" w14:textId="3C7E1128" w:rsidR="00995883" w:rsidRDefault="00995883">
          <w:pPr>
            <w:pStyle w:val="TOC3"/>
            <w:tabs>
              <w:tab w:val="right" w:leader="dot" w:pos="9060"/>
            </w:tabs>
            <w:rPr>
              <w:rFonts w:cstheme="minorBidi"/>
              <w:noProof/>
              <w:kern w:val="2"/>
              <w:sz w:val="24"/>
              <w:szCs w:val="24"/>
              <w14:ligatures w14:val="standardContextual"/>
            </w:rPr>
          </w:pPr>
          <w:hyperlink w:anchor="_Toc230044140" w:history="1">
            <w:r w:rsidRPr="00082866">
              <w:rPr>
                <w:rStyle w:val="Hyperlink"/>
                <w:noProof/>
              </w:rPr>
              <w:t>2.3.1. Baseline cross-sectional specification</w:t>
            </w:r>
            <w:r>
              <w:rPr>
                <w:noProof/>
                <w:webHidden/>
              </w:rPr>
              <w:tab/>
            </w:r>
            <w:r>
              <w:rPr>
                <w:noProof/>
                <w:webHidden/>
              </w:rPr>
              <w:fldChar w:fldCharType="begin"/>
            </w:r>
            <w:r>
              <w:rPr>
                <w:noProof/>
                <w:webHidden/>
              </w:rPr>
              <w:instrText xml:space="preserve"> PAGEREF _Toc230044140 \h </w:instrText>
            </w:r>
            <w:r>
              <w:rPr>
                <w:noProof/>
                <w:webHidden/>
              </w:rPr>
            </w:r>
            <w:r>
              <w:rPr>
                <w:noProof/>
                <w:webHidden/>
              </w:rPr>
              <w:fldChar w:fldCharType="separate"/>
            </w:r>
            <w:r>
              <w:rPr>
                <w:noProof/>
                <w:webHidden/>
              </w:rPr>
              <w:t>30</w:t>
            </w:r>
            <w:r>
              <w:rPr>
                <w:noProof/>
                <w:webHidden/>
              </w:rPr>
              <w:fldChar w:fldCharType="end"/>
            </w:r>
          </w:hyperlink>
        </w:p>
        <w:p w14:paraId="5369F434" w14:textId="7F57CA7D" w:rsidR="00995883" w:rsidRDefault="00995883">
          <w:pPr>
            <w:pStyle w:val="TOC3"/>
            <w:tabs>
              <w:tab w:val="right" w:leader="dot" w:pos="9060"/>
            </w:tabs>
            <w:rPr>
              <w:rFonts w:cstheme="minorBidi"/>
              <w:noProof/>
              <w:kern w:val="2"/>
              <w:sz w:val="24"/>
              <w:szCs w:val="24"/>
              <w14:ligatures w14:val="standardContextual"/>
            </w:rPr>
          </w:pPr>
          <w:hyperlink w:anchor="_Toc230044141" w:history="1">
            <w:r w:rsidRPr="00082866">
              <w:rPr>
                <w:rStyle w:val="Hyperlink"/>
                <w:noProof/>
              </w:rPr>
              <w:t>2.3.2. Two-way fixed effects for within-entity dynamics</w:t>
            </w:r>
            <w:r>
              <w:rPr>
                <w:noProof/>
                <w:webHidden/>
              </w:rPr>
              <w:tab/>
            </w:r>
            <w:r>
              <w:rPr>
                <w:noProof/>
                <w:webHidden/>
              </w:rPr>
              <w:fldChar w:fldCharType="begin"/>
            </w:r>
            <w:r>
              <w:rPr>
                <w:noProof/>
                <w:webHidden/>
              </w:rPr>
              <w:instrText xml:space="preserve"> PAGEREF _Toc230044141 \h </w:instrText>
            </w:r>
            <w:r>
              <w:rPr>
                <w:noProof/>
                <w:webHidden/>
              </w:rPr>
            </w:r>
            <w:r>
              <w:rPr>
                <w:noProof/>
                <w:webHidden/>
              </w:rPr>
              <w:fldChar w:fldCharType="separate"/>
            </w:r>
            <w:r>
              <w:rPr>
                <w:noProof/>
                <w:webHidden/>
              </w:rPr>
              <w:t>31</w:t>
            </w:r>
            <w:r>
              <w:rPr>
                <w:noProof/>
                <w:webHidden/>
              </w:rPr>
              <w:fldChar w:fldCharType="end"/>
            </w:r>
          </w:hyperlink>
        </w:p>
        <w:p w14:paraId="22CA62A8" w14:textId="2C57AEFA" w:rsidR="00995883" w:rsidRDefault="00995883">
          <w:pPr>
            <w:pStyle w:val="TOC3"/>
            <w:tabs>
              <w:tab w:val="right" w:leader="dot" w:pos="9060"/>
            </w:tabs>
            <w:rPr>
              <w:rFonts w:cstheme="minorBidi"/>
              <w:noProof/>
              <w:kern w:val="2"/>
              <w:sz w:val="24"/>
              <w:szCs w:val="24"/>
              <w14:ligatures w14:val="standardContextual"/>
            </w:rPr>
          </w:pPr>
          <w:hyperlink w:anchor="_Toc230044142" w:history="1">
            <w:r w:rsidRPr="00082866">
              <w:rPr>
                <w:rStyle w:val="Hyperlink"/>
                <w:noProof/>
              </w:rPr>
              <w:t>2.3.3. Correlated random effects specification</w:t>
            </w:r>
            <w:r>
              <w:rPr>
                <w:noProof/>
                <w:webHidden/>
              </w:rPr>
              <w:tab/>
            </w:r>
            <w:r>
              <w:rPr>
                <w:noProof/>
                <w:webHidden/>
              </w:rPr>
              <w:fldChar w:fldCharType="begin"/>
            </w:r>
            <w:r>
              <w:rPr>
                <w:noProof/>
                <w:webHidden/>
              </w:rPr>
              <w:instrText xml:space="preserve"> PAGEREF _Toc230044142 \h </w:instrText>
            </w:r>
            <w:r>
              <w:rPr>
                <w:noProof/>
                <w:webHidden/>
              </w:rPr>
            </w:r>
            <w:r>
              <w:rPr>
                <w:noProof/>
                <w:webHidden/>
              </w:rPr>
              <w:fldChar w:fldCharType="separate"/>
            </w:r>
            <w:r>
              <w:rPr>
                <w:noProof/>
                <w:webHidden/>
              </w:rPr>
              <w:t>31</w:t>
            </w:r>
            <w:r>
              <w:rPr>
                <w:noProof/>
                <w:webHidden/>
              </w:rPr>
              <w:fldChar w:fldCharType="end"/>
            </w:r>
          </w:hyperlink>
        </w:p>
        <w:p w14:paraId="493792DC" w14:textId="4D95ECE0" w:rsidR="00995883" w:rsidRDefault="00995883">
          <w:pPr>
            <w:pStyle w:val="TOC2"/>
            <w:tabs>
              <w:tab w:val="right" w:leader="dot" w:pos="9060"/>
            </w:tabs>
            <w:rPr>
              <w:rFonts w:eastAsiaTheme="minorEastAsia"/>
              <w:noProof/>
              <w:sz w:val="24"/>
              <w:szCs w:val="24"/>
              <w:lang w:eastAsia="en-GB"/>
            </w:rPr>
          </w:pPr>
          <w:hyperlink w:anchor="_Toc230044143" w:history="1">
            <w:r w:rsidRPr="00082866">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_Toc230044143 \h </w:instrText>
            </w:r>
            <w:r>
              <w:rPr>
                <w:noProof/>
                <w:webHidden/>
              </w:rPr>
            </w:r>
            <w:r>
              <w:rPr>
                <w:noProof/>
                <w:webHidden/>
              </w:rPr>
              <w:fldChar w:fldCharType="separate"/>
            </w:r>
            <w:r>
              <w:rPr>
                <w:noProof/>
                <w:webHidden/>
              </w:rPr>
              <w:t>33</w:t>
            </w:r>
            <w:r>
              <w:rPr>
                <w:noProof/>
                <w:webHidden/>
              </w:rPr>
              <w:fldChar w:fldCharType="end"/>
            </w:r>
          </w:hyperlink>
        </w:p>
        <w:p w14:paraId="7409D4DD" w14:textId="0CCEDA45" w:rsidR="00995883" w:rsidRDefault="00995883">
          <w:pPr>
            <w:pStyle w:val="TOC3"/>
            <w:tabs>
              <w:tab w:val="right" w:leader="dot" w:pos="9060"/>
            </w:tabs>
            <w:rPr>
              <w:rFonts w:cstheme="minorBidi"/>
              <w:noProof/>
              <w:kern w:val="2"/>
              <w:sz w:val="24"/>
              <w:szCs w:val="24"/>
              <w14:ligatures w14:val="standardContextual"/>
            </w:rPr>
          </w:pPr>
          <w:hyperlink w:anchor="_Toc230044144" w:history="1">
            <w:r w:rsidRPr="00082866">
              <w:rPr>
                <w:rStyle w:val="Hyperlink"/>
                <w:noProof/>
              </w:rPr>
              <w:t>Cross-Sectional Models (2021–2024): The Structural AI–Wage Relationship</w:t>
            </w:r>
            <w:r>
              <w:rPr>
                <w:noProof/>
                <w:webHidden/>
              </w:rPr>
              <w:tab/>
            </w:r>
            <w:r>
              <w:rPr>
                <w:noProof/>
                <w:webHidden/>
              </w:rPr>
              <w:fldChar w:fldCharType="begin"/>
            </w:r>
            <w:r>
              <w:rPr>
                <w:noProof/>
                <w:webHidden/>
              </w:rPr>
              <w:instrText xml:space="preserve"> PAGEREF _Toc230044144 \h </w:instrText>
            </w:r>
            <w:r>
              <w:rPr>
                <w:noProof/>
                <w:webHidden/>
              </w:rPr>
            </w:r>
            <w:r>
              <w:rPr>
                <w:noProof/>
                <w:webHidden/>
              </w:rPr>
              <w:fldChar w:fldCharType="separate"/>
            </w:r>
            <w:r>
              <w:rPr>
                <w:noProof/>
                <w:webHidden/>
              </w:rPr>
              <w:t>33</w:t>
            </w:r>
            <w:r>
              <w:rPr>
                <w:noProof/>
                <w:webHidden/>
              </w:rPr>
              <w:fldChar w:fldCharType="end"/>
            </w:r>
          </w:hyperlink>
        </w:p>
        <w:p w14:paraId="38382569" w14:textId="476BE848" w:rsidR="00995883" w:rsidRDefault="00995883">
          <w:pPr>
            <w:pStyle w:val="TOC3"/>
            <w:tabs>
              <w:tab w:val="right" w:leader="dot" w:pos="9060"/>
            </w:tabs>
            <w:rPr>
              <w:rFonts w:cstheme="minorBidi"/>
              <w:noProof/>
              <w:kern w:val="2"/>
              <w:sz w:val="24"/>
              <w:szCs w:val="24"/>
              <w14:ligatures w14:val="standardContextual"/>
            </w:rPr>
          </w:pPr>
          <w:hyperlink w:anchor="_Toc230044145" w:history="1">
            <w:r w:rsidRPr="00082866">
              <w:rPr>
                <w:rStyle w:val="Hyperlink"/>
                <w:noProof/>
              </w:rPr>
              <w:t>Models results</w:t>
            </w:r>
            <w:r>
              <w:rPr>
                <w:noProof/>
                <w:webHidden/>
              </w:rPr>
              <w:tab/>
            </w:r>
            <w:r>
              <w:rPr>
                <w:noProof/>
                <w:webHidden/>
              </w:rPr>
              <w:fldChar w:fldCharType="begin"/>
            </w:r>
            <w:r>
              <w:rPr>
                <w:noProof/>
                <w:webHidden/>
              </w:rPr>
              <w:instrText xml:space="preserve"> PAGEREF _Toc230044145 \h </w:instrText>
            </w:r>
            <w:r>
              <w:rPr>
                <w:noProof/>
                <w:webHidden/>
              </w:rPr>
            </w:r>
            <w:r>
              <w:rPr>
                <w:noProof/>
                <w:webHidden/>
              </w:rPr>
              <w:fldChar w:fldCharType="separate"/>
            </w:r>
            <w:r>
              <w:rPr>
                <w:noProof/>
                <w:webHidden/>
              </w:rPr>
              <w:t>35</w:t>
            </w:r>
            <w:r>
              <w:rPr>
                <w:noProof/>
                <w:webHidden/>
              </w:rPr>
              <w:fldChar w:fldCharType="end"/>
            </w:r>
          </w:hyperlink>
        </w:p>
        <w:p w14:paraId="5D000230" w14:textId="4D0D4F83" w:rsidR="00995883" w:rsidRDefault="00995883">
          <w:pPr>
            <w:pStyle w:val="TOC1"/>
            <w:tabs>
              <w:tab w:val="right" w:leader="dot" w:pos="9060"/>
            </w:tabs>
            <w:rPr>
              <w:rFonts w:cstheme="minorBidi"/>
              <w:noProof/>
              <w:kern w:val="2"/>
              <w:sz w:val="24"/>
              <w:szCs w:val="24"/>
              <w14:ligatures w14:val="standardContextual"/>
            </w:rPr>
          </w:pPr>
          <w:hyperlink w:anchor="_Toc230044146" w:history="1">
            <w:r w:rsidRPr="00082866">
              <w:rPr>
                <w:rStyle w:val="Hyperlink"/>
                <w:noProof/>
              </w:rPr>
              <w:t>Conclusion</w:t>
            </w:r>
            <w:r>
              <w:rPr>
                <w:noProof/>
                <w:webHidden/>
              </w:rPr>
              <w:tab/>
            </w:r>
            <w:r>
              <w:rPr>
                <w:noProof/>
                <w:webHidden/>
              </w:rPr>
              <w:fldChar w:fldCharType="begin"/>
            </w:r>
            <w:r>
              <w:rPr>
                <w:noProof/>
                <w:webHidden/>
              </w:rPr>
              <w:instrText xml:space="preserve"> PAGEREF _Toc230044146 \h </w:instrText>
            </w:r>
            <w:r>
              <w:rPr>
                <w:noProof/>
                <w:webHidden/>
              </w:rPr>
            </w:r>
            <w:r>
              <w:rPr>
                <w:noProof/>
                <w:webHidden/>
              </w:rPr>
              <w:fldChar w:fldCharType="separate"/>
            </w:r>
            <w:r>
              <w:rPr>
                <w:noProof/>
                <w:webHidden/>
              </w:rPr>
              <w:t>46</w:t>
            </w:r>
            <w:r>
              <w:rPr>
                <w:noProof/>
                <w:webHidden/>
              </w:rPr>
              <w:fldChar w:fldCharType="end"/>
            </w:r>
          </w:hyperlink>
        </w:p>
        <w:p w14:paraId="6460CB7E" w14:textId="0D39B4E5" w:rsidR="00995883" w:rsidRDefault="00995883">
          <w:pPr>
            <w:pStyle w:val="TOC2"/>
            <w:tabs>
              <w:tab w:val="right" w:leader="dot" w:pos="9060"/>
            </w:tabs>
            <w:rPr>
              <w:rFonts w:eastAsiaTheme="minorEastAsia"/>
              <w:noProof/>
              <w:sz w:val="24"/>
              <w:szCs w:val="24"/>
              <w:lang w:eastAsia="en-GB"/>
            </w:rPr>
          </w:pPr>
          <w:hyperlink w:anchor="_Toc230044147" w:history="1">
            <w:r w:rsidRPr="00082866">
              <w:rPr>
                <w:rStyle w:val="Hyperlink"/>
                <w:noProof/>
              </w:rPr>
              <w:t>Limitations and future enhancements</w:t>
            </w:r>
            <w:r>
              <w:rPr>
                <w:noProof/>
                <w:webHidden/>
              </w:rPr>
              <w:tab/>
            </w:r>
            <w:r>
              <w:rPr>
                <w:noProof/>
                <w:webHidden/>
              </w:rPr>
              <w:fldChar w:fldCharType="begin"/>
            </w:r>
            <w:r>
              <w:rPr>
                <w:noProof/>
                <w:webHidden/>
              </w:rPr>
              <w:instrText xml:space="preserve"> PAGEREF _Toc230044147 \h </w:instrText>
            </w:r>
            <w:r>
              <w:rPr>
                <w:noProof/>
                <w:webHidden/>
              </w:rPr>
            </w:r>
            <w:r>
              <w:rPr>
                <w:noProof/>
                <w:webHidden/>
              </w:rPr>
              <w:fldChar w:fldCharType="separate"/>
            </w:r>
            <w:r>
              <w:rPr>
                <w:noProof/>
                <w:webHidden/>
              </w:rPr>
              <w:t>46</w:t>
            </w:r>
            <w:r>
              <w:rPr>
                <w:noProof/>
                <w:webHidden/>
              </w:rPr>
              <w:fldChar w:fldCharType="end"/>
            </w:r>
          </w:hyperlink>
        </w:p>
        <w:p w14:paraId="706B9BBA" w14:textId="3C89CADD" w:rsidR="00995883" w:rsidRDefault="00995883">
          <w:pPr>
            <w:pStyle w:val="TOC2"/>
            <w:tabs>
              <w:tab w:val="right" w:leader="dot" w:pos="9060"/>
            </w:tabs>
            <w:rPr>
              <w:rFonts w:eastAsiaTheme="minorEastAsia"/>
              <w:noProof/>
              <w:sz w:val="24"/>
              <w:szCs w:val="24"/>
              <w:lang w:eastAsia="en-GB"/>
            </w:rPr>
          </w:pPr>
          <w:hyperlink w:anchor="_Toc230044148" w:history="1">
            <w:r w:rsidRPr="00082866">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_Toc230044148 \h </w:instrText>
            </w:r>
            <w:r>
              <w:rPr>
                <w:noProof/>
                <w:webHidden/>
              </w:rPr>
            </w:r>
            <w:r>
              <w:rPr>
                <w:noProof/>
                <w:webHidden/>
              </w:rPr>
              <w:fldChar w:fldCharType="separate"/>
            </w:r>
            <w:r>
              <w:rPr>
                <w:noProof/>
                <w:webHidden/>
              </w:rPr>
              <w:t>47</w:t>
            </w:r>
            <w:r>
              <w:rPr>
                <w:noProof/>
                <w:webHidden/>
              </w:rPr>
              <w:fldChar w:fldCharType="end"/>
            </w:r>
          </w:hyperlink>
        </w:p>
        <w:p w14:paraId="6B42318B" w14:textId="46E343EB" w:rsidR="00995883" w:rsidRDefault="00995883">
          <w:pPr>
            <w:pStyle w:val="TOC2"/>
            <w:tabs>
              <w:tab w:val="right" w:leader="dot" w:pos="9060"/>
            </w:tabs>
            <w:rPr>
              <w:rFonts w:eastAsiaTheme="minorEastAsia"/>
              <w:noProof/>
              <w:sz w:val="24"/>
              <w:szCs w:val="24"/>
              <w:lang w:eastAsia="en-GB"/>
            </w:rPr>
          </w:pPr>
          <w:hyperlink w:anchor="_Toc230044149" w:history="1">
            <w:r w:rsidRPr="00082866">
              <w:rPr>
                <w:rStyle w:val="Hyperlink"/>
                <w:rFonts w:ascii="Times New Roman" w:hAnsi="Times New Roman" w:cs="Times New Roman"/>
                <w:noProof/>
              </w:rPr>
              <w:t>Appendix</w:t>
            </w:r>
            <w:r>
              <w:rPr>
                <w:noProof/>
                <w:webHidden/>
              </w:rPr>
              <w:tab/>
            </w:r>
            <w:r>
              <w:rPr>
                <w:noProof/>
                <w:webHidden/>
              </w:rPr>
              <w:fldChar w:fldCharType="begin"/>
            </w:r>
            <w:r>
              <w:rPr>
                <w:noProof/>
                <w:webHidden/>
              </w:rPr>
              <w:instrText xml:space="preserve"> PAGEREF _Toc230044149 \h </w:instrText>
            </w:r>
            <w:r>
              <w:rPr>
                <w:noProof/>
                <w:webHidden/>
              </w:rPr>
            </w:r>
            <w:r>
              <w:rPr>
                <w:noProof/>
                <w:webHidden/>
              </w:rPr>
              <w:fldChar w:fldCharType="separate"/>
            </w:r>
            <w:r>
              <w:rPr>
                <w:noProof/>
                <w:webHidden/>
              </w:rPr>
              <w:t>52</w:t>
            </w:r>
            <w:r>
              <w:rPr>
                <w:noProof/>
                <w:webHidden/>
              </w:rPr>
              <w:fldChar w:fldCharType="end"/>
            </w:r>
          </w:hyperlink>
        </w:p>
        <w:p w14:paraId="65738ED1" w14:textId="094B9012" w:rsidR="00995883" w:rsidRDefault="00995883">
          <w:pPr>
            <w:pStyle w:val="TOC2"/>
            <w:tabs>
              <w:tab w:val="right" w:leader="dot" w:pos="9060"/>
            </w:tabs>
            <w:rPr>
              <w:rFonts w:eastAsiaTheme="minorEastAsia"/>
              <w:noProof/>
              <w:sz w:val="24"/>
              <w:szCs w:val="24"/>
              <w:lang w:eastAsia="en-GB"/>
            </w:rPr>
          </w:pPr>
          <w:hyperlink w:anchor="_Toc230044150" w:history="1">
            <w:r w:rsidRPr="00082866">
              <w:rPr>
                <w:rStyle w:val="Hyperlink"/>
                <w:noProof/>
              </w:rPr>
              <w:t>2021 year – cross-sectional</w:t>
            </w:r>
            <w:r>
              <w:rPr>
                <w:noProof/>
                <w:webHidden/>
              </w:rPr>
              <w:tab/>
            </w:r>
            <w:r>
              <w:rPr>
                <w:noProof/>
                <w:webHidden/>
              </w:rPr>
              <w:fldChar w:fldCharType="begin"/>
            </w:r>
            <w:r>
              <w:rPr>
                <w:noProof/>
                <w:webHidden/>
              </w:rPr>
              <w:instrText xml:space="preserve"> PAGEREF _Toc230044150 \h </w:instrText>
            </w:r>
            <w:r>
              <w:rPr>
                <w:noProof/>
                <w:webHidden/>
              </w:rPr>
            </w:r>
            <w:r>
              <w:rPr>
                <w:noProof/>
                <w:webHidden/>
              </w:rPr>
              <w:fldChar w:fldCharType="separate"/>
            </w:r>
            <w:r>
              <w:rPr>
                <w:noProof/>
                <w:webHidden/>
              </w:rPr>
              <w:t>55</w:t>
            </w:r>
            <w:r>
              <w:rPr>
                <w:noProof/>
                <w:webHidden/>
              </w:rPr>
              <w:fldChar w:fldCharType="end"/>
            </w:r>
          </w:hyperlink>
        </w:p>
        <w:p w14:paraId="1D3AC25E" w14:textId="419DE466" w:rsidR="00995883" w:rsidRDefault="00995883">
          <w:pPr>
            <w:pStyle w:val="TOC2"/>
            <w:tabs>
              <w:tab w:val="right" w:leader="dot" w:pos="9060"/>
            </w:tabs>
            <w:rPr>
              <w:rFonts w:eastAsiaTheme="minorEastAsia"/>
              <w:noProof/>
              <w:sz w:val="24"/>
              <w:szCs w:val="24"/>
              <w:lang w:eastAsia="en-GB"/>
            </w:rPr>
          </w:pPr>
          <w:hyperlink w:anchor="_Toc230044151" w:history="1">
            <w:r w:rsidRPr="00082866">
              <w:rPr>
                <w:rStyle w:val="Hyperlink"/>
                <w:noProof/>
              </w:rPr>
              <w:t>2022 year – cross-sectional</w:t>
            </w:r>
            <w:r>
              <w:rPr>
                <w:noProof/>
                <w:webHidden/>
              </w:rPr>
              <w:tab/>
            </w:r>
            <w:r>
              <w:rPr>
                <w:noProof/>
                <w:webHidden/>
              </w:rPr>
              <w:fldChar w:fldCharType="begin"/>
            </w:r>
            <w:r>
              <w:rPr>
                <w:noProof/>
                <w:webHidden/>
              </w:rPr>
              <w:instrText xml:space="preserve"> PAGEREF _Toc230044151 \h </w:instrText>
            </w:r>
            <w:r>
              <w:rPr>
                <w:noProof/>
                <w:webHidden/>
              </w:rPr>
            </w:r>
            <w:r>
              <w:rPr>
                <w:noProof/>
                <w:webHidden/>
              </w:rPr>
              <w:fldChar w:fldCharType="separate"/>
            </w:r>
            <w:r>
              <w:rPr>
                <w:noProof/>
                <w:webHidden/>
              </w:rPr>
              <w:t>60</w:t>
            </w:r>
            <w:r>
              <w:rPr>
                <w:noProof/>
                <w:webHidden/>
              </w:rPr>
              <w:fldChar w:fldCharType="end"/>
            </w:r>
          </w:hyperlink>
        </w:p>
        <w:p w14:paraId="723F4CD6" w14:textId="50C2E343" w:rsidR="00995883" w:rsidRDefault="00995883">
          <w:pPr>
            <w:pStyle w:val="TOC2"/>
            <w:tabs>
              <w:tab w:val="right" w:leader="dot" w:pos="9060"/>
            </w:tabs>
            <w:rPr>
              <w:rFonts w:eastAsiaTheme="minorEastAsia"/>
              <w:noProof/>
              <w:sz w:val="24"/>
              <w:szCs w:val="24"/>
              <w:lang w:eastAsia="en-GB"/>
            </w:rPr>
          </w:pPr>
          <w:hyperlink w:anchor="_Toc230044152" w:history="1">
            <w:r w:rsidRPr="00082866">
              <w:rPr>
                <w:rStyle w:val="Hyperlink"/>
                <w:noProof/>
              </w:rPr>
              <w:t>2023 year – cross-sectional</w:t>
            </w:r>
            <w:r>
              <w:rPr>
                <w:noProof/>
                <w:webHidden/>
              </w:rPr>
              <w:tab/>
            </w:r>
            <w:r>
              <w:rPr>
                <w:noProof/>
                <w:webHidden/>
              </w:rPr>
              <w:fldChar w:fldCharType="begin"/>
            </w:r>
            <w:r>
              <w:rPr>
                <w:noProof/>
                <w:webHidden/>
              </w:rPr>
              <w:instrText xml:space="preserve"> PAGEREF _Toc230044152 \h </w:instrText>
            </w:r>
            <w:r>
              <w:rPr>
                <w:noProof/>
                <w:webHidden/>
              </w:rPr>
            </w:r>
            <w:r>
              <w:rPr>
                <w:noProof/>
                <w:webHidden/>
              </w:rPr>
              <w:fldChar w:fldCharType="separate"/>
            </w:r>
            <w:r>
              <w:rPr>
                <w:noProof/>
                <w:webHidden/>
              </w:rPr>
              <w:t>63</w:t>
            </w:r>
            <w:r>
              <w:rPr>
                <w:noProof/>
                <w:webHidden/>
              </w:rPr>
              <w:fldChar w:fldCharType="end"/>
            </w:r>
          </w:hyperlink>
        </w:p>
        <w:p w14:paraId="0173B2E5" w14:textId="0313A024" w:rsidR="00995883" w:rsidRDefault="00995883">
          <w:pPr>
            <w:pStyle w:val="TOC2"/>
            <w:tabs>
              <w:tab w:val="right" w:leader="dot" w:pos="9060"/>
            </w:tabs>
            <w:rPr>
              <w:rFonts w:eastAsiaTheme="minorEastAsia"/>
              <w:noProof/>
              <w:sz w:val="24"/>
              <w:szCs w:val="24"/>
              <w:lang w:eastAsia="en-GB"/>
            </w:rPr>
          </w:pPr>
          <w:hyperlink w:anchor="_Toc230044153" w:history="1">
            <w:r w:rsidRPr="00082866">
              <w:rPr>
                <w:rStyle w:val="Hyperlink"/>
                <w:noProof/>
              </w:rPr>
              <w:t>2024 year – cross-sectional</w:t>
            </w:r>
            <w:r>
              <w:rPr>
                <w:noProof/>
                <w:webHidden/>
              </w:rPr>
              <w:tab/>
            </w:r>
            <w:r>
              <w:rPr>
                <w:noProof/>
                <w:webHidden/>
              </w:rPr>
              <w:fldChar w:fldCharType="begin"/>
            </w:r>
            <w:r>
              <w:rPr>
                <w:noProof/>
                <w:webHidden/>
              </w:rPr>
              <w:instrText xml:space="preserve"> PAGEREF _Toc230044153 \h </w:instrText>
            </w:r>
            <w:r>
              <w:rPr>
                <w:noProof/>
                <w:webHidden/>
              </w:rPr>
            </w:r>
            <w:r>
              <w:rPr>
                <w:noProof/>
                <w:webHidden/>
              </w:rPr>
              <w:fldChar w:fldCharType="separate"/>
            </w:r>
            <w:r>
              <w:rPr>
                <w:noProof/>
                <w:webHidden/>
              </w:rPr>
              <w:t>66</w:t>
            </w:r>
            <w:r>
              <w:rPr>
                <w:noProof/>
                <w:webHidden/>
              </w:rPr>
              <w:fldChar w:fldCharType="end"/>
            </w:r>
          </w:hyperlink>
        </w:p>
        <w:p w14:paraId="4EA2A620" w14:textId="68182DE5" w:rsidR="00995883" w:rsidRDefault="00995883">
          <w:pPr>
            <w:pStyle w:val="TOC2"/>
            <w:tabs>
              <w:tab w:val="right" w:leader="dot" w:pos="9060"/>
            </w:tabs>
            <w:rPr>
              <w:rFonts w:eastAsiaTheme="minorEastAsia"/>
              <w:noProof/>
              <w:sz w:val="24"/>
              <w:szCs w:val="24"/>
              <w:lang w:eastAsia="en-GB"/>
            </w:rPr>
          </w:pPr>
          <w:hyperlink w:anchor="_Toc230044154" w:history="1">
            <w:r w:rsidRPr="00082866">
              <w:rPr>
                <w:rStyle w:val="Hyperlink"/>
                <w:rFonts w:eastAsia="Times New Roman"/>
                <w:noProof/>
                <w:lang w:eastAsia="en-GB"/>
              </w:rPr>
              <w:t>Panel, wage level, ICT specialist</w:t>
            </w:r>
            <w:r>
              <w:rPr>
                <w:noProof/>
                <w:webHidden/>
              </w:rPr>
              <w:tab/>
            </w:r>
            <w:r>
              <w:rPr>
                <w:noProof/>
                <w:webHidden/>
              </w:rPr>
              <w:fldChar w:fldCharType="begin"/>
            </w:r>
            <w:r>
              <w:rPr>
                <w:noProof/>
                <w:webHidden/>
              </w:rPr>
              <w:instrText xml:space="preserve"> PAGEREF _Toc230044154 \h </w:instrText>
            </w:r>
            <w:r>
              <w:rPr>
                <w:noProof/>
                <w:webHidden/>
              </w:rPr>
            </w:r>
            <w:r>
              <w:rPr>
                <w:noProof/>
                <w:webHidden/>
              </w:rPr>
              <w:fldChar w:fldCharType="separate"/>
            </w:r>
            <w:r>
              <w:rPr>
                <w:noProof/>
                <w:webHidden/>
              </w:rPr>
              <w:t>68</w:t>
            </w:r>
            <w:r>
              <w:rPr>
                <w:noProof/>
                <w:webHidden/>
              </w:rPr>
              <w:fldChar w:fldCharType="end"/>
            </w:r>
          </w:hyperlink>
        </w:p>
        <w:p w14:paraId="50CBF689" w14:textId="2758E3F2" w:rsidR="00995883" w:rsidRDefault="00995883">
          <w:pPr>
            <w:pStyle w:val="TOC2"/>
            <w:tabs>
              <w:tab w:val="right" w:leader="dot" w:pos="9060"/>
            </w:tabs>
            <w:rPr>
              <w:rFonts w:eastAsiaTheme="minorEastAsia"/>
              <w:noProof/>
              <w:sz w:val="24"/>
              <w:szCs w:val="24"/>
              <w:lang w:eastAsia="en-GB"/>
            </w:rPr>
          </w:pPr>
          <w:hyperlink w:anchor="_Toc230044155" w:history="1">
            <w:r w:rsidRPr="00082866">
              <w:rPr>
                <w:rStyle w:val="Hyperlink"/>
                <w:rFonts w:eastAsia="Times New Roman"/>
                <w:noProof/>
                <w:lang w:eastAsia="en-GB"/>
              </w:rPr>
              <w:t>Panel, wage level, ICT training</w:t>
            </w:r>
            <w:r>
              <w:rPr>
                <w:noProof/>
                <w:webHidden/>
              </w:rPr>
              <w:tab/>
            </w:r>
            <w:r>
              <w:rPr>
                <w:noProof/>
                <w:webHidden/>
              </w:rPr>
              <w:fldChar w:fldCharType="begin"/>
            </w:r>
            <w:r>
              <w:rPr>
                <w:noProof/>
                <w:webHidden/>
              </w:rPr>
              <w:instrText xml:space="preserve"> PAGEREF _Toc230044155 \h </w:instrText>
            </w:r>
            <w:r>
              <w:rPr>
                <w:noProof/>
                <w:webHidden/>
              </w:rPr>
            </w:r>
            <w:r>
              <w:rPr>
                <w:noProof/>
                <w:webHidden/>
              </w:rPr>
              <w:fldChar w:fldCharType="separate"/>
            </w:r>
            <w:r>
              <w:rPr>
                <w:noProof/>
                <w:webHidden/>
              </w:rPr>
              <w:t>69</w:t>
            </w:r>
            <w:r>
              <w:rPr>
                <w:noProof/>
                <w:webHidden/>
              </w:rPr>
              <w:fldChar w:fldCharType="end"/>
            </w:r>
          </w:hyperlink>
        </w:p>
        <w:p w14:paraId="3BBDD411" w14:textId="237AA94A" w:rsidR="00995883" w:rsidRDefault="00995883">
          <w:pPr>
            <w:pStyle w:val="TOC2"/>
            <w:tabs>
              <w:tab w:val="right" w:leader="dot" w:pos="9060"/>
            </w:tabs>
            <w:rPr>
              <w:rFonts w:eastAsiaTheme="minorEastAsia"/>
              <w:noProof/>
              <w:sz w:val="24"/>
              <w:szCs w:val="24"/>
              <w:lang w:eastAsia="en-GB"/>
            </w:rPr>
          </w:pPr>
          <w:hyperlink w:anchor="_Toc230044156" w:history="1">
            <w:r w:rsidRPr="00082866">
              <w:rPr>
                <w:rStyle w:val="Hyperlink"/>
                <w:noProof/>
              </w:rPr>
              <w:t>CRE</w:t>
            </w:r>
            <w:r>
              <w:rPr>
                <w:noProof/>
                <w:webHidden/>
              </w:rPr>
              <w:tab/>
            </w:r>
            <w:r>
              <w:rPr>
                <w:noProof/>
                <w:webHidden/>
              </w:rPr>
              <w:fldChar w:fldCharType="begin"/>
            </w:r>
            <w:r>
              <w:rPr>
                <w:noProof/>
                <w:webHidden/>
              </w:rPr>
              <w:instrText xml:space="preserve"> PAGEREF _Toc230044156 \h </w:instrText>
            </w:r>
            <w:r>
              <w:rPr>
                <w:noProof/>
                <w:webHidden/>
              </w:rPr>
            </w:r>
            <w:r>
              <w:rPr>
                <w:noProof/>
                <w:webHidden/>
              </w:rPr>
              <w:fldChar w:fldCharType="separate"/>
            </w:r>
            <w:r>
              <w:rPr>
                <w:noProof/>
                <w:webHidden/>
              </w:rPr>
              <w:t>72</w:t>
            </w:r>
            <w:r>
              <w:rPr>
                <w:noProof/>
                <w:webHidden/>
              </w:rPr>
              <w:fldChar w:fldCharType="end"/>
            </w:r>
          </w:hyperlink>
        </w:p>
        <w:p w14:paraId="0CC92A02" w14:textId="7C7D5209" w:rsidR="00A1390F" w:rsidRDefault="00A1390F" w:rsidP="00A1390F">
          <w:r>
            <w:rPr>
              <w:b/>
              <w:bCs/>
            </w:rPr>
            <w:fldChar w:fldCharType="end"/>
          </w:r>
        </w:p>
      </w:sdtContent>
    </w:sdt>
    <w:p w14:paraId="506B3E6B" w14:textId="442B6F3F" w:rsidR="007A5AA5" w:rsidRPr="007A5AA5" w:rsidRDefault="00A1390F" w:rsidP="007A5AA5">
      <w:r>
        <w:br w:type="page"/>
      </w:r>
    </w:p>
    <w:p w14:paraId="1A63DC74" w14:textId="36C36E56" w:rsidR="00BB2F9A" w:rsidRPr="002D17FF" w:rsidRDefault="002D17FF" w:rsidP="00F20A34">
      <w:pPr>
        <w:pStyle w:val="Thesisheading1"/>
      </w:pPr>
      <w:bookmarkStart w:id="3" w:name="_Toc230044112"/>
      <w:r w:rsidRPr="002D17FF">
        <w:lastRenderedPageBreak/>
        <w:t>INTRODUCTION</w:t>
      </w:r>
      <w:bookmarkEnd w:id="3"/>
      <w:r w:rsidRPr="002D17FF">
        <w:t xml:space="preserve"> </w:t>
      </w:r>
    </w:p>
    <w:p w14:paraId="02712FCE" w14:textId="0C0090AD" w:rsidR="00AD5919" w:rsidRDefault="00AD5919" w:rsidP="00AD5919">
      <w:r>
        <w:t>(motivation)</w:t>
      </w:r>
    </w:p>
    <w:p w14:paraId="0807641B" w14:textId="4CEFE546" w:rsidR="00C42784" w:rsidRDefault="00C42784" w:rsidP="00C42784">
      <w:r>
        <w:t xml:space="preserve">H1 (Within/Dynamic): Within-sector increases in AI adoption are associated with negative wage pressures, consistent with the displacement effect. This displacement is decreased in sectors with higher ICT training investment.  </w:t>
      </w:r>
    </w:p>
    <w:p w14:paraId="514CBD4F" w14:textId="6786E82C" w:rsidR="00C42784" w:rsidRPr="00AD5919" w:rsidRDefault="00C42784" w:rsidP="00AD5919">
      <w:r>
        <w:t xml:space="preserve">H2 (Between/Structural): Sectors that are structurally more advanced in AI adoption pay higher wages on average, reflecting the reinstatement effect. However, this structural AI wage premium diminishes at higher levels of sectoral ICT capacity, consistent with diminishing complementarity. </w:t>
      </w:r>
    </w:p>
    <w:p w14:paraId="25C0B1F7" w14:textId="77777777" w:rsidR="00DF7F88" w:rsidRDefault="00DF7F88" w:rsidP="00F20A34">
      <w:pPr>
        <w:pStyle w:val="Thesisheading1"/>
        <w:rPr>
          <w:color w:val="2F5496" w:themeColor="accent1" w:themeShade="BF"/>
          <w:sz w:val="32"/>
          <w:szCs w:val="32"/>
        </w:rPr>
      </w:pPr>
      <w:r>
        <w:br w:type="page"/>
      </w:r>
    </w:p>
    <w:p w14:paraId="551AC1D8" w14:textId="266A0DFC" w:rsidR="00DF7F88" w:rsidRPr="0095603D" w:rsidRDefault="00DF7F88" w:rsidP="00E971E5">
      <w:pPr>
        <w:pStyle w:val="Thesisheading1"/>
      </w:pPr>
      <w:bookmarkStart w:id="4" w:name="_Toc230044113"/>
      <w:r w:rsidRPr="0095603D">
        <w:lastRenderedPageBreak/>
        <w:t xml:space="preserve">CHAPTER </w:t>
      </w:r>
      <w:r w:rsidR="00710825">
        <w:t>I</w:t>
      </w:r>
      <w:bookmarkEnd w:id="4"/>
    </w:p>
    <w:p w14:paraId="1F298966" w14:textId="38675702" w:rsidR="00CE2656" w:rsidRPr="0095603D" w:rsidRDefault="0095603D" w:rsidP="00E971E5">
      <w:pPr>
        <w:pStyle w:val="Thesisheading1"/>
      </w:pPr>
      <w:bookmarkStart w:id="5" w:name="_Toc230044114"/>
      <w:r w:rsidRPr="0095603D">
        <w:t>LITERATURE REVIEW  AND THEORETICAL FRAMEWORK</w:t>
      </w:r>
      <w:bookmarkEnd w:id="5"/>
    </w:p>
    <w:p w14:paraId="11BD7475" w14:textId="77AD4245" w:rsidR="007546B8" w:rsidRPr="001F451E" w:rsidRDefault="007924EE" w:rsidP="001F451E">
      <w:pPr>
        <w:pStyle w:val="Thesisheading2"/>
      </w:pPr>
      <w:bookmarkStart w:id="6" w:name="_Toc230044115"/>
      <w:r w:rsidRPr="001F451E">
        <w:t>1.1.</w:t>
      </w:r>
      <w:r w:rsidR="00EA4CB5" w:rsidRPr="001F451E">
        <w:t xml:space="preserve"> </w:t>
      </w:r>
      <w:r w:rsidR="00044162" w:rsidRPr="001F451E">
        <w:t>Technology, Automation, and Wages: A Historical Perspective</w:t>
      </w:r>
      <w:bookmarkEnd w:id="6"/>
    </w:p>
    <w:p w14:paraId="6E8B39C2" w14:textId="77777777" w:rsidR="0033201D" w:rsidRPr="0033201D" w:rsidRDefault="0033201D" w:rsidP="0033201D">
      <w:pPr>
        <w:pStyle w:val="thesisheading3"/>
      </w:pPr>
      <w:bookmarkStart w:id="7" w:name="_Toc230044116"/>
      <w:r w:rsidRPr="0033201D">
        <w:t>1.1.1. Classical debates on mechanisation, wages, and technological unemployment</w:t>
      </w:r>
      <w:bookmarkEnd w:id="7"/>
    </w:p>
    <w:p w14:paraId="17F56667" w14:textId="5200C759" w:rsidR="003336EF" w:rsidRDefault="007546B8" w:rsidP="004B2248">
      <w:pPr>
        <w:pStyle w:val="Thesisbody"/>
      </w:pPr>
      <w:r w:rsidRPr="00EA04C9">
        <w:t>The relationship between technological progress and wages has been contested since the birth of modern economics. David Ricardo, in the third edition of his “Principles of Political Economy and Taxation”, famously revised his earlier optimism, acknowledging that mechanization could reduce the well-being of the working class if capitalists used rising profits to finance machinery rather than wages</w:t>
      </w:r>
      <w:r w:rsidR="00EA04C9" w:rsidRPr="00EA04C9">
        <w:t xml:space="preserve"> [</w:t>
      </w:r>
      <w:r w:rsidR="0070518E">
        <w:fldChar w:fldCharType="begin"/>
      </w:r>
      <w:r w:rsidR="0070518E">
        <w:instrText xml:space="preserve"> REF _Ref226388854 \r \h </w:instrText>
      </w:r>
      <w:r w:rsidR="004B2248">
        <w:instrText xml:space="preserve"> \* MERGEFORMAT </w:instrText>
      </w:r>
      <w:r w:rsidR="0070518E">
        <w:fldChar w:fldCharType="separate"/>
      </w:r>
      <w:r w:rsidR="0070518E">
        <w:t>1</w:t>
      </w:r>
      <w:r w:rsidR="0070518E">
        <w:fldChar w:fldCharType="end"/>
      </w:r>
      <w:r w:rsidR="00EA04C9" w:rsidRPr="00EA04C9">
        <w:t>]</w:t>
      </w:r>
      <w:r w:rsidRPr="00EA04C9">
        <w:t>.</w:t>
      </w:r>
      <w:r w:rsidR="00EA04C9" w:rsidRPr="00EA04C9">
        <w:t xml:space="preserve"> </w:t>
      </w:r>
      <w:r w:rsidRPr="00EA04C9">
        <w:t xml:space="preserve"> </w:t>
      </w:r>
      <w:r w:rsidR="008F5032">
        <w:t xml:space="preserve">The debates, whether technology raise or lower workers’ wage and prospects, has appeared with each new wave of innovation and is now actively discussing in terms of artificial intelligence tools. </w:t>
      </w:r>
      <w:r w:rsidRPr="00EA04C9">
        <w:t xml:space="preserve"> </w:t>
      </w:r>
      <w:r w:rsidR="00175E8A">
        <w:t xml:space="preserve">John Maynard </w:t>
      </w:r>
      <w:r w:rsidR="00175E8A" w:rsidRPr="00175E8A">
        <w:t xml:space="preserve">Keynes introduced the term </w:t>
      </w:r>
      <w:r w:rsidR="00175E8A">
        <w:t>“</w:t>
      </w:r>
      <w:r w:rsidR="00175E8A" w:rsidRPr="00175E8A">
        <w:t>technological unemployment</w:t>
      </w:r>
      <w:r w:rsidR="00175E8A">
        <w:t>”</w:t>
      </w:r>
      <w:r w:rsidR="001D5824">
        <w:t xml:space="preserve"> in his essay “Economic Possibility for our Grandchildren” [2],</w:t>
      </w:r>
      <w:r w:rsidR="00175E8A" w:rsidRPr="00175E8A">
        <w:t xml:space="preserve"> defining it as a situation where </w:t>
      </w:r>
      <w:r w:rsidR="001D5824">
        <w:t>“</w:t>
      </w:r>
      <w:r w:rsidR="00175E8A" w:rsidRPr="00175E8A">
        <w:t>the discovery of means of economising the use of labour outrun[s] the pace at which we can find new uses for labour,</w:t>
      </w:r>
      <w:r w:rsidR="001D5824">
        <w:t>”</w:t>
      </w:r>
      <w:r w:rsidR="00175E8A" w:rsidRPr="00175E8A">
        <w:t xml:space="preserve"> but reassured that </w:t>
      </w:r>
      <w:r w:rsidR="00175E8A">
        <w:t>“</w:t>
      </w:r>
      <w:r w:rsidR="00175E8A" w:rsidRPr="00175E8A">
        <w:t>this is only a temporary phase of maladjustment</w:t>
      </w:r>
      <w:r w:rsidR="00175E8A">
        <w:t xml:space="preserve"> (</w:t>
      </w:r>
      <w:r w:rsidR="001D5824">
        <w:t>i.e., imbalance, disruption</w:t>
      </w:r>
      <w:r w:rsidR="00175E8A">
        <w:t>)</w:t>
      </w:r>
      <w:r w:rsidR="00122515">
        <w:t>”</w:t>
      </w:r>
      <w:r w:rsidR="00175E8A" w:rsidRPr="00175E8A">
        <w:t xml:space="preserve"> and that rising productivity would eventually benefit all. These classical tensions established the foundational questions that modern labour economics continues to investigate: under what conditions does technology displace workers, and when does it complement and enrich them?</w:t>
      </w:r>
    </w:p>
    <w:p w14:paraId="62E177C3" w14:textId="215388C2" w:rsidR="00113185" w:rsidRPr="00113185" w:rsidRDefault="00113185" w:rsidP="00113185">
      <w:pPr>
        <w:pStyle w:val="thesisheading3"/>
      </w:pPr>
      <w:bookmarkStart w:id="8" w:name="_Toc230044117"/>
      <w:r w:rsidRPr="00113185">
        <w:t>1.1.2. The First Industrial Revolution: displacement, skill formation, and wage divergence</w:t>
      </w:r>
      <w:bookmarkEnd w:id="8"/>
    </w:p>
    <w:p w14:paraId="64F9D362" w14:textId="75367E82" w:rsidR="007546B8" w:rsidRDefault="002C6C48" w:rsidP="004B2248">
      <w:pPr>
        <w:pStyle w:val="Thesisbody"/>
      </w:pPr>
      <w:r w:rsidRPr="002C6C48">
        <w:t>The First Industrial Revolution (approximately 1760</w:t>
      </w:r>
      <w:r w:rsidR="00F2348E">
        <w:t>-</w:t>
      </w:r>
      <w:r w:rsidRPr="002C6C48">
        <w:t xml:space="preserve">1840) offers the earliest empirical evidence on how automation affects wages. Acemoglu and Restrepo </w:t>
      </w:r>
      <w:r w:rsidR="00F2348E">
        <w:t>in their work “</w:t>
      </w:r>
      <w:r w:rsidR="000E64E9">
        <w:t>Automation and New Tasks: How Technology Displaces and Reinstates Labor</w:t>
      </w:r>
      <w:r w:rsidR="00F2348E">
        <w:t>”</w:t>
      </w:r>
      <w:r w:rsidR="004E175A">
        <w:t xml:space="preserve"> </w:t>
      </w:r>
      <w:r w:rsidRPr="002C6C48">
        <w:t>describe the core mechanism as a displacement effect: when machines take over tasks previously done by workers, labour's share of value added falls. This is precisely what happened in textiles</w:t>
      </w:r>
      <w:r w:rsidR="000C27BD">
        <w:t xml:space="preserve">, where </w:t>
      </w:r>
      <w:r w:rsidRPr="002C6C48">
        <w:t>early factory innovations automated the spinning and weaving tasks of skilled artisans, causing widespread job losses and triggering the Luddite riots of the 1810s</w:t>
      </w:r>
      <w:r w:rsidR="0019520C" w:rsidRPr="0019520C">
        <w:t xml:space="preserve"> </w:t>
      </w:r>
      <w:r w:rsidR="00F2348E">
        <w:t>[3]</w:t>
      </w:r>
      <w:r w:rsidRPr="002C6C48">
        <w:t xml:space="preserve">. Agricultural </w:t>
      </w:r>
      <w:r w:rsidRPr="002C6C48">
        <w:lastRenderedPageBreak/>
        <w:t>mechanisation followed a similar path, as horse-powered reapers and later tractors displaced farm workers in large numbers across the second half of the nineteenth century</w:t>
      </w:r>
      <w:r w:rsidR="000C27BD">
        <w:t>.</w:t>
      </w:r>
      <w:r>
        <w:t xml:space="preserve"> </w:t>
      </w:r>
    </w:p>
    <w:p w14:paraId="4AFD3A7B" w14:textId="3118DCEB" w:rsidR="000C27BD" w:rsidRDefault="00BF024B" w:rsidP="009E2DCC">
      <w:pPr>
        <w:pStyle w:val="Thesisbody"/>
      </w:pPr>
      <w:r w:rsidRPr="00BF024B">
        <w:t>Yet displacement was not the end of the story. Drawing on the wage calculations of economic historian James Bessen, the U.S. Bureau of Labor Statistics documents that real hourly wages for weavers and spinners remained largely stagnant from 1830 to 1860</w:t>
      </w:r>
      <w:r w:rsidR="006B07CD">
        <w:t xml:space="preserve"> [4]</w:t>
      </w:r>
      <w:r w:rsidRPr="00BF024B">
        <w:t xml:space="preserve">. </w:t>
      </w:r>
      <w:r w:rsidR="007E664E">
        <w:t xml:space="preserve">Important to note that the weavers and spinners used </w:t>
      </w:r>
      <w:r w:rsidR="007E664E" w:rsidRPr="00BF024B">
        <w:t xml:space="preserve"> the cutting-edge factory technologies of the time</w:t>
      </w:r>
      <w:r w:rsidR="007E664E">
        <w:t xml:space="preserve">. </w:t>
      </w:r>
      <w:r w:rsidRPr="00BF024B">
        <w:t>The explanation, consistent with Marx's view, is that workers had few alternative employers and little bargaining power in this early phase.</w:t>
      </w:r>
      <w:r w:rsidR="007E664E">
        <w:t xml:space="preserve"> </w:t>
      </w:r>
      <w:r w:rsidR="00BC6B8D">
        <w:t>However, f</w:t>
      </w:r>
      <w:r w:rsidRPr="00BF024B">
        <w:t xml:space="preserve">rom 1860 to 1890, as technology </w:t>
      </w:r>
      <w:r w:rsidRPr="004D5B75">
        <w:t>expanded the broader economy and created new sources of employment, the picture changed: even low-skilled spinners saw their wages grow, while more technically skilled weavers benefited disproportionately.</w:t>
      </w:r>
      <w:r w:rsidR="00D969D7" w:rsidRPr="004D5B75">
        <w:t xml:space="preserve"> Three reinforcing</w:t>
      </w:r>
      <w:r w:rsidR="00D969D7" w:rsidRPr="00D969D7">
        <w:t xml:space="preserve"> mechanisms explain this disproportionate wage growth for weavers specifically. First, , operating the newly introduced power looms did not require formal education, but it demanded highly specific, unstandardised technical skills that workers could only acquire through extensive on-the-job experience</w:t>
      </w:r>
      <w:r w:rsidR="00D969D7">
        <w:t xml:space="preserve">, </w:t>
      </w:r>
      <w:r w:rsidR="00D969D7" w:rsidRPr="00D969D7">
        <w:t xml:space="preserve">what Bessen characterises as </w:t>
      </w:r>
      <w:r w:rsidR="00D969D7">
        <w:t>“</w:t>
      </w:r>
      <w:r w:rsidR="00D969D7" w:rsidRPr="00D969D7">
        <w:t>learning by doing</w:t>
      </w:r>
      <w:r w:rsidR="00D969D7">
        <w:t>”</w:t>
      </w:r>
      <w:r w:rsidR="00D969D7" w:rsidRPr="00D969D7">
        <w:t>. Because these weaving machines were complex and their productive use was difficult to codify or transfer, the new technology acted as a multiplier for accumulated experience: an experienced weaver could produce substantially more cloth per hour than a beginner, and this productivity gap widened as the machines became more sophisticated. Second, Bessen's worker-level microdata reveals that employers actively invested in training for workers operating these machines, and the positive relationship between on-the-job learning and worker productivity grew stronger as production became more mechanised. Far from deskilling the workforce, the mechanisation of weaving increased the value of the specific, experience-based knowledge required to operate and maintain the new equipment, because the remaining non-automated tasks demanded higher rather than lower levels of skill. Third, weavers were typically compensated through a piece-rate system, meaning their pay was tied directly to their output rather than a flat hourly rate. Consequently, as their specialised skills compounded with experience, the high productivity of veteran weavers translated directly and mechanically into proportionally higher earnings</w:t>
      </w:r>
      <w:r w:rsidR="00D969D7">
        <w:t xml:space="preserve">. </w:t>
      </w:r>
      <w:r w:rsidR="00D969D7" w:rsidRPr="00D969D7">
        <w:t>The interaction of these three mechanisms</w:t>
      </w:r>
      <w:r w:rsidR="00D969D7">
        <w:t xml:space="preserve">: </w:t>
      </w:r>
      <w:r w:rsidR="00D969D7" w:rsidRPr="00D969D7">
        <w:t xml:space="preserve">experience-based skill accumulation, employer investment in on-the-job training, and productivity-linked compensation </w:t>
      </w:r>
      <w:r w:rsidR="00D969D7">
        <w:t xml:space="preserve">– </w:t>
      </w:r>
      <w:r w:rsidR="00D969D7" w:rsidRPr="00D969D7">
        <w:t>is precisely what made weavers' wages diverge from spinners' over this period. Spinning, by contrast, was more rapidly standardised: the tasks were simpler, the learning curve shallower, and the skill premium smaller</w:t>
      </w:r>
      <w:r w:rsidR="00D969D7">
        <w:t xml:space="preserve"> [4]</w:t>
      </w:r>
      <w:r w:rsidR="00D969D7" w:rsidRPr="00D969D7">
        <w:t>. </w:t>
      </w:r>
    </w:p>
    <w:p w14:paraId="5A226DF9" w14:textId="3C6455E2" w:rsidR="00CB7822" w:rsidRDefault="00CB7822" w:rsidP="00CB7822">
      <w:pPr>
        <w:pStyle w:val="thesisheading3"/>
      </w:pPr>
      <w:bookmarkStart w:id="9" w:name="_Toc230044118"/>
      <w:r w:rsidRPr="00CB7822">
        <w:lastRenderedPageBreak/>
        <w:t>1.1.3. General-purpose technologies and delayed wage gains</w:t>
      </w:r>
      <w:bookmarkEnd w:id="9"/>
    </w:p>
    <w:p w14:paraId="280DC21D" w14:textId="0CA968B4" w:rsidR="00312A2A" w:rsidRPr="00312A2A" w:rsidRDefault="00312A2A" w:rsidP="009E2DCC">
      <w:pPr>
        <w:pStyle w:val="Thesisbody"/>
      </w:pPr>
      <w:r w:rsidRPr="00312A2A">
        <w:t>This pattern</w:t>
      </w:r>
      <w:r>
        <w:t xml:space="preserve">, where </w:t>
      </w:r>
      <w:r w:rsidRPr="00312A2A">
        <w:t>initial stagnation followed by broad-based wage growth</w:t>
      </w:r>
      <w:r>
        <w:t xml:space="preserve">, </w:t>
      </w:r>
      <w:r w:rsidRPr="00312A2A">
        <w:t xml:space="preserve">is now understood as a defining characteristic of transformative technologies, or General-Purpose Technologies (GPTs). The foundational framework developed by Bresnahan and Trajtenberg (1995) defines GPTs by three properties: they are pervasive (used as inputs by many downstream sectors), they exhibit continuous inherent potential for technical improvements, and they generate </w:t>
      </w:r>
      <w:r w:rsidR="002113D3">
        <w:t>“</w:t>
      </w:r>
      <w:r w:rsidRPr="00312A2A">
        <w:t>innovational complementarities,</w:t>
      </w:r>
      <w:r w:rsidR="002113D3">
        <w:t xml:space="preserve">” </w:t>
      </w:r>
      <w:r w:rsidRPr="00312A2A">
        <w:t xml:space="preserve"> meaning their diffusion raises the productivity of research and development throughout the downstream economy</w:t>
      </w:r>
      <w:r>
        <w:t xml:space="preserve"> [5]</w:t>
      </w:r>
      <w:r w:rsidRPr="00312A2A">
        <w:t xml:space="preserve">. Steam power serves as the canonical early GPT: despite dating the core invention to James Watt's separate condenser in 1769, growth accounting demonstrates that macroeconomic payoffs at the economy-wide level arrived only after a lag of roughly sixty years </w:t>
      </w:r>
      <w:r>
        <w:t>[6, 7]</w:t>
      </w:r>
      <w:r w:rsidRPr="00312A2A">
        <w:t>. This substantial delay occurred because firms needed decades to gradually reorganise production processes, build complementary capital, and develop the human skills required to fully exploit the technology.</w:t>
      </w:r>
    </w:p>
    <w:p w14:paraId="4C485747" w14:textId="3CB7800B" w:rsidR="00312A2A" w:rsidRDefault="00312A2A" w:rsidP="009E2DCC">
      <w:pPr>
        <w:pStyle w:val="Thesisbody"/>
      </w:pPr>
      <w:r w:rsidRPr="00312A2A">
        <w:t>Recent empirical work underscores the long-run wage consequences of such early technology adoption and skill formation. Examining the historical persistence of technology adoption, recent spatial analysis of German regions demonstrates that areas with higher steam engine density in 1875 (those in the top 10%, possessing approximately 13 steam engines per 1,000 workers) still exhibit 4.59% higher average wages today, measured over the 1975</w:t>
      </w:r>
      <w:r w:rsidR="002113D3">
        <w:t>-</w:t>
      </w:r>
      <w:r w:rsidRPr="00312A2A">
        <w:t xml:space="preserve">2019 period </w:t>
      </w:r>
      <w:r w:rsidR="009A4E65">
        <w:t>[8]</w:t>
      </w:r>
      <w:r w:rsidRPr="00312A2A">
        <w:t xml:space="preserve">. Critically, this research finds that approximately 50% of this contemporary wage premium is explained by the enduring presence of more productive firms in these early-adopting regions. This provides </w:t>
      </w:r>
      <w:r w:rsidR="009A4E65">
        <w:t>strong</w:t>
      </w:r>
      <w:r w:rsidRPr="00312A2A">
        <w:t xml:space="preserve"> empirical support for theories of technology</w:t>
      </w:r>
      <w:r w:rsidR="002113D3">
        <w:t>-</w:t>
      </w:r>
      <w:r w:rsidRPr="00312A2A">
        <w:t xml:space="preserve">skill complementarity: the introduction of a new </w:t>
      </w:r>
      <w:r w:rsidR="009A4E65" w:rsidRPr="00312A2A">
        <w:t>General-Purpose Technologies</w:t>
      </w:r>
      <w:r w:rsidRPr="00312A2A">
        <w:t xml:space="preserve"> raises the local demand for skills, which in turn encourages long-term investment in education and sustains regional innovation cycles across generations.</w:t>
      </w:r>
    </w:p>
    <w:p w14:paraId="2D12C67F" w14:textId="47009E4D" w:rsidR="00335C3B" w:rsidRPr="00335C3B" w:rsidRDefault="00335C3B" w:rsidP="00335C3B">
      <w:pPr>
        <w:pStyle w:val="thesisheading3"/>
      </w:pPr>
      <w:bookmarkStart w:id="10" w:name="_Toc230044119"/>
      <w:r w:rsidRPr="00335C3B">
        <w:t>1.1.4. Electrification, skill demand, and the education response</w:t>
      </w:r>
      <w:bookmarkEnd w:id="10"/>
    </w:p>
    <w:p w14:paraId="06295331" w14:textId="4FCEBDE1" w:rsidR="0001106C" w:rsidRPr="0001106C" w:rsidRDefault="0001106C" w:rsidP="009E2DCC">
      <w:pPr>
        <w:pStyle w:val="Thesisbody"/>
      </w:pPr>
      <w:r w:rsidRPr="0001106C">
        <w:t xml:space="preserve">The Second Industrial Revolution (approximately 1870–1914) brought the internal combustion engine, the systematic application of science to production, and most profoundly, electrification. As a transformative General-Purpose Technology (GPT), electricity fundamentally altered factory organisation and drove sustained economic growth across industrialised economies. However, at the macroeconomic level, the productivity payoff from </w:t>
      </w:r>
      <w:r w:rsidRPr="0001106C">
        <w:lastRenderedPageBreak/>
        <w:t xml:space="preserve">electricity arrived only after a substantial lag. The </w:t>
      </w:r>
      <w:r w:rsidR="00AD0252" w:rsidRPr="002812AC">
        <w:t>abovementioned</w:t>
      </w:r>
      <w:r w:rsidRPr="0001106C">
        <w:t xml:space="preserve"> GPT framework developed by Bresnahan and Trajtenberg explains that new GPTs require extensive </w:t>
      </w:r>
      <w:r w:rsidR="00AD0252" w:rsidRPr="002812AC">
        <w:t>“</w:t>
      </w:r>
      <w:r w:rsidRPr="0001106C">
        <w:t>co-invention</w:t>
      </w:r>
      <w:r w:rsidR="00AD0252" w:rsidRPr="002812AC">
        <w:t xml:space="preserve">”, meaning </w:t>
      </w:r>
      <w:r w:rsidRPr="0001106C">
        <w:t>the redesign of downstream processes, the scrapping of legacy capital, and the retraining of workers</w:t>
      </w:r>
      <w:r w:rsidR="00AD0252" w:rsidRPr="002812AC">
        <w:t xml:space="preserve"> [6]</w:t>
      </w:r>
      <w:r w:rsidRPr="0001106C">
        <w:t xml:space="preserve">. Modern productivity literature conceptualises this dynamic as the </w:t>
      </w:r>
      <w:r w:rsidR="00F73CB6" w:rsidRPr="002812AC">
        <w:t>“</w:t>
      </w:r>
      <w:r w:rsidRPr="0001106C">
        <w:t>Productivity J-Curve</w:t>
      </w:r>
      <w:r w:rsidR="00F73CB6" w:rsidRPr="002812AC">
        <w:t>”</w:t>
      </w:r>
      <w:r w:rsidRPr="0001106C">
        <w:t xml:space="preserve"> </w:t>
      </w:r>
      <w:r w:rsidR="00F73CB6" w:rsidRPr="002812AC">
        <w:t>[9]</w:t>
      </w:r>
      <w:r w:rsidRPr="0001106C">
        <w:t>. When a major technology is introduced, measured productivity initially stagnates or dips as firms divert resources toward unmeasured intangible investments, such as factory reorganisation and human capital formation, before experiencing a sharp upswing once these complementary investments begin to compound.</w:t>
      </w:r>
    </w:p>
    <w:p w14:paraId="7A69375E" w14:textId="157C2391" w:rsidR="0001106C" w:rsidRPr="001707C6" w:rsidRDefault="0001106C" w:rsidP="009E2DCC">
      <w:pPr>
        <w:pStyle w:val="Thesisbody"/>
      </w:pPr>
      <w:r w:rsidRPr="0001106C">
        <w:t>Yet, recent granular historical research demonstrates that this macroeconomic lag is not an inherent flaw of the technology, but a symptom of local constraints. Revising the timeline of electrification, Fiszbein, Lafortune, Lewis, and Tessada show</w:t>
      </w:r>
      <w:r w:rsidR="002812AC">
        <w:t xml:space="preserve"> in their work “P</w:t>
      </w:r>
      <w:r w:rsidR="002812AC" w:rsidRPr="002812AC">
        <w:t>owering up productivity:</w:t>
      </w:r>
      <w:r w:rsidR="002812AC">
        <w:t xml:space="preserve"> </w:t>
      </w:r>
      <w:r w:rsidR="002812AC" w:rsidRPr="002812AC">
        <w:t xml:space="preserve">the effects of electrification on </w:t>
      </w:r>
      <w:r w:rsidR="00B7700A">
        <w:t>US</w:t>
      </w:r>
      <w:r w:rsidR="002812AC" w:rsidRPr="002812AC">
        <w:t xml:space="preserve"> manufacturing</w:t>
      </w:r>
      <w:r w:rsidR="002812AC">
        <w:t>”</w:t>
      </w:r>
      <w:r w:rsidRPr="0001106C">
        <w:t xml:space="preserve"> that where constraints were removed</w:t>
      </w:r>
      <w:r w:rsidR="00B7700A">
        <w:t xml:space="preserve">, </w:t>
      </w:r>
      <w:r w:rsidRPr="0001106C">
        <w:t>factory adoption of electricity was remarkably fast</w:t>
      </w:r>
      <w:r w:rsidR="00502C04">
        <w:t xml:space="preserve"> [10]</w:t>
      </w:r>
      <w:r w:rsidRPr="0001106C">
        <w:t xml:space="preserve">. In these areas, electrification drove rapid capital deepening and, crucially, a simultaneous expansion in aggregate employment. In sectors dominated by small firms, this early adoption triggered a powerful </w:t>
      </w:r>
      <w:r w:rsidRPr="001707C6">
        <w:t>reinstatement effect, creating new tasks and rapidly expanding local labour demand.</w:t>
      </w:r>
    </w:p>
    <w:p w14:paraId="317E16AC" w14:textId="14540C76" w:rsidR="0001106C" w:rsidRPr="0001106C" w:rsidRDefault="001A1C59" w:rsidP="009E2DCC">
      <w:pPr>
        <w:pStyle w:val="Thesisbody"/>
      </w:pPr>
      <w:r w:rsidRPr="001707C6">
        <w:t>Combining</w:t>
      </w:r>
      <w:r w:rsidR="0001106C" w:rsidRPr="001707C6">
        <w:t xml:space="preserve"> these macro and micro perspectives clarifies the mechanisms driving labour market outcomes: the delayed benefits of a GPT are primarily caused by the friction of adaptation. When firms rapidly reorganise and invest in complementary capital, the technology acts as an immediate engine of labour demand. However, how this expanding labour demand translates into wage structures depends entirely on the elasticity of human capital supply.</w:t>
      </w:r>
      <w:r w:rsidR="0087010E">
        <w:t xml:space="preserve"> </w:t>
      </w:r>
    </w:p>
    <w:p w14:paraId="4D389256" w14:textId="10A4FBB4" w:rsidR="0001106C" w:rsidRPr="0001106C" w:rsidRDefault="001720E3" w:rsidP="009E2DCC">
      <w:pPr>
        <w:pStyle w:val="Thesisbody"/>
      </w:pPr>
      <w:r>
        <w:t>T</w:t>
      </w:r>
      <w:r w:rsidR="0001106C" w:rsidRPr="0001106C">
        <w:t xml:space="preserve">his friction of adaptation was most evident in the changing demand for skills. As electrification and mechanisation drove factory reorganisation, they </w:t>
      </w:r>
      <w:r w:rsidR="0087010E">
        <w:t>forced</w:t>
      </w:r>
      <w:r w:rsidR="0001106C" w:rsidRPr="0001106C">
        <w:t xml:space="preserve"> a structural shift from manual to cognitive labour, sharply increasing the economic returns to literacy, numeracy, and technical training. As Goldin and Katz</w:t>
      </w:r>
      <w:r w:rsidR="001A1C59">
        <w:t xml:space="preserve"> </w:t>
      </w:r>
      <w:r w:rsidR="0001106C" w:rsidRPr="0001106C">
        <w:t>document in their work on </w:t>
      </w:r>
      <w:r w:rsidR="001A1C59" w:rsidRPr="001A1C59">
        <w:t>“</w:t>
      </w:r>
      <w:r w:rsidR="0001106C" w:rsidRPr="0001106C">
        <w:t>The Race Between Education and Technology</w:t>
      </w:r>
      <w:r w:rsidR="001A1C59" w:rsidRPr="001A1C59">
        <w:t>”</w:t>
      </w:r>
      <w:r w:rsidR="0001106C" w:rsidRPr="0001106C">
        <w:t xml:space="preserve">, rising skill differentials and wage inequality characterised the late nineteenth and early twentieth centuries precisely because these newly modernised enterprises demanded educated workers faster than the existing educational system could supply them. This severe skill bottleneck set the stage for what they term the </w:t>
      </w:r>
      <w:r w:rsidR="008F2C31">
        <w:t>“</w:t>
      </w:r>
      <w:r w:rsidR="0001106C" w:rsidRPr="0001106C">
        <w:t>high school movement</w:t>
      </w:r>
      <w:r w:rsidR="008F2C31">
        <w:t xml:space="preserve">” with </w:t>
      </w:r>
      <w:r w:rsidR="0001106C" w:rsidRPr="0001106C">
        <w:t xml:space="preserve">a mass expansion of secondary education in the United States from the 1910s onward. By dramatically increasing the supply of educated workers to match the new technological </w:t>
      </w:r>
      <w:r w:rsidR="0001106C" w:rsidRPr="0001106C">
        <w:lastRenderedPageBreak/>
        <w:t>paradigm, this movement successfully compressed wage inequality during the mid-twentieth century</w:t>
      </w:r>
      <w:r w:rsidR="00766294">
        <w:t xml:space="preserve"> [</w:t>
      </w:r>
      <w:r>
        <w:t xml:space="preserve">4, </w:t>
      </w:r>
      <w:r w:rsidR="00766294">
        <w:t>1</w:t>
      </w:r>
      <w:r w:rsidR="007D2A82">
        <w:t>1</w:t>
      </w:r>
      <w:r w:rsidR="00766294">
        <w:t>]</w:t>
      </w:r>
      <w:r w:rsidR="0001106C" w:rsidRPr="0001106C">
        <w:t>.</w:t>
      </w:r>
    </w:p>
    <w:p w14:paraId="0E52BC85" w14:textId="64B8F5BE" w:rsidR="0001106C" w:rsidRDefault="0001106C" w:rsidP="009E2DCC">
      <w:pPr>
        <w:pStyle w:val="Thesisbody"/>
      </w:pPr>
      <w:r w:rsidRPr="0001106C">
        <w:t>Ultimately, the historical record of the Second Industrial Revolution establishes a critical theoretical foundation for labour economics: the wage effects of a General-Purpose Technology are not exogenously determined by the technology itself. Rather, they are endogenously shaped by the supply of complementary human capital. In sectors where the workforce lacks complementary skills, new technologies act primarily as labour substitutes, displacing workers and widening wage differentials. Conversely, where investments in education and training keep pace with technological adoption, the technology functions as a labour complement, amplifying productivity and supporting broad-based wage growth</w:t>
      </w:r>
      <w:r w:rsidR="00FC475E">
        <w:t xml:space="preserve"> [11]</w:t>
      </w:r>
      <w:r w:rsidRPr="0001106C">
        <w:t xml:space="preserve">. This dynamic precisely frames the contemporary theoretical problem regarding Artificial Intelligence: whether current sectoral investments in </w:t>
      </w:r>
      <w:r w:rsidR="00AC6749">
        <w:t>new technologies</w:t>
      </w:r>
      <w:r w:rsidRPr="0001106C">
        <w:t xml:space="preserve"> training are sufficient to trigger these complementary wage benefits, or if a persistent digital skill deficit will replicate historical patterns of wage polarisation.</w:t>
      </w:r>
    </w:p>
    <w:p w14:paraId="147DCE01" w14:textId="271BA689" w:rsidR="00AF729D" w:rsidRPr="00AF729D" w:rsidRDefault="00AF729D" w:rsidP="00AF729D">
      <w:pPr>
        <w:pStyle w:val="thesisheading3"/>
      </w:pPr>
      <w:bookmarkStart w:id="11" w:name="_Toc230044120"/>
      <w:r w:rsidRPr="00AF729D">
        <w:t>1.1.5. Computerisation, skill-biased change, and routine-task polarisation</w:t>
      </w:r>
      <w:bookmarkEnd w:id="11"/>
    </w:p>
    <w:p w14:paraId="6A0CE699" w14:textId="5BE9C5F8" w:rsidR="00B90B6C" w:rsidRDefault="00B92D91" w:rsidP="009E2DCC">
      <w:pPr>
        <w:pStyle w:val="Thesisbody"/>
      </w:pPr>
      <w:r w:rsidRPr="00366CA7">
        <w:t xml:space="preserve">The third major wave of transformative technology arrived </w:t>
      </w:r>
      <w:r w:rsidR="00022A06" w:rsidRPr="00366CA7">
        <w:t>with</w:t>
      </w:r>
      <w:r w:rsidRPr="00366CA7">
        <w:t xml:space="preserve"> computing power spread across the economy in the 1970s and 1980s. </w:t>
      </w:r>
      <w:r w:rsidR="001E3DC6" w:rsidRPr="00366CA7">
        <w:t>At the same time, n</w:t>
      </w:r>
      <w:r w:rsidR="005F319B" w:rsidRPr="00366CA7">
        <w:t>otably, m</w:t>
      </w:r>
      <w:r w:rsidRPr="00366CA7">
        <w:t xml:space="preserve">easured productivity growth slowed down. Brynjolfsson, Rock, and Syverson </w:t>
      </w:r>
      <w:r w:rsidR="00756E79" w:rsidRPr="00366CA7">
        <w:t xml:space="preserve">also </w:t>
      </w:r>
      <w:r w:rsidRPr="00366CA7">
        <w:t xml:space="preserve">explain this delay through the </w:t>
      </w:r>
      <w:r w:rsidR="00756E79" w:rsidRPr="00366CA7">
        <w:t>“</w:t>
      </w:r>
      <w:r w:rsidRPr="00366CA7">
        <w:t>Productivity J-Curve</w:t>
      </w:r>
      <w:r w:rsidR="00756E79" w:rsidRPr="00366CA7">
        <w:t>”, where</w:t>
      </w:r>
      <w:r w:rsidRPr="00366CA7">
        <w:t xml:space="preserve"> computers</w:t>
      </w:r>
      <w:r w:rsidR="00756E79" w:rsidRPr="00366CA7">
        <w:t>, as general-purpose technologies,</w:t>
      </w:r>
      <w:r w:rsidRPr="00366CA7">
        <w:t xml:space="preserve"> require firms to divert massive resources into unmeasured intangible capital, such as writing new software, redesigning business processes, and most importantly, retraining workers</w:t>
      </w:r>
      <w:r w:rsidR="003535AD" w:rsidRPr="00366CA7">
        <w:t xml:space="preserve"> in the new digital skills required to operate these systems. This kind of an investment whose returns would only be visible once the new skill supply was in place</w:t>
      </w:r>
      <w:r w:rsidR="0074622F" w:rsidRPr="00025177">
        <w:t xml:space="preserve"> [9]</w:t>
      </w:r>
      <w:r w:rsidRPr="00025177">
        <w:t>.</w:t>
      </w:r>
    </w:p>
    <w:p w14:paraId="445A53A8" w14:textId="4D52517C" w:rsidR="00756E79" w:rsidRPr="00392BA4" w:rsidRDefault="00756E79" w:rsidP="009E2DCC">
      <w:pPr>
        <w:pStyle w:val="Thesisbody"/>
      </w:pPr>
      <w:r w:rsidRPr="00025177">
        <w:t>When the labour market effects of computers finally materialized, economists observed a massive spike in wage inequality. Specifically, the “skill premium”</w:t>
      </w:r>
      <w:r w:rsidR="00F550C8" w:rsidRPr="00025177">
        <w:t xml:space="preserve"> rose</w:t>
      </w:r>
      <w:r w:rsidRPr="00025177">
        <w:t>, the wage gap between college-educated and high-school-educated workers. To explain this, Autor, Katz, and Krueger introduced the Skill-Biased Technological Change</w:t>
      </w:r>
      <w:r w:rsidR="00926A5E" w:rsidRPr="00025177">
        <w:t xml:space="preserve"> (SBTC)</w:t>
      </w:r>
      <w:r w:rsidRPr="00025177">
        <w:t> hypothesis. By analy</w:t>
      </w:r>
      <w:r w:rsidR="00926A5E" w:rsidRPr="00025177">
        <w:t>s</w:t>
      </w:r>
      <w:r w:rsidRPr="00025177">
        <w:t>ing industry-level data, they found that the rate of educational upgrading was fastest in industries with the greatest investments in computer capital. They concluded that modern technology systematically shifted the relative demand for labo</w:t>
      </w:r>
      <w:r w:rsidR="00192DB1" w:rsidRPr="00025177">
        <w:t>u</w:t>
      </w:r>
      <w:r w:rsidRPr="00025177">
        <w:t>r outward, strictly favo</w:t>
      </w:r>
      <w:r w:rsidR="00192DB1" w:rsidRPr="00025177">
        <w:t>u</w:t>
      </w:r>
      <w:r w:rsidRPr="00025177">
        <w:t xml:space="preserve">ring highly </w:t>
      </w:r>
      <w:r w:rsidRPr="00025177">
        <w:lastRenderedPageBreak/>
        <w:t>educated workers because computing technology and cognitive skills are natural complements</w:t>
      </w:r>
      <w:r w:rsidR="0074622F" w:rsidRPr="00025177">
        <w:t xml:space="preserve"> </w:t>
      </w:r>
      <w:r w:rsidR="0074622F" w:rsidRPr="00392BA4">
        <w:t>[12]</w:t>
      </w:r>
      <w:r w:rsidRPr="00392BA4">
        <w:t>.</w:t>
      </w:r>
    </w:p>
    <w:p w14:paraId="2EF5EF78" w14:textId="12E5CF11" w:rsidR="00B90B6C" w:rsidRDefault="00392BA4" w:rsidP="009E2DCC">
      <w:pPr>
        <w:pStyle w:val="Thesisbody"/>
      </w:pPr>
      <w:r w:rsidRPr="00392BA4">
        <w:t xml:space="preserve">Goldin and Katz formalised this interaction in their </w:t>
      </w:r>
      <w:r>
        <w:t>“</w:t>
      </w:r>
      <w:r w:rsidRPr="00392BA4">
        <w:t>Race Between Education and Technology</w:t>
      </w:r>
      <w:r>
        <w:t>”</w:t>
      </w:r>
      <w:r w:rsidRPr="00392BA4">
        <w:t xml:space="preserve"> framework, demonstrating with data from 1890 to 2005 that the skill premium is determined by the net gap between technology-driven demand for skills and education-driven supply of skills. When skill supply grew faster than technology's demand</w:t>
      </w:r>
      <w:r>
        <w:t>,</w:t>
      </w:r>
      <w:r w:rsidRPr="00392BA4">
        <w:t xml:space="preserve"> wage inequality fell. When supply growth slowed after the 1980s while the computer revolution accelerated demand, the premium skyrocketed</w:t>
      </w:r>
      <w:r>
        <w:t xml:space="preserve"> [1</w:t>
      </w:r>
      <w:r w:rsidR="001024CB">
        <w:t>3</w:t>
      </w:r>
      <w:r>
        <w:t>]</w:t>
      </w:r>
      <w:r w:rsidRPr="00392BA4">
        <w:t xml:space="preserve">. In the context of this </w:t>
      </w:r>
      <w:r w:rsidR="00C0616A">
        <w:t>work</w:t>
      </w:r>
      <w:r w:rsidRPr="00392BA4">
        <w:t>, sectoral investment in ICT training functions as precisely this supply-side adjustment mechanism: sectors that train workers continuously can keep pace with the technology-driven demand for digital skills and protect their wage structure</w:t>
      </w:r>
      <w:r w:rsidR="00C0616A">
        <w:t xml:space="preserve">. </w:t>
      </w:r>
      <w:r w:rsidRPr="00392BA4">
        <w:t xml:space="preserve"> </w:t>
      </w:r>
      <w:r w:rsidR="00C0616A" w:rsidRPr="00C0616A">
        <w:t>The 1980s episode thus established a general principle</w:t>
      </w:r>
      <w:r w:rsidR="00C0616A">
        <w:t>,</w:t>
      </w:r>
      <w:r w:rsidR="00C0616A" w:rsidRPr="00C0616A">
        <w:t xml:space="preserve"> when the pace of technological change ou</w:t>
      </w:r>
      <w:r w:rsidR="00C0616A">
        <w:t>tpace</w:t>
      </w:r>
      <w:r w:rsidR="00C0616A" w:rsidRPr="00C0616A">
        <w:t xml:space="preserve"> the supply of complementary skills, wage inequality rises</w:t>
      </w:r>
      <w:r w:rsidR="00C0616A">
        <w:t>.</w:t>
      </w:r>
      <w:r w:rsidR="00C0616A" w:rsidRPr="00C0616A">
        <w:t xml:space="preserve"> </w:t>
      </w:r>
      <w:r w:rsidR="00C0616A">
        <w:t>W</w:t>
      </w:r>
      <w:r w:rsidR="00C0616A" w:rsidRPr="00C0616A">
        <w:t>hen education and training investment catches up, it falls.</w:t>
      </w:r>
    </w:p>
    <w:p w14:paraId="1BED9B2D" w14:textId="19C1A2C1" w:rsidR="0071433C" w:rsidRDefault="0071433C" w:rsidP="00E12CF4">
      <w:pPr>
        <w:pStyle w:val="Thesisbody"/>
      </w:pPr>
      <w:r w:rsidRPr="0071433C">
        <w:t>Autor, Levy, and Murnane clarified the task-level mechanism driving this polarisation. Computers substitute for </w:t>
      </w:r>
      <w:r w:rsidRPr="00F63E9D">
        <w:t>routine </w:t>
      </w:r>
      <w:r w:rsidRPr="0071433C">
        <w:t>tasks</w:t>
      </w:r>
      <w:r w:rsidR="00F63E9D">
        <w:t xml:space="preserve">, </w:t>
      </w:r>
      <w:r w:rsidRPr="0071433C">
        <w:t>procedural</w:t>
      </w:r>
      <w:r w:rsidR="00F63E9D">
        <w:t xml:space="preserve"> and</w:t>
      </w:r>
      <w:r w:rsidRPr="0071433C">
        <w:t xml:space="preserve"> rule-based activities such as bookkeeping or clerical administration</w:t>
      </w:r>
      <w:r w:rsidR="00F63E9D">
        <w:t xml:space="preserve">, </w:t>
      </w:r>
      <w:r w:rsidRPr="0071433C">
        <w:t>while complementing </w:t>
      </w:r>
      <w:r w:rsidRPr="00F63E9D">
        <w:t>non-routine</w:t>
      </w:r>
      <w:r w:rsidRPr="0071433C">
        <w:t> cognitive tasks requiring adaptability and complex problem-solving. Because routine tasks were historically concentrated in the middle of the wage distribution, automation systematically compressed middle-class wages</w:t>
      </w:r>
      <w:r w:rsidR="008647AD">
        <w:t xml:space="preserve"> [1</w:t>
      </w:r>
      <w:r w:rsidR="00F12C89">
        <w:t>4</w:t>
      </w:r>
      <w:r w:rsidR="008647AD">
        <w:t>].</w:t>
      </w:r>
      <w:r w:rsidR="00CB749E">
        <w:t xml:space="preserve"> </w:t>
      </w:r>
      <w:r w:rsidRPr="0071433C">
        <w:t xml:space="preserve">For this </w:t>
      </w:r>
      <w:r w:rsidR="00854747">
        <w:t>work</w:t>
      </w:r>
      <w:r w:rsidRPr="0071433C">
        <w:t>, the key implication is that a sector's wage outcome under automation depends on whether its workforce can pivot from routine to non-routine roles</w:t>
      </w:r>
      <w:r w:rsidR="00923501">
        <w:t>, specifically,</w:t>
      </w:r>
      <w:r w:rsidRPr="0071433C">
        <w:t xml:space="preserve"> a transition that requires dedicated digital literacy and ICT training, not merely general education credentials. Sectoral investment in such training thus becomes the structural variable that determines whether a sector's workers capture the complementarity gains or bear the displacement losses of the current technological wave.</w:t>
      </w:r>
    </w:p>
    <w:p w14:paraId="3B8BB46F" w14:textId="3191A0E1" w:rsidR="004B5572" w:rsidRDefault="007D5C0D" w:rsidP="003668A0">
      <w:pPr>
        <w:pStyle w:val="Thesisheading2"/>
      </w:pPr>
      <w:bookmarkStart w:id="12" w:name="_Toc230044121"/>
      <w:r>
        <w:t>1.2.</w:t>
      </w:r>
      <w:r w:rsidR="00EA4CB5">
        <w:t xml:space="preserve"> </w:t>
      </w:r>
      <w:r w:rsidR="004B5572" w:rsidRPr="004A6596">
        <w:t>T</w:t>
      </w:r>
      <w:r w:rsidR="00B701AF">
        <w:t>ask-Based Theories of Automation and Wages</w:t>
      </w:r>
      <w:bookmarkEnd w:id="12"/>
    </w:p>
    <w:p w14:paraId="79058D4C" w14:textId="35DEA7BB" w:rsidR="0021014A" w:rsidRPr="004A6596" w:rsidRDefault="0021014A" w:rsidP="0021014A">
      <w:pPr>
        <w:pStyle w:val="thesisheading3"/>
      </w:pPr>
      <w:bookmarkStart w:id="13" w:name="_Toc230044122"/>
      <w:r w:rsidRPr="0021014A">
        <w:t>1.2.1. Displacement and productivity effects in task-based models</w:t>
      </w:r>
      <w:bookmarkEnd w:id="13"/>
    </w:p>
    <w:p w14:paraId="4DA53CB9" w14:textId="0CF94D87" w:rsidR="003E6EC9" w:rsidRDefault="003E6EC9" w:rsidP="00BB0164">
      <w:pPr>
        <w:pStyle w:val="Thesisbody"/>
      </w:pPr>
      <w:r w:rsidRPr="003E6EC9">
        <w:t xml:space="preserve">Yet while the </w:t>
      </w:r>
      <w:r w:rsidR="00B90B6C">
        <w:t>t</w:t>
      </w:r>
      <w:r w:rsidRPr="003E6EC9">
        <w:t xml:space="preserve">ask </w:t>
      </w:r>
      <w:r w:rsidR="00B90B6C">
        <w:t>a</w:t>
      </w:r>
      <w:r w:rsidRPr="003E6EC9">
        <w:t>pproach identified which workers are vulnerable, it did not specify the precise wage mechanism. Acemoglu and Restrepo supplied this quantitative architecture</w:t>
      </w:r>
      <w:r w:rsidR="00BB7181">
        <w:t xml:space="preserve"> in their work “Task, Automation and the Rise in US Wage Inequality”</w:t>
      </w:r>
      <w:r w:rsidRPr="003E6EC9">
        <w:t xml:space="preserve">. They formalised automation as a continuous reallocation of tasks between capital and labour and formally </w:t>
      </w:r>
      <w:r w:rsidRPr="003E6EC9">
        <w:lastRenderedPageBreak/>
        <w:t>derived that a worker's real wage is directly proportional to their task share</w:t>
      </w:r>
      <w:r w:rsidR="004A21BF">
        <w:t>:</w:t>
      </w:r>
      <w:r w:rsidRPr="003E6EC9">
        <w:t xml:space="preserve"> the proportion of total production tasks allocated to their labour. </w:t>
      </w:r>
      <w:r w:rsidR="00AE3DB6" w:rsidRPr="00AE3DB6">
        <w:t xml:space="preserve">It is a distinction that yields explicit, testable predictions about how wages change when a sector automates. </w:t>
      </w:r>
      <w:r w:rsidR="00AE3DB6">
        <w:t xml:space="preserve"> </w:t>
      </w:r>
      <w:r w:rsidRPr="003E6EC9">
        <w:t>As capital takes over tasks, task share falls, and real wages fall with it as an equilibrium condition, not an assumption. Using data on 500 demographic groups in the United States from 1980 to 2016, they document that task displacement alone explains 50</w:t>
      </w:r>
      <w:r w:rsidR="004A21BF">
        <w:t>-</w:t>
      </w:r>
      <w:r w:rsidRPr="003E6EC9">
        <w:t>70% of all changes in the US wage structure, far outpacing standard SBTC proxies such as education dummies, which account for only 8</w:t>
      </w:r>
      <w:r w:rsidR="009D248B">
        <w:t>-</w:t>
      </w:r>
      <w:r w:rsidRPr="003E6EC9">
        <w:t xml:space="preserve">17%. </w:t>
      </w:r>
      <w:r w:rsidR="00EB5A84">
        <w:t>Important to note that</w:t>
      </w:r>
      <w:r w:rsidRPr="003E6EC9">
        <w:t xml:space="preserve"> the coefficient on task displacement in their baseline wage regression is -1.31 (standard error 0.19), meaning that a 25-percentage-point increase in task displacement is associated with a 40% relative wage decline</w:t>
      </w:r>
      <w:r w:rsidR="00EB5A84">
        <w:t>. This result</w:t>
      </w:r>
      <w:r w:rsidRPr="003E6EC9">
        <w:t xml:space="preserve"> is robust to controlling for deindustrialisation, capital intensity, import competition, and unionisation</w:t>
      </w:r>
      <w:r w:rsidR="00EB5A84">
        <w:t xml:space="preserve"> [1</w:t>
      </w:r>
      <w:r w:rsidR="00874051">
        <w:t>5</w:t>
      </w:r>
      <w:r w:rsidR="00EB5A84">
        <w:t>]</w:t>
      </w:r>
      <w:r w:rsidRPr="003E6EC9">
        <w:t>. This finding also aligns with their robots literature, where one additional robot per thousand workers reduces aggregate wages by 0.42%</w:t>
      </w:r>
      <w:r>
        <w:t xml:space="preserve"> [1</w:t>
      </w:r>
      <w:r w:rsidR="00C714E2">
        <w:t>6</w:t>
      </w:r>
      <w:r>
        <w:t>]</w:t>
      </w:r>
      <w:r w:rsidRPr="003E6EC9">
        <w:t>.</w:t>
      </w:r>
    </w:p>
    <w:p w14:paraId="314C2148" w14:textId="12E76988" w:rsidR="00E70D48" w:rsidRDefault="00E70D48" w:rsidP="00BB0164">
      <w:pPr>
        <w:pStyle w:val="Thesisbody"/>
      </w:pPr>
      <w:r w:rsidRPr="00E70D48">
        <w:t>The framework's second wage mechanism is a productivity effect: by lowering production costs, automation expands industry output and raises labour demand in non-automated tasks. However, Acemoglu is explicit that this productivity benefit, while real, is typically modest relative to the displacement effect when automation is rapid and targeted. In the full general-equilibrium model, task displacement generates only a cumulative 3.4% Total Factor Productivity (TFP) gain over 1980</w:t>
      </w:r>
      <w:r>
        <w:t>-</w:t>
      </w:r>
      <w:r w:rsidRPr="00E70D48">
        <w:t xml:space="preserve">2016, while simultaneously producing a predicted 8.8% real wage decline for high-school dropout men. GDP and average wages grow far more slowly than the displacement-driven wage </w:t>
      </w:r>
      <w:r w:rsidRPr="00344289">
        <w:t>losses for affected groups accumulate</w:t>
      </w:r>
      <w:r w:rsidR="0059477A" w:rsidRPr="00344289">
        <w:t xml:space="preserve"> [</w:t>
      </w:r>
      <w:r w:rsidR="00C714E2" w:rsidRPr="00344289">
        <w:t>15</w:t>
      </w:r>
      <w:r w:rsidR="0059477A" w:rsidRPr="00344289">
        <w:t>]</w:t>
      </w:r>
      <w:r w:rsidRPr="00344289">
        <w:t>. This asymmetry is confirmed at the European level by a 2025 I</w:t>
      </w:r>
      <w:r w:rsidR="002E344C" w:rsidRPr="00344289">
        <w:t>nternational Monetary Fund (IMF) w</w:t>
      </w:r>
      <w:r w:rsidRPr="00344289">
        <w:t xml:space="preserve">orking </w:t>
      </w:r>
      <w:r w:rsidR="002E344C" w:rsidRPr="00344289">
        <w:t>p</w:t>
      </w:r>
      <w:r w:rsidRPr="00344289">
        <w:t xml:space="preserve">aper </w:t>
      </w:r>
      <w:r w:rsidR="00BB4E69" w:rsidRPr="00344289">
        <w:t>“Artificial Intelligence and Productivity in Europe”</w:t>
      </w:r>
      <w:r w:rsidR="00586BE6" w:rsidRPr="00344289">
        <w:t xml:space="preserve"> </w:t>
      </w:r>
      <w:r w:rsidRPr="00344289">
        <w:t>applying Acemoglu's framework to 31</w:t>
      </w:r>
      <w:r w:rsidRPr="00E70D48">
        <w:t xml:space="preserve"> European countries: estimated cumulative medium-term TFP gains from AI adoption average only around 1.1% over five years, and vary from approximately 0.5% in lower-income economies such as Romania to close to 2% in Luxembourg</w:t>
      </w:r>
      <w:r w:rsidR="00E76979">
        <w:t xml:space="preserve">, </w:t>
      </w:r>
      <w:r w:rsidRPr="00E70D48">
        <w:t xml:space="preserve">meaning that productivity gains are not only modest in absolute terms, but are systematically larger where wage levels and cognitive-sector concentration are already highest. The productivity benefit is therefore shared broadly but thinly across all workers and households, while wage losses are concentrated precisely on those whose tasks are </w:t>
      </w:r>
      <w:r w:rsidRPr="001A4C87">
        <w:t>automated</w:t>
      </w:r>
      <w:r w:rsidR="00E76979" w:rsidRPr="001A4C87">
        <w:t xml:space="preserve"> [</w:t>
      </w:r>
      <w:r w:rsidR="001A4C87" w:rsidRPr="001A4C87">
        <w:t>1</w:t>
      </w:r>
      <w:r w:rsidR="00946687">
        <w:t>7</w:t>
      </w:r>
      <w:r w:rsidR="00E76979" w:rsidRPr="001A4C87">
        <w:t>].</w:t>
      </w:r>
      <w:r w:rsidR="00E76979">
        <w:t xml:space="preserve">  </w:t>
      </w:r>
      <w:r w:rsidRPr="00E70D48">
        <w:t xml:space="preserve"> </w:t>
      </w:r>
    </w:p>
    <w:p w14:paraId="1300B8EC" w14:textId="77777777" w:rsidR="00090160" w:rsidRPr="00090160" w:rsidRDefault="00090160" w:rsidP="00090160">
      <w:pPr>
        <w:pStyle w:val="thesisheading3"/>
      </w:pPr>
      <w:bookmarkStart w:id="14" w:name="_Toc230044123"/>
      <w:r w:rsidRPr="00090160">
        <w:lastRenderedPageBreak/>
        <w:t>1.2.2. Reinstatement, complementarity, and new task creation in the age of AI</w:t>
      </w:r>
      <w:bookmarkEnd w:id="14"/>
    </w:p>
    <w:p w14:paraId="25F6D77C" w14:textId="513312E9" w:rsidR="005D7498" w:rsidRDefault="005D7498" w:rsidP="00BB0164">
      <w:pPr>
        <w:pStyle w:val="Thesisbody"/>
      </w:pPr>
      <w:r w:rsidRPr="002F54DE">
        <w:t xml:space="preserve">However, the displacement effect is not, the end of the story. In </w:t>
      </w:r>
      <w:r w:rsidR="00DF0878" w:rsidRPr="002F54DE">
        <w:t>“</w:t>
      </w:r>
      <w:r w:rsidRPr="002F54DE">
        <w:t>The Simple Macroeconomics of AI</w:t>
      </w:r>
      <w:r w:rsidR="00DF0878" w:rsidRPr="002F54DE">
        <w:t xml:space="preserve">”, </w:t>
      </w:r>
      <w:r w:rsidRPr="002F54DE">
        <w:t xml:space="preserve"> Acemoglu and Restrepo introduce a third mechanism, the reinstatement effect, whereby technological change creates entirely new, labour-intensive tasks that did not previously exist. New tasks are theoretically critical because they directly expand a worker group's task share</w:t>
      </w:r>
      <w:r w:rsidR="00DF0878" w:rsidRPr="002F54DE">
        <w:t xml:space="preserve">, </w:t>
      </w:r>
      <w:r w:rsidRPr="002F54DE">
        <w:t>raise labour's marginal product, and increase labour's share of national income. The wage equation in the model shows formally that the creation of new tasks always increases wages and raises the labour share</w:t>
      </w:r>
      <w:r w:rsidRPr="007B3D10">
        <w:t>, in direct contrast to automation, which compresses both</w:t>
      </w:r>
      <w:r w:rsidR="00E3498A" w:rsidRPr="007B3D10">
        <w:t xml:space="preserve"> [18]</w:t>
      </w:r>
      <w:r w:rsidRPr="007B3D10">
        <w:t xml:space="preserve">. </w:t>
      </w:r>
      <w:r w:rsidR="00DF0878" w:rsidRPr="007B3D10">
        <w:t xml:space="preserve">Moreover, </w:t>
      </w:r>
      <w:r w:rsidRPr="007B3D10">
        <w:t>the</w:t>
      </w:r>
      <w:r w:rsidR="007654E0" w:rsidRPr="007B3D10">
        <w:t xml:space="preserve"> </w:t>
      </w:r>
      <w:r w:rsidR="006D794C" w:rsidRPr="007B3D10">
        <w:t>authors</w:t>
      </w:r>
      <w:r w:rsidR="007654E0" w:rsidRPr="007B3D10">
        <w:t xml:space="preserve"> from </w:t>
      </w:r>
      <w:r w:rsidR="007B3D10">
        <w:t xml:space="preserve">IMF </w:t>
      </w:r>
      <w:r w:rsidR="007654E0" w:rsidRPr="007B3D10">
        <w:t>“Gen-AI: Artificial Intelligence and the Future of Work”</w:t>
      </w:r>
      <w:r w:rsidRPr="007B3D10">
        <w:t xml:space="preserve"> </w:t>
      </w:r>
      <w:r w:rsidR="007654E0" w:rsidRPr="007B3D10">
        <w:t xml:space="preserve"> work</w:t>
      </w:r>
      <w:r w:rsidRPr="007B3D10">
        <w:t xml:space="preserve"> independently validates this mechanism by distinguishing between AI exposure and AI comp</w:t>
      </w:r>
      <w:r w:rsidRPr="002F54DE">
        <w:t>lementarity across 142 countries: in occupations where AI complements rather than substitutes human labour</w:t>
      </w:r>
      <w:r w:rsidR="00DF0878" w:rsidRPr="002F54DE">
        <w:t xml:space="preserve">, </w:t>
      </w:r>
      <w:r w:rsidRPr="002F54DE">
        <w:t>primarily high-skill, cognitively intensive roles</w:t>
      </w:r>
      <w:r w:rsidR="00DF0878" w:rsidRPr="002F54DE">
        <w:t xml:space="preserve">, </w:t>
      </w:r>
      <w:r w:rsidRPr="002F54DE">
        <w:t>workers experience wage premiums and increased labour demand, exactly consistent with the reinstatement mechanism. Under the IMF's high-complementarity scenario, model simulations show that the total income of workers in complementary occupations rises by nearly 8%, while workers with low complementarity face income losses, with the divergence driven entirely by whether workers can occupy the new, AI-augmented tasks rather than the automated ones</w:t>
      </w:r>
      <w:r w:rsidR="00DF0878" w:rsidRPr="002F54DE">
        <w:t xml:space="preserve"> [</w:t>
      </w:r>
      <w:r w:rsidR="001A4C87">
        <w:t>1</w:t>
      </w:r>
      <w:r w:rsidR="00E3498A">
        <w:t>9</w:t>
      </w:r>
      <w:r w:rsidR="00DF0878" w:rsidRPr="002F54DE">
        <w:t>]</w:t>
      </w:r>
      <w:r w:rsidRPr="002F54DE">
        <w:t xml:space="preserve">. </w:t>
      </w:r>
    </w:p>
    <w:p w14:paraId="45A5CE92" w14:textId="15C574AC" w:rsidR="000F1CEB" w:rsidRDefault="00652909" w:rsidP="00BB0164">
      <w:pPr>
        <w:pStyle w:val="Thesisbody"/>
      </w:pPr>
      <w:r>
        <w:t>Overall, t</w:t>
      </w:r>
      <w:r w:rsidR="003B0112" w:rsidRPr="008615BB">
        <w:t>his theoretical property is historically validated: the rise of software management roles, AI prompt engineers, and data analysis positions are precisely the contemporary manifestation of this reinstatement dynamic. In every prior wave of automation, reinstatement through new tasks was the mechanism that eventually allowed real wages to recover after initial displacement, from the clerical revolution of the early 20th century to the computerisation of the 1980s.</w:t>
      </w:r>
    </w:p>
    <w:p w14:paraId="252B367B" w14:textId="0C61B19F" w:rsidR="00F21964" w:rsidRDefault="00F21964" w:rsidP="00CF7972">
      <w:pPr>
        <w:pStyle w:val="Thesisheading2"/>
      </w:pPr>
      <w:bookmarkStart w:id="15" w:name="_Toc230044124"/>
      <w:r w:rsidRPr="00F21964">
        <w:t>1.3. AI, Skills, and Wage Outcomes: Empirical Motivation and Hypotheses</w:t>
      </w:r>
      <w:bookmarkEnd w:id="15"/>
    </w:p>
    <w:p w14:paraId="4121BF12" w14:textId="4FC9AA39" w:rsidR="00CF7972" w:rsidRPr="00CF7972" w:rsidRDefault="00CF7972" w:rsidP="00CF7972">
      <w:pPr>
        <w:pStyle w:val="thesisheading3"/>
      </w:pPr>
      <w:bookmarkStart w:id="16" w:name="_Toc230044125"/>
      <w:r w:rsidRPr="00CF7972">
        <w:t>1.3.1. Emerging demand for AI-complementary skills</w:t>
      </w:r>
      <w:bookmarkEnd w:id="16"/>
    </w:p>
    <w:p w14:paraId="572DB85D" w14:textId="7CE96E46" w:rsidR="003B0112" w:rsidRDefault="002F54DE" w:rsidP="00BB0164">
      <w:pPr>
        <w:pStyle w:val="Thesisbody"/>
      </w:pPr>
      <w:r>
        <w:t>Turning to the contemporary AI labour market, t</w:t>
      </w:r>
      <w:r w:rsidR="00C83A31" w:rsidRPr="00C83A31">
        <w:t>he earliest cross-country signal comes from the OECD's vacancy analysis</w:t>
      </w:r>
      <w:r w:rsidR="00C83A31">
        <w:t xml:space="preserve"> report</w:t>
      </w:r>
      <w:r w:rsidR="00C83A31" w:rsidRPr="00C83A31">
        <w:t xml:space="preserve"> </w:t>
      </w:r>
      <w:r w:rsidR="00C83A31">
        <w:t xml:space="preserve">“Emerging Trends in AI Skill Demand Across 14 OECD  Countries”,  confirming that </w:t>
      </w:r>
      <w:r w:rsidR="00C83A31" w:rsidRPr="00C83A31">
        <w:t>between 2019 and 2022, the share of online job postings requiring AI skills grew by an average of 33%, with Machine Learning skills demanded in 29</w:t>
      </w:r>
      <w:r w:rsidR="00C83A31">
        <w:t>-</w:t>
      </w:r>
      <w:r w:rsidR="00C83A31" w:rsidRPr="00C83A31">
        <w:t xml:space="preserve">39% of all AI-related vacancies, and approximately 73% of AI postings in European countries </w:t>
      </w:r>
      <w:r w:rsidR="00C83A31" w:rsidRPr="00C83A31">
        <w:lastRenderedPageBreak/>
        <w:t>targeting professional-level roles</w:t>
      </w:r>
      <w:r w:rsidR="00C83A31">
        <w:t xml:space="preserve"> [</w:t>
      </w:r>
      <w:r w:rsidR="00837E64">
        <w:t>20</w:t>
      </w:r>
      <w:r w:rsidR="00C83A31">
        <w:t>]</w:t>
      </w:r>
      <w:r w:rsidR="00C83A31" w:rsidRPr="00C83A31">
        <w:t>. This structural demand for AI-complementary human capital was already outpacing general labour market growth before the generative AI wave. PwC's </w:t>
      </w:r>
      <w:r w:rsidR="00C83A31" w:rsidRPr="00BE1D66">
        <w:t>2024 Global AI Jobs Barometer,</w:t>
      </w:r>
      <w:r w:rsidR="00C83A31" w:rsidRPr="00C83A31">
        <w:t xml:space="preserve"> analysing over half a billion job advertisements across 15 countries, extended this picture to the wage dimension: postings requiring AI skills have grown 3.5 times faster than all-job postings since 2016 and carry up to a 25% average wage premium in some markets</w:t>
      </w:r>
      <w:r w:rsidR="00BE1D66">
        <w:t xml:space="preserve"> [2</w:t>
      </w:r>
      <w:r w:rsidR="00837E64">
        <w:t>1</w:t>
      </w:r>
      <w:r w:rsidR="00BE1D66">
        <w:t xml:space="preserve">]. </w:t>
      </w:r>
      <w:r w:rsidR="0031789C" w:rsidRPr="0031789C">
        <w:t>This constitutes</w:t>
      </w:r>
      <w:r w:rsidR="0031789C">
        <w:rPr>
          <w:i/>
          <w:iCs/>
        </w:rPr>
        <w:t xml:space="preserve"> </w:t>
      </w:r>
      <w:r w:rsidR="00C83A31" w:rsidRPr="00C83A31">
        <w:t>a direct empirical signal of the wage-enhancing reinstatement effect predicted by the Acemoglu</w:t>
      </w:r>
      <w:r w:rsidR="00F62002">
        <w:t xml:space="preserve"> and </w:t>
      </w:r>
      <w:r w:rsidR="00C83A31" w:rsidRPr="00C83A31">
        <w:t xml:space="preserve">Restrepo framework. The longer structural </w:t>
      </w:r>
      <w:r w:rsidR="00F62002">
        <w:t>evidence</w:t>
      </w:r>
      <w:r w:rsidR="00C83A31" w:rsidRPr="00C83A31">
        <w:t xml:space="preserve"> is documented by </w:t>
      </w:r>
      <w:r w:rsidR="00F62002">
        <w:t xml:space="preserve">Rosie </w:t>
      </w:r>
      <w:r w:rsidR="00C83A31" w:rsidRPr="00C83A31">
        <w:t>Hood for the OECD.AI Policy Observatory, using LinkedIn's Economic Graph: AI engineering talent surged by 130% globally between 2016 and 2024, now comprising seven in every 1,000 LinkedIn members worldwide, with growth extending well beyond the technology sector into professional services, finance, and education</w:t>
      </w:r>
      <w:r w:rsidR="006E1C7D">
        <w:t xml:space="preserve"> [2</w:t>
      </w:r>
      <w:r w:rsidR="00837E64">
        <w:t>2</w:t>
      </w:r>
      <w:r w:rsidR="006E1C7D">
        <w:t>]</w:t>
      </w:r>
      <w:r w:rsidR="00C83A31" w:rsidRPr="00C83A31">
        <w:t>. By 2024</w:t>
      </w:r>
      <w:r w:rsidR="00F62002">
        <w:t>-</w:t>
      </w:r>
      <w:r w:rsidR="00C83A31" w:rsidRPr="00C83A31">
        <w:t>2025, the acceleration became visible in aggregate hiring flows: according to LinkedIn's </w:t>
      </w:r>
      <w:r w:rsidR="00C83A31" w:rsidRPr="006E1C7D">
        <w:t>2025 Future of Work Report</w:t>
      </w:r>
      <w:r w:rsidR="00C83A31" w:rsidRPr="00C83A31">
        <w:t>, AI-related job postings surged by 38% between 2020 and 2024, and the global economy added over 1.3 million new AI-related roles</w:t>
      </w:r>
      <w:r w:rsidR="00543585">
        <w:t xml:space="preserve">, </w:t>
      </w:r>
      <w:r w:rsidR="00C83A31" w:rsidRPr="00C83A31">
        <w:t>including AI engineers, forward-deployed engineers, and data annotators</w:t>
      </w:r>
      <w:r w:rsidR="00543585">
        <w:t xml:space="preserve">, </w:t>
      </w:r>
      <w:r w:rsidR="00C83A31" w:rsidRPr="00C83A31">
        <w:t>within just two years</w:t>
      </w:r>
      <w:r w:rsidR="001324E6">
        <w:t xml:space="preserve"> [2</w:t>
      </w:r>
      <w:r w:rsidR="00837E64">
        <w:t>3</w:t>
      </w:r>
      <w:r w:rsidR="001324E6">
        <w:t>]</w:t>
      </w:r>
      <w:r w:rsidR="001324E6" w:rsidRPr="00C83A31">
        <w:t>.</w:t>
      </w:r>
      <w:r w:rsidR="00C83A31" w:rsidRPr="00C83A31">
        <w:t xml:space="preserve"> Notably, the reinstatement frontier is not confined to technically trained workers: roles such as AI trainer, prompt engineer, and AI product manager have emerged as accessible entry points requiring no coding expertise. The sectoral concentration of this reinstatement, however, remains highly uneven</w:t>
      </w:r>
      <w:r w:rsidR="001324E6">
        <w:t xml:space="preserve">. </w:t>
      </w:r>
      <w:r w:rsidR="00F62002">
        <w:t xml:space="preserve">Taking data for the European zone, </w:t>
      </w:r>
      <w:r w:rsidR="00C83A31" w:rsidRPr="00C83A31">
        <w:t xml:space="preserve">Eurostat data for 2025 show that 71% of non-adopting EU enterprises cite lack of relevant expertise as the primary barrier to AI adoption, confirming that the reinstatement </w:t>
      </w:r>
      <w:r w:rsidR="00C83A31" w:rsidRPr="006B59C6">
        <w:t>effect is conditional</w:t>
      </w:r>
      <w:r w:rsidR="004E1C53" w:rsidRPr="006B59C6">
        <w:t>. I</w:t>
      </w:r>
      <w:r w:rsidR="00C83A31" w:rsidRPr="006B59C6">
        <w:t>ts wage benefits acc</w:t>
      </w:r>
      <w:r w:rsidR="006E4850" w:rsidRPr="006B59C6">
        <w:t>um</w:t>
      </w:r>
      <w:r w:rsidR="008A1680" w:rsidRPr="006B59C6">
        <w:t>u</w:t>
      </w:r>
      <w:r w:rsidR="006E4850" w:rsidRPr="006B59C6">
        <w:t>late</w:t>
      </w:r>
      <w:r w:rsidR="00C83A31" w:rsidRPr="006B59C6">
        <w:t xml:space="preserve"> only to sectors that have already invested in the digital human capital required to occupy the new task frontier</w:t>
      </w:r>
      <w:r w:rsidR="00D43651" w:rsidRPr="006B59C6">
        <w:t xml:space="preserve"> [2</w:t>
      </w:r>
      <w:r w:rsidR="00837E64">
        <w:t>4</w:t>
      </w:r>
      <w:r w:rsidR="00D43651" w:rsidRPr="006B59C6">
        <w:t>]</w:t>
      </w:r>
      <w:r w:rsidR="00C83A31" w:rsidRPr="006B59C6">
        <w:t>.</w:t>
      </w:r>
    </w:p>
    <w:p w14:paraId="52721709" w14:textId="76E887BF" w:rsidR="00120270" w:rsidRPr="00120270" w:rsidRDefault="00120270" w:rsidP="00120270">
      <w:pPr>
        <w:pStyle w:val="thesisheading3"/>
      </w:pPr>
      <w:bookmarkStart w:id="17" w:name="_Toc230044126"/>
      <w:r w:rsidRPr="00120270">
        <w:t>1.3.2. AI exposure, wage heterogeneity, and the European evidence</w:t>
      </w:r>
      <w:bookmarkEnd w:id="17"/>
    </w:p>
    <w:p w14:paraId="3577D248" w14:textId="52D838A5" w:rsidR="00105114" w:rsidRDefault="006B59C6" w:rsidP="00BB0164">
      <w:pPr>
        <w:pStyle w:val="Thesisbody"/>
      </w:pPr>
      <w:r w:rsidRPr="00837E64">
        <w:t>The body of evidence reviewed in this chapter converges on a single theoretical proposition: in the context of AI adoption, wages are not uniformly determined by technology intensity, but by the interaction between the pace of automation and the sector's capacity to supply the human capital required to occupy the new, technology-complementary tasks that automation simultaneously creates. This proposition has been assembled across three levels of analysis in the existing literature.</w:t>
      </w:r>
      <w:r>
        <w:t xml:space="preserve"> </w:t>
      </w:r>
    </w:p>
    <w:p w14:paraId="296D3BB6" w14:textId="6C84FDD8" w:rsidR="00105114" w:rsidRDefault="00C54A4B" w:rsidP="00BB0164">
      <w:pPr>
        <w:pStyle w:val="Thesisbody"/>
      </w:pPr>
      <w:r w:rsidRPr="00C54A4B">
        <w:t xml:space="preserve">At the macroeconomic level, the IMF's cross-country analysis of 142 economies confirms that the gap between AI displacement and AI complementarity is widest precisely in advanced economies and that workers' ability to transition from displaced to complementary tasks is </w:t>
      </w:r>
      <w:r w:rsidRPr="00C54A4B">
        <w:lastRenderedPageBreak/>
        <w:t xml:space="preserve">sharply differentiated by education and skill. </w:t>
      </w:r>
      <w:r w:rsidR="00694668">
        <w:t>As was discussed before, a</w:t>
      </w:r>
      <w:r w:rsidR="003104F4">
        <w:t>uthors</w:t>
      </w:r>
      <w:r w:rsidRPr="00C54A4B">
        <w:t xml:space="preserve"> application of Acemoglu's framework</w:t>
      </w:r>
      <w:r w:rsidR="00997F77">
        <w:t xml:space="preserve"> in </w:t>
      </w:r>
      <w:r w:rsidR="003104F4">
        <w:t xml:space="preserve">work </w:t>
      </w:r>
      <w:r w:rsidR="00997F77">
        <w:t>“Artificial Intelligence and Productivity in Europe”</w:t>
      </w:r>
      <w:r w:rsidRPr="00C54A4B">
        <w:t xml:space="preserve"> to 31 European countries further establishes that the productivity gains from AI adoption across the EU are modest in aggregate but highly heterogeneous, with higher-income, higher-wage, and more digitally intensive countries capturing disproportionately larger gains. The mechanism they identify is not sectoral AI intensity in isolation, but the interaction of AI adoption rates with the human capital and wage structure of each sector</w:t>
      </w:r>
      <w:r w:rsidR="00837E64">
        <w:t xml:space="preserve"> [17]</w:t>
      </w:r>
      <w:r w:rsidRPr="00C54A4B">
        <w:t xml:space="preserve"> </w:t>
      </w:r>
      <w:r w:rsidR="00F149B4">
        <w:t>. This is</w:t>
      </w:r>
      <w:r w:rsidRPr="00C54A4B">
        <w:t xml:space="preserve"> the moderating relationship that this </w:t>
      </w:r>
      <w:r w:rsidR="00F149B4">
        <w:t xml:space="preserve">work’s </w:t>
      </w:r>
      <w:r w:rsidRPr="00C54A4B">
        <w:t>empirical model is designed to measure at a finer sectoral level.</w:t>
      </w:r>
    </w:p>
    <w:p w14:paraId="27A71A82" w14:textId="5193D407" w:rsidR="00C54A4B" w:rsidRDefault="00C54A4B" w:rsidP="00BB0164">
      <w:pPr>
        <w:pStyle w:val="Thesisbody"/>
      </w:pPr>
      <w:r w:rsidRPr="00C54A4B">
        <w:t xml:space="preserve">At the micro-empirical level, the most directly relevant European study is </w:t>
      </w:r>
      <w:r w:rsidR="00997F77">
        <w:t xml:space="preserve">Karol </w:t>
      </w:r>
      <w:r w:rsidRPr="00C54A4B">
        <w:t xml:space="preserve">Madoń </w:t>
      </w:r>
      <w:r w:rsidR="00997F77">
        <w:t>“The Relationship Between Artificial Intelligence (AI) exposure and returns to education”</w:t>
      </w:r>
      <w:r w:rsidRPr="00C54A4B">
        <w:t>, who uses the 2018 EU Structure of Earnings Survey across 21 European countries to estimate Mincerian wage regressions as a function of occupational AI exposure, skill level, and sector and country fixed effects</w:t>
      </w:r>
      <w:r w:rsidR="00326A5F">
        <w:t xml:space="preserve"> [</w:t>
      </w:r>
      <w:r w:rsidR="00354E4F">
        <w:t>25</w:t>
      </w:r>
      <w:r w:rsidR="00326A5F">
        <w:t>]</w:t>
      </w:r>
      <w:r w:rsidRPr="00C54A4B">
        <w:t>. His findings establish three results that directly motivate the present study's research design. First, overall AI exposure is positively associated with wages (coefficient 0.082</w:t>
      </w:r>
      <w:r w:rsidR="00EC6298">
        <w:t>-</w:t>
      </w:r>
      <w:r w:rsidRPr="00C54A4B">
        <w:t>0.091 log points per standard deviation of exposure)</w:t>
      </w:r>
      <w:r w:rsidR="00B532AD">
        <w:t xml:space="preserve">. However, </w:t>
      </w:r>
      <w:r w:rsidRPr="00C54A4B">
        <w:t xml:space="preserve"> this positive relationship is driven almost entirely by high-skilled, tertiary-educated workers, for whom returns to AI-related skills reach 0.15</w:t>
      </w:r>
      <w:r w:rsidR="00B532AD">
        <w:t>-</w:t>
      </w:r>
      <w:r w:rsidRPr="00C54A4B">
        <w:t>0.43 log points</w:t>
      </w:r>
      <w:r w:rsidR="00B532AD">
        <w:t xml:space="preserve">, </w:t>
      </w:r>
      <w:r w:rsidRPr="00C54A4B">
        <w:t xml:space="preserve"> compared to 0.09</w:t>
      </w:r>
      <w:r w:rsidR="00B532AD">
        <w:t>-</w:t>
      </w:r>
      <w:r w:rsidRPr="00C54A4B">
        <w:t>0.14 for secondary-educated workers</w:t>
      </w:r>
      <w:r w:rsidR="00B532AD">
        <w:t>. This confirms</w:t>
      </w:r>
      <w:r w:rsidRPr="00C54A4B">
        <w:t xml:space="preserve"> that human capital is the binding constraint on whether AI </w:t>
      </w:r>
      <w:r w:rsidR="00CC693E">
        <w:t>adoption</w:t>
      </w:r>
      <w:r w:rsidRPr="00C54A4B">
        <w:t xml:space="preserve"> translates into wage gains. Second, the relationship between AI exposure and wages is non-linear: positive associations are concentrated in the 6th to 9th deciles of AI exposure, while the weakest and potentially negative associations appear at both extremes, suggesting that the wage effect of AI adoption is conditional on the intensity of adoption rather than its mere presence. Third, </w:t>
      </w:r>
      <w:r w:rsidR="00CC693E">
        <w:t>important</w:t>
      </w:r>
      <w:r w:rsidRPr="00C54A4B">
        <w:t xml:space="preserve"> for the EU context, AI-related wage </w:t>
      </w:r>
      <w:r w:rsidR="00CC693E">
        <w:t>bonuses</w:t>
      </w:r>
      <w:r w:rsidRPr="00C54A4B">
        <w:t xml:space="preserve"> are significantly higher in Eastern European countries than in Western European countries</w:t>
      </w:r>
      <w:r w:rsidR="00CC693E">
        <w:t>. This</w:t>
      </w:r>
      <w:r w:rsidRPr="00C54A4B">
        <w:t xml:space="preserve"> result </w:t>
      </w:r>
      <w:r w:rsidR="00EC6298">
        <w:t>the author</w:t>
      </w:r>
      <w:r w:rsidRPr="00C54A4B">
        <w:t xml:space="preserve"> </w:t>
      </w:r>
      <w:r w:rsidR="00CC693E">
        <w:t>explains</w:t>
      </w:r>
      <w:r w:rsidRPr="00C54A4B">
        <w:t xml:space="preserve"> to lower baseline labour costs and the cross-border competition for digitally skilled workers. This Eastern European premium directly anticipates the type of cross-sectoral and cross-country heterogeneity that a panel model operating across European countries and sectors must account for.</w:t>
      </w:r>
    </w:p>
    <w:p w14:paraId="12650954" w14:textId="128D190B" w:rsidR="00000386" w:rsidRPr="00000386" w:rsidRDefault="00000386" w:rsidP="00000386">
      <w:pPr>
        <w:pStyle w:val="thesisheading3"/>
      </w:pPr>
      <w:bookmarkStart w:id="18" w:name="_Toc230044127"/>
      <w:r w:rsidRPr="00000386">
        <w:t>1.3.3. Research gap and hypotheses</w:t>
      </w:r>
      <w:bookmarkEnd w:id="18"/>
    </w:p>
    <w:p w14:paraId="50B0B41C" w14:textId="608410C2" w:rsidR="00C54A4B" w:rsidRDefault="00C54A4B" w:rsidP="00BB0164">
      <w:pPr>
        <w:pStyle w:val="Thesisbody"/>
      </w:pPr>
      <w:r w:rsidRPr="00C54A4B">
        <w:t>However,</w:t>
      </w:r>
      <w:r w:rsidR="00EC6298">
        <w:t xml:space="preserve"> Karol</w:t>
      </w:r>
      <w:r w:rsidRPr="00C54A4B">
        <w:t xml:space="preserve"> </w:t>
      </w:r>
      <w:r w:rsidR="00EC6298" w:rsidRPr="00C54A4B">
        <w:t xml:space="preserve">Madoń </w:t>
      </w:r>
      <w:r w:rsidRPr="00C54A4B">
        <w:t>identifies a fundamental limitation of his own approach: because his data are cross-sectional and his AI exposure measures are fixed at the occupational level, he cannot distinguish the</w:t>
      </w:r>
      <w:r w:rsidRPr="00EC6298">
        <w:t> dynamic</w:t>
      </w:r>
      <w:r w:rsidRPr="00C54A4B">
        <w:t xml:space="preserve"> wage effects of actual AI adoption within sectors over time from </w:t>
      </w:r>
      <w:r w:rsidRPr="00C54A4B">
        <w:lastRenderedPageBreak/>
        <w:t>the </w:t>
      </w:r>
      <w:r w:rsidRPr="00EC6298">
        <w:t>structural </w:t>
      </w:r>
      <w:r w:rsidRPr="00C54A4B">
        <w:t xml:space="preserve">wage differences between occupations with different AI exposure profiles. This is precisely the methodological gap that the present </w:t>
      </w:r>
      <w:r w:rsidR="00EC6298">
        <w:t xml:space="preserve">work </w:t>
      </w:r>
      <w:r w:rsidRPr="00C54A4B">
        <w:t>address</w:t>
      </w:r>
      <w:r w:rsidR="004F70E3">
        <w:t xml:space="preserve">es. </w:t>
      </w:r>
      <w:r w:rsidR="004F70E3" w:rsidRPr="004F70E3">
        <w:t>Based on the theoretical and empirical evidence reviewed in this chapter, two testable hypotheses are formulated to structure the empirical analysis of this thesis</w:t>
      </w:r>
      <w:r w:rsidR="004F70E3">
        <w:t xml:space="preserve">: </w:t>
      </w:r>
    </w:p>
    <w:p w14:paraId="69B12309" w14:textId="6E817408" w:rsidR="004F70E3" w:rsidRPr="00571B2F" w:rsidRDefault="004F70E3" w:rsidP="00571B2F">
      <w:pPr>
        <w:spacing w:line="360" w:lineRule="auto"/>
        <w:jc w:val="center"/>
        <w:rPr>
          <w:rFonts w:ascii="Times New Roman" w:hAnsi="Times New Roman" w:cs="Times New Roman"/>
          <w:i/>
          <w:iCs/>
          <w:sz w:val="24"/>
          <w:szCs w:val="24"/>
        </w:rPr>
      </w:pPr>
      <w:r w:rsidRPr="00571B2F">
        <w:rPr>
          <w:rFonts w:ascii="Times New Roman" w:hAnsi="Times New Roman" w:cs="Times New Roman"/>
          <w:i/>
          <w:iCs/>
          <w:sz w:val="24"/>
          <w:szCs w:val="24"/>
        </w:rPr>
        <w:t>“</w:t>
      </w:r>
      <w:r w:rsidRPr="00571B2F">
        <w:rPr>
          <w:rFonts w:ascii="Times New Roman" w:hAnsi="Times New Roman" w:cs="Times New Roman"/>
          <w:b/>
          <w:bCs/>
          <w:i/>
          <w:iCs/>
          <w:sz w:val="24"/>
          <w:szCs w:val="24"/>
        </w:rPr>
        <w:t>H1:</w:t>
      </w:r>
      <w:r w:rsidRPr="00571B2F">
        <w:rPr>
          <w:rFonts w:ascii="Times New Roman" w:hAnsi="Times New Roman" w:cs="Times New Roman"/>
          <w:i/>
          <w:iCs/>
          <w:sz w:val="24"/>
          <w:szCs w:val="24"/>
        </w:rPr>
        <w:t xml:space="preserve"> Withing-sector increases in AI adoption are associated with </w:t>
      </w:r>
      <w:r w:rsidR="00CC43EB">
        <w:rPr>
          <w:rFonts w:ascii="Times New Roman" w:hAnsi="Times New Roman" w:cs="Times New Roman"/>
          <w:i/>
          <w:iCs/>
          <w:sz w:val="24"/>
          <w:szCs w:val="24"/>
        </w:rPr>
        <w:t>lower average sectoral wages</w:t>
      </w:r>
      <w:r w:rsidRPr="00571B2F">
        <w:rPr>
          <w:rFonts w:ascii="Times New Roman" w:hAnsi="Times New Roman" w:cs="Times New Roman"/>
          <w:i/>
          <w:iCs/>
          <w:sz w:val="24"/>
          <w:szCs w:val="24"/>
        </w:rPr>
        <w:t>, and this effect is weaken</w:t>
      </w:r>
      <w:r w:rsidR="00571B2F" w:rsidRPr="00571B2F">
        <w:rPr>
          <w:rFonts w:ascii="Times New Roman" w:hAnsi="Times New Roman" w:cs="Times New Roman"/>
          <w:i/>
          <w:iCs/>
          <w:sz w:val="24"/>
          <w:szCs w:val="24"/>
        </w:rPr>
        <w:t>e</w:t>
      </w:r>
      <w:r w:rsidRPr="00571B2F">
        <w:rPr>
          <w:rFonts w:ascii="Times New Roman" w:hAnsi="Times New Roman" w:cs="Times New Roman"/>
          <w:i/>
          <w:iCs/>
          <w:sz w:val="24"/>
          <w:szCs w:val="24"/>
        </w:rPr>
        <w:t>d in sectors with greater ICT training investment”</w:t>
      </w:r>
    </w:p>
    <w:p w14:paraId="356CE26F" w14:textId="56DBBD73" w:rsidR="00571B2F" w:rsidRDefault="00571B2F" w:rsidP="00BB0164">
      <w:pPr>
        <w:pStyle w:val="Thesisbody"/>
      </w:pPr>
      <w:r w:rsidRPr="00571B2F">
        <w:t>The first hypothesis concerns the within-sector, dynamic dimension of the AI</w:t>
      </w:r>
      <w:r w:rsidR="00CC43EB">
        <w:t>-</w:t>
      </w:r>
      <w:r w:rsidRPr="00571B2F">
        <w:t xml:space="preserve">wage relationship. Drawing on the displacement mechanism established by Acemoglu and Restrepo, it is hypothesised that increases in AI adoption within a given sector over time are associated with downward wage pressure, and that this displacement effect is </w:t>
      </w:r>
      <w:r w:rsidR="00CC43EB">
        <w:t>weakened</w:t>
      </w:r>
      <w:r w:rsidRPr="00571B2F">
        <w:t xml:space="preserve"> in sectors where investment in ICT training is higher. </w:t>
      </w:r>
    </w:p>
    <w:p w14:paraId="64A3F8FE" w14:textId="0775D8A2" w:rsidR="00CC43EB" w:rsidRPr="00CC43EB" w:rsidRDefault="00CC43EB" w:rsidP="00CC43EB">
      <w:pPr>
        <w:spacing w:line="360" w:lineRule="auto"/>
        <w:jc w:val="center"/>
        <w:rPr>
          <w:rFonts w:ascii="Times New Roman" w:hAnsi="Times New Roman" w:cs="Times New Roman"/>
          <w:i/>
          <w:iCs/>
          <w:sz w:val="24"/>
          <w:szCs w:val="24"/>
        </w:rPr>
      </w:pPr>
      <w:r w:rsidRPr="00CC43EB">
        <w:rPr>
          <w:rFonts w:ascii="Times New Roman" w:hAnsi="Times New Roman" w:cs="Times New Roman"/>
          <w:i/>
          <w:iCs/>
          <w:sz w:val="24"/>
          <w:szCs w:val="24"/>
        </w:rPr>
        <w:t>“</w:t>
      </w:r>
      <w:r w:rsidRPr="00CC43EB">
        <w:rPr>
          <w:rFonts w:ascii="Times New Roman" w:hAnsi="Times New Roman" w:cs="Times New Roman"/>
          <w:b/>
          <w:bCs/>
          <w:i/>
          <w:iCs/>
          <w:sz w:val="24"/>
          <w:szCs w:val="24"/>
        </w:rPr>
        <w:t>H2</w:t>
      </w:r>
      <w:r w:rsidRPr="00CC43EB">
        <w:rPr>
          <w:rFonts w:ascii="Times New Roman" w:hAnsi="Times New Roman" w:cs="Times New Roman"/>
          <w:i/>
          <w:iCs/>
          <w:sz w:val="24"/>
          <w:szCs w:val="24"/>
        </w:rPr>
        <w:t>: Sectors with structurally higher AI adoption exhibit higher average wages, reflecting long-run reinstatement gains, though this positive wage premium diminishes as sectoral ICT capacity increases”</w:t>
      </w:r>
    </w:p>
    <w:p w14:paraId="2F9CC3D0" w14:textId="1CE58CC3" w:rsidR="00CC43EB" w:rsidRPr="00CC43EB" w:rsidRDefault="00CC43EB" w:rsidP="00BB0164">
      <w:pPr>
        <w:pStyle w:val="Thesisbody"/>
      </w:pPr>
      <w:r w:rsidRPr="00CC43EB">
        <w:t>The second hypothesis concerns the between-sector, structural dimension. Drawing on the reinstatement mechanism and the complementarity evidence from the IMF</w:t>
      </w:r>
      <w:r w:rsidR="00D87B89">
        <w:t xml:space="preserve"> works</w:t>
      </w:r>
      <w:r w:rsidRPr="00CC43EB">
        <w:t xml:space="preserve"> and</w:t>
      </w:r>
      <w:r w:rsidR="00D87B89">
        <w:t xml:space="preserve"> Karol</w:t>
      </w:r>
      <w:r w:rsidRPr="00CC43EB">
        <w:t xml:space="preserve"> Madoń, it is hypothesised that sectors structurally more advanced in AI adoption pay higher wages on average, reflecting a long-run reinstatement equilibrium, but that this structural wage premium diminishes at higher levels of sectoral ICT capacity, consistent with diminishing marginal complementarity.</w:t>
      </w:r>
    </w:p>
    <w:p w14:paraId="57C7AA51" w14:textId="4D82C814" w:rsidR="00C54A4B" w:rsidRPr="003B0112" w:rsidRDefault="00CC43EB" w:rsidP="00BB0164">
      <w:pPr>
        <w:pStyle w:val="Thesisbody"/>
      </w:pPr>
      <w:r w:rsidRPr="00CC43EB">
        <w:t>Together, the two hypotheses capture the two distinct temporal logics embedded in the Acemoglu</w:t>
      </w:r>
      <w:r w:rsidR="00E3420F">
        <w:t>-</w:t>
      </w:r>
      <w:r w:rsidRPr="00CC43EB">
        <w:t xml:space="preserve">Restrepo framework: the short-run displacement dynamic that characterises periods of rapid automation, and the long-run reinstatement dynamic that emerges in sectors where human capital investment has kept pace with the evolving task frontier. </w:t>
      </w:r>
    </w:p>
    <w:p w14:paraId="1D4470B3" w14:textId="77777777" w:rsidR="000840F3" w:rsidRDefault="000840F3">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074C2FCB" w14:textId="58FEF2E9" w:rsidR="006342A9" w:rsidRDefault="006342A9" w:rsidP="006342A9">
      <w:pPr>
        <w:pStyle w:val="Thesisheading1"/>
      </w:pPr>
      <w:bookmarkStart w:id="19" w:name="_Toc230044128"/>
      <w:r>
        <w:lastRenderedPageBreak/>
        <w:t>CHAPTER II</w:t>
      </w:r>
      <w:bookmarkEnd w:id="19"/>
    </w:p>
    <w:p w14:paraId="5878E300" w14:textId="1CA54F37" w:rsidR="006342A9" w:rsidRPr="006342A9" w:rsidRDefault="006342A9" w:rsidP="006342A9">
      <w:pPr>
        <w:pStyle w:val="Thesisheading1"/>
      </w:pPr>
      <w:bookmarkStart w:id="20" w:name="_Toc230044129"/>
      <w:r>
        <w:t>DATA AND METHODOLOGY</w:t>
      </w:r>
      <w:bookmarkEnd w:id="20"/>
      <w:r>
        <w:t xml:space="preserve"> </w:t>
      </w:r>
    </w:p>
    <w:p w14:paraId="0A9A2DEA" w14:textId="77777777" w:rsidR="004C0DF2" w:rsidRDefault="004C0DF2" w:rsidP="004C0DF2">
      <w:pPr>
        <w:pStyle w:val="Thesisheading2"/>
      </w:pPr>
      <w:bookmarkStart w:id="21" w:name="_Toc230044130"/>
      <w:r w:rsidRPr="004C0DF2">
        <w:t>2.1. Data Sources, Variables, and Panel Construction</w:t>
      </w:r>
      <w:bookmarkEnd w:id="21"/>
    </w:p>
    <w:p w14:paraId="1A61942C" w14:textId="5717E070" w:rsidR="00954437" w:rsidRPr="004C0DF2" w:rsidRDefault="00954437" w:rsidP="00954437">
      <w:pPr>
        <w:pStyle w:val="thesisheading3"/>
      </w:pPr>
      <w:bookmarkStart w:id="22" w:name="_Toc230044131"/>
      <w:r w:rsidRPr="00954437">
        <w:t>2.1.1. Variable definitions and operationalisation</w:t>
      </w:r>
      <w:bookmarkEnd w:id="22"/>
    </w:p>
    <w:p w14:paraId="49F16427" w14:textId="6293D439" w:rsidR="009F776D" w:rsidRDefault="000E2B10" w:rsidP="00B17530">
      <w:pPr>
        <w:pStyle w:val="Thesisbody"/>
      </w:pPr>
      <w:r w:rsidRPr="009F776D">
        <w:t>The selection of variables is governed by two factors: the theoretical and empirical requirements needed to test the hypothesis</w:t>
      </w:r>
      <w:r w:rsidR="000801AF" w:rsidRPr="009F776D">
        <w:t>,</w:t>
      </w:r>
      <w:r w:rsidRPr="009F776D">
        <w:t xml:space="preserve"> and the availability of harmonised, comparable data at the country–sector–year level across EU member states.</w:t>
      </w:r>
      <w:r w:rsidR="004B2C8B" w:rsidRPr="009F776D">
        <w:t xml:space="preserve"> </w:t>
      </w:r>
      <w:r w:rsidR="000801AF" w:rsidRPr="009F776D">
        <w:t>The dependent variable is the real wages, measured as wages and salaries per employee in full-time equivalents</w:t>
      </w:r>
      <w:r w:rsidR="00A532CE">
        <w:t xml:space="preserve"> in EUR/hour</w:t>
      </w:r>
      <w:r w:rsidR="000801AF" w:rsidRPr="009F776D">
        <w:t>. Variable selection for AI adoption and ICT follows the research framework of</w:t>
      </w:r>
      <w:r w:rsidR="00D778D2" w:rsidRPr="009F776D">
        <w:t xml:space="preserve"> Karol</w:t>
      </w:r>
      <w:r w:rsidR="000801AF" w:rsidRPr="009F776D">
        <w:t xml:space="preserve"> Madoń, who demonstrates a positive and heterogeneous association between AI exposure and wages across European countries, concentrated among high-skilled workers and sectors with greater ICT penetration [</w:t>
      </w:r>
      <w:r w:rsidR="00012450">
        <w:t>25</w:t>
      </w:r>
      <w:r w:rsidR="000801AF" w:rsidRPr="009F776D">
        <w:t>]. This motivates the inclusion of three complementary technology measures:</w:t>
      </w:r>
      <w:r w:rsidR="00D778D2" w:rsidRPr="009F776D">
        <w:t xml:space="preserve"> AI adoption, ICT specialist and ICT training. </w:t>
      </w:r>
      <w:r w:rsidR="005F3D1E">
        <w:t>AI adoption is a</w:t>
      </w:r>
      <w:r w:rsidR="00D778D2" w:rsidRPr="009F776D">
        <w:t xml:space="preserve"> share of enterprises in a given country–sector–year cell using at least one AI technology (Eurostat: isoc_eb_ain2), expressed as a percentage of enterprises. This variable serves as the primary treatment variable. It directly captures firm-level uptake rather than occupational exposure, addressing the limitation noted by Karol Madoń that purely task-based AI exposure measures do not reflect actual organisational </w:t>
      </w:r>
      <w:r w:rsidR="00D778D2" w:rsidRPr="00012450">
        <w:t>adoption [</w:t>
      </w:r>
      <w:r w:rsidR="00012450" w:rsidRPr="00012450">
        <w:t>25</w:t>
      </w:r>
      <w:r w:rsidR="00D778D2" w:rsidRPr="00012450">
        <w:t>].</w:t>
      </w:r>
      <w:r w:rsidR="00353FEA" w:rsidRPr="009F776D">
        <w:t xml:space="preserve"> </w:t>
      </w:r>
      <w:r w:rsidR="009F776D" w:rsidRPr="009F776D">
        <w:t>Next variable is the percentage of enterprises employing ICT/IT specialists (Eurostat: isoc_ske_itspen2). This variable captures the stock of technology-complementary human capital within a sector.</w:t>
      </w:r>
      <w:r w:rsidR="009F776D" w:rsidRPr="006409FF">
        <w:t xml:space="preserve"> </w:t>
      </w:r>
      <w:r w:rsidR="006409FF" w:rsidRPr="006409FF">
        <w:t xml:space="preserve">The inclusion of ICT specialist intensity is justified by the task-based framework established by Autor, Levy, and Murnane </w:t>
      </w:r>
      <w:r w:rsidR="006409FF">
        <w:t>in their work “The skill content of recent technological change: the empirical exploration”</w:t>
      </w:r>
      <w:r w:rsidR="006409FF" w:rsidRPr="006409FF">
        <w:t>, who demonstrate that computers complement workers in non-routine cognitive tasks while substituting for those performing routine ones</w:t>
      </w:r>
      <w:r w:rsidR="00884E91">
        <w:t xml:space="preserve"> </w:t>
      </w:r>
      <w:r w:rsidR="00884E91" w:rsidRPr="006409FF">
        <w:t>[14]</w:t>
      </w:r>
      <w:r w:rsidR="006409FF">
        <w:t>. This implies</w:t>
      </w:r>
      <w:r w:rsidR="006409FF" w:rsidRPr="006409FF">
        <w:t xml:space="preserve"> that AI is more likely to augment rather than displace workers in sectors where ICT-capable human capital is already present</w:t>
      </w:r>
      <w:r w:rsidR="00884E91">
        <w:t xml:space="preserve">. </w:t>
      </w:r>
      <w:r w:rsidR="009F776D" w:rsidRPr="009F776D">
        <w:t>The last technology measure is ICT training variable. The percentage of enterprises providing ICT training to their personnel (Eurostat: isoc_ske_ittn2), used as an alternative ICT complementarity measure in a second specification to test the robustness of the interaction channel.</w:t>
      </w:r>
    </w:p>
    <w:p w14:paraId="0B43D857" w14:textId="6DD41E98" w:rsidR="009F776D" w:rsidRPr="00F4390B" w:rsidRDefault="007A6E9C" w:rsidP="00B17530">
      <w:pPr>
        <w:pStyle w:val="Thesisbody"/>
      </w:pPr>
      <w:r w:rsidRPr="0060015D">
        <w:t xml:space="preserve">As a </w:t>
      </w:r>
      <w:r w:rsidR="00D52857" w:rsidRPr="0060015D">
        <w:t xml:space="preserve">wage </w:t>
      </w:r>
      <w:r w:rsidRPr="0060015D">
        <w:t>control variables were selected</w:t>
      </w:r>
      <w:r w:rsidR="0060015D" w:rsidRPr="0060015D">
        <w:t xml:space="preserve"> labour productivity, firm size index, share of high-skill occupations, and tertiary education rate.</w:t>
      </w:r>
      <w:r w:rsidR="0060015D">
        <w:t xml:space="preserve"> Productivity as </w:t>
      </w:r>
      <w:r w:rsidR="00DA77FD" w:rsidRPr="001C0014">
        <w:t>g</w:t>
      </w:r>
      <w:r w:rsidRPr="001C0014">
        <w:t>ross</w:t>
      </w:r>
      <w:r w:rsidRPr="007A6E9C">
        <w:t xml:space="preserve"> value added per </w:t>
      </w:r>
      <w:r w:rsidRPr="007A6E9C">
        <w:lastRenderedPageBreak/>
        <w:t>employee (Eurostat</w:t>
      </w:r>
      <w:r>
        <w:t>:</w:t>
      </w:r>
      <w:r w:rsidRPr="007A6E9C">
        <w:t xml:space="preserve"> nama_10_a64_e) is included as the most direct structural control for wage differences across sectors and countries. The </w:t>
      </w:r>
      <w:r w:rsidR="008B6251" w:rsidRPr="008B6251">
        <w:t xml:space="preserve">IMF “Artificial Intelligence and Productivity in Europe” </w:t>
      </w:r>
      <w:r w:rsidRPr="008B6251">
        <w:t>paper confirms that productivity effects are the primary theoretical mechanism through which AI g</w:t>
      </w:r>
      <w:r w:rsidRPr="007A6E9C">
        <w:t>enerates wage gains at the macro level: higher AI adoption rates increase total factor productivity, and under competitive labour markets this gain is partially passed through to wa</w:t>
      </w:r>
      <w:r w:rsidRPr="008B6251">
        <w:t>ges [</w:t>
      </w:r>
      <w:r w:rsidR="008B6251">
        <w:t>17</w:t>
      </w:r>
      <w:r w:rsidRPr="008B6251">
        <w:t>]. Excluding</w:t>
      </w:r>
      <w:r w:rsidRPr="007A6E9C">
        <w:t xml:space="preserve"> productivity would risk attributing to AI adoption what is in fact a productivity–wage channel. </w:t>
      </w:r>
    </w:p>
    <w:p w14:paraId="546BA033" w14:textId="71C32B04" w:rsidR="000801AF" w:rsidRDefault="00D10908" w:rsidP="00B17530">
      <w:pPr>
        <w:pStyle w:val="Thesisbody"/>
      </w:pPr>
      <w:r>
        <w:t>The variable Firm Size Index (FSI) is a</w:t>
      </w:r>
      <w:r w:rsidR="00F4390B" w:rsidRPr="00F4390B">
        <w:t xml:space="preserve"> share of employees in enterprises with 250 or more persons in total sectoral employment (Eurostat</w:t>
      </w:r>
      <w:r w:rsidR="00F4390B">
        <w:t>:</w:t>
      </w:r>
      <w:r w:rsidR="00F4390B" w:rsidRPr="00F4390B">
        <w:t> sbs_sc_ovw) controls for market structure. Larger firms tend to pay wage premia and are also more likely to be AI adopters, as the IMF</w:t>
      </w:r>
      <w:r w:rsidR="00F4390B">
        <w:t xml:space="preserve"> paper</w:t>
      </w:r>
      <w:r w:rsidR="00F4390B" w:rsidRPr="00F4390B">
        <w:t xml:space="preserve"> adoption-rate regressions show</w:t>
      </w:r>
      <w:r w:rsidR="00F4390B">
        <w:t xml:space="preserve"> [</w:t>
      </w:r>
      <w:r w:rsidR="003A6C35">
        <w:t>17</w:t>
      </w:r>
      <w:r w:rsidR="00F4390B">
        <w:t>]</w:t>
      </w:r>
      <w:r w:rsidR="00F4390B" w:rsidRPr="00F4390B">
        <w:t>. The variable therefore serves as a proxy for the scale and organisational complexity of the sector, which independently predicts both wage levels and adoption incentives.</w:t>
      </w:r>
    </w:p>
    <w:p w14:paraId="42B2ACF3" w14:textId="5D6856C2" w:rsidR="00A532CE" w:rsidRDefault="000A00E4" w:rsidP="00B17530">
      <w:pPr>
        <w:pStyle w:val="Thesisbody"/>
      </w:pPr>
      <w:r>
        <w:t xml:space="preserve">Next control variable is related to the high-skill occupations. </w:t>
      </w:r>
      <w:r w:rsidRPr="000A00E4">
        <w:t>The share of managers (ISCO OC1), professionals (OC2), and technicians (OC3) in total sector employment (Eurostat</w:t>
      </w:r>
      <w:r>
        <w:t>:</w:t>
      </w:r>
      <w:r w:rsidRPr="000A00E4">
        <w:t> lfsa_eisn2) proxies the occupational skill composition of the sector. In Acemoglu and Restrepo, wage changes are directly linked to a demographic group's specialisation in the tasks being automated: groups whose tasks are displaced experience wage declines, while groups in non-automatable or complementary tasks experience wage gains</w:t>
      </w:r>
      <w:r>
        <w:t xml:space="preserve"> [</w:t>
      </w:r>
      <w:r w:rsidR="00EF64A5">
        <w:t>15</w:t>
      </w:r>
      <w:r>
        <w:t>]</w:t>
      </w:r>
      <w:r w:rsidRPr="000A00E4">
        <w:t xml:space="preserve">. Controlling for the occupational skill mix separates the AI adoption wage effect from underlying compositional differences between sectors that already employ more high-skill workers. </w:t>
      </w:r>
      <w:r w:rsidR="00A60EF4">
        <w:t xml:space="preserve">Karol </w:t>
      </w:r>
      <w:r w:rsidRPr="000A00E4">
        <w:t xml:space="preserve">Madoń similarly includes sectoral composition controls in his Mincerian </w:t>
      </w:r>
      <w:r w:rsidR="00CA701C">
        <w:t xml:space="preserve">wage regression </w:t>
      </w:r>
      <w:r w:rsidRPr="000A00E4">
        <w:t>specifications to isolate the AI-specific wage channel</w:t>
      </w:r>
      <w:r w:rsidR="00A60EF4">
        <w:t xml:space="preserve"> [</w:t>
      </w:r>
      <w:r w:rsidR="00EF64A5">
        <w:t>25</w:t>
      </w:r>
      <w:r w:rsidR="00A60EF4">
        <w:t>]</w:t>
      </w:r>
      <w:r w:rsidRPr="000A00E4">
        <w:t>.</w:t>
      </w:r>
    </w:p>
    <w:p w14:paraId="7FACB8E7" w14:textId="200E41D7" w:rsidR="00CD026B" w:rsidRPr="00CD026B" w:rsidRDefault="005618EA" w:rsidP="00B17530">
      <w:pPr>
        <w:pStyle w:val="Thesisbody"/>
      </w:pPr>
      <w:r w:rsidRPr="005618EA">
        <w:t>The last wage control variable is the tertiary education rate</w:t>
      </w:r>
      <w:r>
        <w:t>. It is a</w:t>
      </w:r>
      <w:r w:rsidRPr="005618EA">
        <w:t xml:space="preserve"> share of employed persons aged 18–69 with tertiary education (ISCED 5–8) in a sector (Eurostat: edat_lfs_9910), which proxies the human capital stock of the sector. </w:t>
      </w:r>
      <w:r w:rsidR="00E47A87" w:rsidRPr="00E47A87">
        <w:t xml:space="preserve">Consistent with this framework, </w:t>
      </w:r>
      <w:r w:rsidR="00960E90">
        <w:t xml:space="preserve">Karol </w:t>
      </w:r>
      <w:r w:rsidR="00E47A87" w:rsidRPr="00E47A87">
        <w:t xml:space="preserve">Madoń's specifications further include education level as a core covariate, on the grounds that </w:t>
      </w:r>
      <w:r w:rsidR="00E47A87">
        <w:t>“</w:t>
      </w:r>
      <w:r w:rsidR="00E47A87" w:rsidRPr="00E47A87">
        <w:t>education level is a good proxy for worker skills</w:t>
      </w:r>
      <w:r w:rsidR="00E47A87">
        <w:t>”</w:t>
      </w:r>
      <w:r w:rsidR="00E47A87" w:rsidRPr="00E47A87">
        <w:t xml:space="preserve"> and that higher-skilled workers command systematically higher wage premia </w:t>
      </w:r>
      <w:r w:rsidR="00847ED2">
        <w:t>[25]</w:t>
      </w:r>
      <w:r w:rsidRPr="005618EA">
        <w:t xml:space="preserve">. This is </w:t>
      </w:r>
      <w:r>
        <w:t xml:space="preserve">also </w:t>
      </w:r>
      <w:r w:rsidR="00847ED2">
        <w:t xml:space="preserve">proved </w:t>
      </w:r>
      <w:r w:rsidRPr="005618EA">
        <w:t>by Autor, Katz, and Goldin (2020), who document that the wage premium for tertiary education has grown monotonically alongside technological change across decades</w:t>
      </w:r>
      <w:r w:rsidR="00847ED2">
        <w:t xml:space="preserve"> [13]</w:t>
      </w:r>
      <w:r w:rsidRPr="005618EA">
        <w:t>. Including tertiary education in the model thus separates the direct human-capital wage premium from the adoption-mediated wage effect.</w:t>
      </w:r>
    </w:p>
    <w:p w14:paraId="7A70806A" w14:textId="2A1F90C9" w:rsidR="000E2B10" w:rsidRDefault="009720E4" w:rsidP="00B17530">
      <w:pPr>
        <w:pStyle w:val="Thesisbody"/>
      </w:pPr>
      <w:r w:rsidRPr="009720E4">
        <w:lastRenderedPageBreak/>
        <w:t xml:space="preserve">The next group of variables are macro controls. There are unemployment rate (Eurostat: tps00203), inflation rate (Eurostat: tec00118) and GDP at market prices per capita in current EUR (Eurostat: nama_10_pc). </w:t>
      </w:r>
      <w:r w:rsidR="00960E90" w:rsidRPr="00960E90">
        <w:t xml:space="preserve">Beyond the sectoral controls described above, </w:t>
      </w:r>
      <w:r w:rsidR="00AA0A82">
        <w:t xml:space="preserve">Karol </w:t>
      </w:r>
      <w:r w:rsidR="00960E90" w:rsidRPr="00960E90">
        <w:t>Madoń also incorporates a vector of macroeconomic controls</w:t>
      </w:r>
      <w:r w:rsidR="00960E90">
        <w:t xml:space="preserve"> </w:t>
      </w:r>
      <w:r w:rsidRPr="009720E4">
        <w:t>alongside country and sector fixed effects in order to isolate the AI-specific wage channel from broader economic conditions</w:t>
      </w:r>
      <w:r>
        <w:t xml:space="preserve"> [</w:t>
      </w:r>
      <w:r w:rsidR="00EF64A5">
        <w:t>25</w:t>
      </w:r>
      <w:r>
        <w:t>]</w:t>
      </w:r>
      <w:r w:rsidRPr="009720E4">
        <w:t>. In the present panel setting, these three variables serve analogous purposes</w:t>
      </w:r>
      <w:r>
        <w:t>.</w:t>
      </w:r>
    </w:p>
    <w:p w14:paraId="4578AC03" w14:textId="331DF1CF" w:rsidR="00671C5E" w:rsidRPr="00671C5E" w:rsidRDefault="00671C5E" w:rsidP="00671C5E">
      <w:pPr>
        <w:pStyle w:val="thesisheading3"/>
      </w:pPr>
      <w:bookmarkStart w:id="23" w:name="_Toc230044132"/>
      <w:r w:rsidRPr="00671C5E">
        <w:t>2.1.2. Data transformations and aggregation</w:t>
      </w:r>
      <w:bookmarkEnd w:id="23"/>
    </w:p>
    <w:p w14:paraId="0713F3DD" w14:textId="5990A4FE" w:rsidR="00D52857" w:rsidRDefault="00D52857" w:rsidP="00B17530">
      <w:pPr>
        <w:pStyle w:val="Thesisbody"/>
      </w:pPr>
      <w:r w:rsidRPr="00D52857">
        <w:t>Several variables require transformation or aggregation from the raw Eurostat series before entering the model</w:t>
      </w:r>
      <w:r>
        <w:t xml:space="preserve">. </w:t>
      </w:r>
      <w:r w:rsidRPr="00D52857">
        <w:t>Real wages are constructed by dividing nominal wages and salaries per employee (FTE-adjusted) by the HICP annual average index, re-based to a common reference year.</w:t>
      </w:r>
      <w:r>
        <w:t xml:space="preserve"> </w:t>
      </w:r>
      <w:r w:rsidRPr="00D52857">
        <w:t>Labour productivity is constructed as GVA in millions of EUR divided by the number of employees (thousands,</w:t>
      </w:r>
      <w:r>
        <w:t xml:space="preserve"> Eurostat:</w:t>
      </w:r>
      <w:r w:rsidRPr="00D52857">
        <w:t> nama_10_a64_e), yielding GVA per employee in thousands of EUR.</w:t>
      </w:r>
      <w:r>
        <w:t xml:space="preserve"> </w:t>
      </w:r>
      <w:r w:rsidRPr="00D52857">
        <w:t>Firm Size Index (FSI) is computed as the share of employees in large enterprises (≥250 persons) relative to total sector employment, derived from the Eurostat Structural Business Statistics.</w:t>
      </w:r>
      <w:r>
        <w:t xml:space="preserve"> </w:t>
      </w:r>
      <w:r w:rsidRPr="00D52857">
        <w:t>Share of high-skill occupations is aggregated from the employment-by-occupation and sector table by summing ISCO major groups 1, 2, and 3 as a percentage of total sector employment.</w:t>
      </w:r>
      <w:r>
        <w:t xml:space="preserve"> </w:t>
      </w:r>
    </w:p>
    <w:p w14:paraId="30776A82" w14:textId="1853F6D8" w:rsidR="00AB6FC0" w:rsidRPr="00AB6FC0" w:rsidRDefault="00AB6FC0" w:rsidP="00AB6FC0">
      <w:pPr>
        <w:pStyle w:val="thesisheading3"/>
      </w:pPr>
      <w:bookmarkStart w:id="24" w:name="_Toc230044133"/>
      <w:r w:rsidRPr="00AB6FC0">
        <w:t>2.1.3. Panel structure and econometric limitations</w:t>
      </w:r>
      <w:bookmarkEnd w:id="24"/>
    </w:p>
    <w:p w14:paraId="4EC1E7D9" w14:textId="4B3C01D9" w:rsidR="00B776CE" w:rsidRPr="00B776CE" w:rsidRDefault="00B776CE" w:rsidP="00B17530">
      <w:pPr>
        <w:pStyle w:val="Thesisbody"/>
      </w:pPr>
      <w:r w:rsidRPr="00B776CE">
        <w:t xml:space="preserve">A critical constraint shaping the empirical design is data availability. The Eurostat enterprise survey on AI adoption (isoc_eb_ain2) was first conducted in 2021, with subsequent waves in 2022, 2023, and 2024. As noted by the IMF, the systematic, cross-country, cross-sector data on AI adoption in European enterprises simply did not exist before </w:t>
      </w:r>
      <w:r w:rsidRPr="007C2101">
        <w:t>2021</w:t>
      </w:r>
      <w:r w:rsidR="007C2101" w:rsidRPr="007C2101">
        <w:t xml:space="preserve"> </w:t>
      </w:r>
      <w:r w:rsidRPr="007C2101">
        <w:t>[</w:t>
      </w:r>
      <w:r w:rsidR="007C2101" w:rsidRPr="007C2101">
        <w:t>15</w:t>
      </w:r>
      <w:r w:rsidRPr="007C2101">
        <w:t>]. This</w:t>
      </w:r>
      <w:r w:rsidRPr="00B776CE">
        <w:t xml:space="preserve"> determines the sample period: 2021–2024, yielding a four-year panel. The sample covers country–sector cells constructed as a composite panel identifier, drawing on Eurostat's NACE Rev. 2 one-digit </w:t>
      </w:r>
      <w:r w:rsidRPr="00837EC3">
        <w:t>classification</w:t>
      </w:r>
      <w:r w:rsidR="00FD2175" w:rsidRPr="00837EC3">
        <w:t>,</w:t>
      </w:r>
      <w:r w:rsidRPr="00837EC3">
        <w:t xml:space="preserve"> meaning that each observation represents a single broad sector letter (e.g., </w:t>
      </w:r>
      <w:r w:rsidRPr="00837EC3">
        <w:rPr>
          <w:i/>
          <w:iCs/>
        </w:rPr>
        <w:t>C</w:t>
      </w:r>
      <w:r w:rsidRPr="00837EC3">
        <w:t> for Manufacturing, </w:t>
      </w:r>
      <w:r w:rsidRPr="00837EC3">
        <w:rPr>
          <w:i/>
          <w:iCs/>
        </w:rPr>
        <w:t>G</w:t>
      </w:r>
      <w:r w:rsidRPr="00837EC3">
        <w:t> for Wholesale and Retail Trade) within a given country and year. This level of aggregation, combined with the four-year time horizon, results in a panel that is short and wide by econometric standards, with a limited number of time periods relative to the number of cross-sectional units.</w:t>
      </w:r>
    </w:p>
    <w:p w14:paraId="2438E72F" w14:textId="584481CD" w:rsidR="00D52857" w:rsidRDefault="00C321DA" w:rsidP="00B17530">
      <w:pPr>
        <w:pStyle w:val="Thesisbody"/>
      </w:pPr>
      <w:r w:rsidRPr="00C321DA">
        <w:lastRenderedPageBreak/>
        <w:t>This constitutes a recognised limitation of the present study. From an econometric perspective, a panel with a short time dimension</w:t>
      </w:r>
      <w:r w:rsidR="004E2B1C">
        <w:t xml:space="preserve"> (T = 4</w:t>
      </w:r>
      <w:r w:rsidRPr="00C321DA">
        <w:t xml:space="preserve">) restricts the temporal variation available to identify structural changes. </w:t>
      </w:r>
      <w:r w:rsidR="0051185F" w:rsidRPr="0051185F">
        <w:t xml:space="preserve">Jeffrey </w:t>
      </w:r>
      <w:r w:rsidRPr="0051185F">
        <w:t>Wooldridge</w:t>
      </w:r>
      <w:r w:rsidR="00121246" w:rsidRPr="0051185F">
        <w:t xml:space="preserve"> in</w:t>
      </w:r>
      <w:r w:rsidR="00121246">
        <w:t xml:space="preserve"> his work “Econometric Analysis of Cross Section and Panel Data”</w:t>
      </w:r>
      <w:r w:rsidRPr="00C321DA">
        <w:t xml:space="preserve"> explicitly notes that bias-adjustment procedures for panel estimators require a number of time periods </w:t>
      </w:r>
      <w:r w:rsidR="004E2B1C">
        <w:t>“</w:t>
      </w:r>
      <w:r w:rsidRPr="00C321DA">
        <w:t>greater than is available in many applications,</w:t>
      </w:r>
      <w:r w:rsidR="004E2B1C">
        <w:t>”</w:t>
      </w:r>
      <w:r w:rsidRPr="00C321DA">
        <w:t xml:space="preserve"> and that consistent identification through within-entity variation relies on there being </w:t>
      </w:r>
      <w:r w:rsidR="004E2B1C">
        <w:t>“</w:t>
      </w:r>
      <w:r w:rsidRPr="00C321DA">
        <w:t>sufficient time variation in the covariates</w:t>
      </w:r>
      <w:r w:rsidR="004E2B1C">
        <w:t xml:space="preserve">”. It is </w:t>
      </w:r>
      <w:r w:rsidRPr="00C321DA">
        <w:t>a condition that becomes increasingly binding as </w:t>
      </w:r>
      <w:r w:rsidR="004E2B1C">
        <w:t>T</w:t>
      </w:r>
      <w:r w:rsidRPr="00C321DA">
        <w:t xml:space="preserve"> shrinks. With only four annual observations per country–sector cell, the scope to trace delayed or gradual wage responses to technology adoption shocks is therefore inherently </w:t>
      </w:r>
      <w:r w:rsidRPr="00095E9F">
        <w:t>limited [</w:t>
      </w:r>
      <w:r w:rsidR="00121246" w:rsidRPr="00095E9F">
        <w:t>26</w:t>
      </w:r>
      <w:r w:rsidRPr="00095E9F">
        <w:t>].</w:t>
      </w:r>
      <w:r>
        <w:t xml:space="preserve"> </w:t>
      </w:r>
    </w:p>
    <w:p w14:paraId="4F9F2620" w14:textId="42582E90" w:rsidR="00CA57C6" w:rsidRPr="009964B4" w:rsidRDefault="00C321DA" w:rsidP="00EC25D3">
      <w:pPr>
        <w:pStyle w:val="Thesisbody"/>
      </w:pPr>
      <w:r w:rsidRPr="00C321DA">
        <w:t>Furthermore, relying on highly aggregated cross-sectional units introduces the risk of aggregation bias. Averaging data at the NACE</w:t>
      </w:r>
      <w:r w:rsidR="00573BE8">
        <w:t xml:space="preserve"> Rev 2.</w:t>
      </w:r>
      <w:r w:rsidRPr="00C321DA">
        <w:t xml:space="preserve"> one-digit letter level means that considerable micro-level heterogeneity across sub-industries, firm sizes, and occupational structures</w:t>
      </w:r>
      <w:r w:rsidR="00573BE8">
        <w:t>,</w:t>
      </w:r>
      <w:r w:rsidRPr="00C321DA">
        <w:t xml:space="preserve"> is absorbed into a single cell mean. This concern </w:t>
      </w:r>
      <w:r w:rsidR="00573BE8">
        <w:t>reflects</w:t>
      </w:r>
      <w:r w:rsidRPr="00C321DA">
        <w:t xml:space="preserve"> the limitation acknowledged directly </w:t>
      </w:r>
      <w:r w:rsidRPr="00AA44C2">
        <w:t xml:space="preserve">by </w:t>
      </w:r>
      <w:r w:rsidR="00573BE8" w:rsidRPr="00AA44C2">
        <w:t xml:space="preserve">Karol </w:t>
      </w:r>
      <w:r w:rsidRPr="00AA44C2">
        <w:t>Madoń, who</w:t>
      </w:r>
      <w:r w:rsidRPr="00C321DA">
        <w:t xml:space="preserve"> notes that to estimate causal effects of AI on wages </w:t>
      </w:r>
      <w:r w:rsidR="00573BE8">
        <w:t>“</w:t>
      </w:r>
      <w:r w:rsidRPr="00C321DA">
        <w:t>one should use firm-level data with information about technology adoption,</w:t>
      </w:r>
      <w:r w:rsidR="00573BE8">
        <w:t>”</w:t>
      </w:r>
      <w:r w:rsidRPr="00C321DA">
        <w:t xml:space="preserve"> and that results based on more aggregated or exposure-based measures </w:t>
      </w:r>
      <w:r w:rsidR="00573BE8">
        <w:t>“</w:t>
      </w:r>
      <w:r w:rsidRPr="00C321DA">
        <w:t>should be interpreted with caution and treated as a description of final allocation in equilibrium, rather than causal relationships</w:t>
      </w:r>
      <w:r w:rsidRPr="00AA44C2">
        <w:t>.</w:t>
      </w:r>
      <w:r w:rsidR="00573BE8" w:rsidRPr="00AA44C2">
        <w:t>” [</w:t>
      </w:r>
      <w:r w:rsidR="00AA44C2" w:rsidRPr="00AA44C2">
        <w:t>25</w:t>
      </w:r>
      <w:r w:rsidR="00573BE8" w:rsidRPr="00AA44C2">
        <w:t>]</w:t>
      </w:r>
      <w:r w:rsidRPr="00C321DA">
        <w:t xml:space="preserve"> These trade-offs are, however, unavoidable given the current state of Eurostat data availability. Because this period coincides precisely with the active diffusion phase of enterprise AI adoption across EU sectors, 2021–2024 remains the only feasible and substantively relevant observation window for testing the macro-level wage effects of actual AI adoption.</w:t>
      </w:r>
    </w:p>
    <w:p w14:paraId="27867B42" w14:textId="6FDC156D" w:rsidR="00CA57C6" w:rsidRDefault="00A911C4" w:rsidP="00A911C4">
      <w:pPr>
        <w:pStyle w:val="Thesisheading2"/>
      </w:pPr>
      <w:bookmarkStart w:id="25" w:name="_Toc230044134"/>
      <w:r>
        <w:t>2.</w:t>
      </w:r>
      <w:r w:rsidR="007F12B3">
        <w:t>2</w:t>
      </w:r>
      <w:r>
        <w:t>. Exploratory Data Analysis</w:t>
      </w:r>
      <w:bookmarkEnd w:id="25"/>
      <w:r>
        <w:t xml:space="preserve"> </w:t>
      </w:r>
    </w:p>
    <w:p w14:paraId="7F191584" w14:textId="7075E8A5" w:rsidR="0046122E" w:rsidRDefault="0046122E" w:rsidP="003E42F9">
      <w:pPr>
        <w:pStyle w:val="Thesisbody"/>
      </w:pPr>
      <w:r w:rsidRPr="0046122E">
        <w:t>The exploratory analysis presented in this section was conducted by the author. All code utilised for data preparation, visualisation, and subsequent econometric modelling is available in a publicly accessible repositor</w:t>
      </w:r>
      <w:r w:rsidRPr="004A2FE9">
        <w:t>y. [</w:t>
      </w:r>
      <w:r w:rsidR="004A2FE9" w:rsidRPr="004A2FE9">
        <w:t>27</w:t>
      </w:r>
      <w:r w:rsidRPr="004A2FE9">
        <w:t>]</w:t>
      </w:r>
    </w:p>
    <w:p w14:paraId="48C7B357" w14:textId="7AEBED96" w:rsidR="007F12B3" w:rsidRPr="007F12B3" w:rsidRDefault="007F12B3" w:rsidP="007F12B3">
      <w:pPr>
        <w:pStyle w:val="thesisheading3"/>
      </w:pPr>
      <w:bookmarkStart w:id="26" w:name="_Toc230044135"/>
      <w:r w:rsidRPr="007F12B3">
        <w:t>2.2.1. Sample composition and missingness patterns</w:t>
      </w:r>
      <w:bookmarkEnd w:id="26"/>
    </w:p>
    <w:p w14:paraId="7AADFC79" w14:textId="1A6FBE5F" w:rsidR="004703BE" w:rsidRPr="004703BE" w:rsidRDefault="004703BE" w:rsidP="003E42F9">
      <w:pPr>
        <w:pStyle w:val="Thesisbody"/>
      </w:pPr>
      <w:r w:rsidRPr="004703BE">
        <w:t xml:space="preserve">The empirical analysis is built on a multi-dimensional panel dataset spanning four years, from 2021 to 2024. </w:t>
      </w:r>
      <w:r w:rsidR="002A6D9C">
        <w:t>T</w:t>
      </w:r>
      <w:r w:rsidRPr="004703BE">
        <w:t xml:space="preserve">he sample </w:t>
      </w:r>
      <w:r w:rsidR="002A6D9C">
        <w:t>includes</w:t>
      </w:r>
      <w:r w:rsidRPr="004703BE">
        <w:t xml:space="preserve"> 25 European countries</w:t>
      </w:r>
      <w:r w:rsidR="002A6D9C">
        <w:t xml:space="preserve">: </w:t>
      </w:r>
      <w:r w:rsidRPr="004703BE">
        <w:t xml:space="preserve">Austria, Belgium, Bulgaria, </w:t>
      </w:r>
      <w:r w:rsidRPr="004703BE">
        <w:lastRenderedPageBreak/>
        <w:t>Cyprus, Czechia, Germany, Denmark, Estonia, Spain, Finland, France, Croatia, Hungary, Ireland, Italy, Lithuania, Latvia, Malta, the Netherlands, Norway, Poland, Portugal, Romania, Slovenia, Slovakia, and Sweden</w:t>
      </w:r>
      <w:r w:rsidR="002A6D9C">
        <w:t xml:space="preserve">. The data for these countries </w:t>
      </w:r>
      <w:r w:rsidRPr="004703BE">
        <w:t>provi</w:t>
      </w:r>
      <w:r w:rsidR="002A6D9C">
        <w:t>de</w:t>
      </w:r>
      <w:r w:rsidRPr="004703BE">
        <w:t xml:space="preserve"> broad coverage across income levels, institutional frameworks, and stages of digital development within the European economic area.</w:t>
      </w:r>
    </w:p>
    <w:p w14:paraId="5A2F0065" w14:textId="7FBB9CEC" w:rsidR="004703BE" w:rsidRPr="0046122E" w:rsidRDefault="004703BE" w:rsidP="003E42F9">
      <w:pPr>
        <w:pStyle w:val="Thesisbody"/>
      </w:pPr>
      <w:r w:rsidRPr="004703BE">
        <w:t>The sectoral dimension of the panel is defined at the one-digit level of the NACE Rev. 2 classification, yielding seven distinct economic activities that span both digitally intensive and traditionally labour-intensive segments of the European economy:</w:t>
      </w:r>
    </w:p>
    <w:p w14:paraId="3C180A16"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C</w:t>
      </w:r>
      <w:r w:rsidRPr="00EA04C9">
        <w:rPr>
          <w:rFonts w:ascii="Times New Roman" w:hAnsi="Times New Roman" w:cs="Times New Roman"/>
          <w:sz w:val="24"/>
          <w:szCs w:val="24"/>
        </w:rPr>
        <w:t> – Manufacturing</w:t>
      </w:r>
    </w:p>
    <w:p w14:paraId="0147D21A"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F</w:t>
      </w:r>
      <w:r w:rsidRPr="00EA04C9">
        <w:rPr>
          <w:rFonts w:ascii="Times New Roman" w:hAnsi="Times New Roman" w:cs="Times New Roman"/>
          <w:sz w:val="24"/>
          <w:szCs w:val="24"/>
        </w:rPr>
        <w:t> – Construction</w:t>
      </w:r>
    </w:p>
    <w:p w14:paraId="3B53D655"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G</w:t>
      </w:r>
      <w:r w:rsidRPr="00EA04C9">
        <w:rPr>
          <w:rFonts w:ascii="Times New Roman" w:hAnsi="Times New Roman" w:cs="Times New Roman"/>
          <w:sz w:val="24"/>
          <w:szCs w:val="24"/>
        </w:rPr>
        <w:t> – Wholesale and Retail Trade; Repair of Motor Vehicles</w:t>
      </w:r>
    </w:p>
    <w:p w14:paraId="1A525F23"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H</w:t>
      </w:r>
      <w:r w:rsidRPr="00EA04C9">
        <w:rPr>
          <w:rFonts w:ascii="Times New Roman" w:hAnsi="Times New Roman" w:cs="Times New Roman"/>
          <w:sz w:val="24"/>
          <w:szCs w:val="24"/>
        </w:rPr>
        <w:t> – Transportation and Storage</w:t>
      </w:r>
    </w:p>
    <w:p w14:paraId="65188200"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I</w:t>
      </w:r>
      <w:r w:rsidRPr="00EA04C9">
        <w:rPr>
          <w:rFonts w:ascii="Times New Roman" w:hAnsi="Times New Roman" w:cs="Times New Roman"/>
          <w:sz w:val="24"/>
          <w:szCs w:val="24"/>
        </w:rPr>
        <w:t> – Accommodation and Food Service Activities</w:t>
      </w:r>
    </w:p>
    <w:p w14:paraId="7840345B"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J</w:t>
      </w:r>
      <w:r w:rsidRPr="00EA04C9">
        <w:rPr>
          <w:rFonts w:ascii="Times New Roman" w:hAnsi="Times New Roman" w:cs="Times New Roman"/>
          <w:sz w:val="24"/>
          <w:szCs w:val="24"/>
        </w:rPr>
        <w:t> – Information and Communication</w:t>
      </w:r>
    </w:p>
    <w:p w14:paraId="522578A6" w14:textId="45F8E7E2" w:rsidR="00CA57C6"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N</w:t>
      </w:r>
      <w:r w:rsidRPr="00EA04C9">
        <w:rPr>
          <w:rFonts w:ascii="Times New Roman" w:hAnsi="Times New Roman" w:cs="Times New Roman"/>
          <w:sz w:val="24"/>
          <w:szCs w:val="24"/>
        </w:rPr>
        <w:t> – Administrative and Support Service Activities</w:t>
      </w:r>
    </w:p>
    <w:p w14:paraId="0FBFBB73" w14:textId="29CDDD3A" w:rsidR="00CA57C6" w:rsidRPr="00EA04C9" w:rsidRDefault="004703BE" w:rsidP="00E91088">
      <w:pPr>
        <w:pStyle w:val="Thesisbody"/>
      </w:pPr>
      <w:r w:rsidRPr="004703BE">
        <w:t>The seven</w:t>
      </w:r>
      <w:r w:rsidR="00056002">
        <w:t xml:space="preserve"> available</w:t>
      </w:r>
      <w:r w:rsidRPr="004703BE">
        <w:t xml:space="preserve"> activities collectively cover the full spectrum of AI readiness: from </w:t>
      </w:r>
      <w:r w:rsidR="002D4F7C">
        <w:t>s</w:t>
      </w:r>
      <w:r w:rsidRPr="004703BE">
        <w:t xml:space="preserve">ector J, which serves as the structural frontier of enterprise AI adoption and the natural reference category in the empirical model, to </w:t>
      </w:r>
      <w:r w:rsidR="00DF13EA">
        <w:t>s</w:t>
      </w:r>
      <w:r w:rsidRPr="004703BE">
        <w:t xml:space="preserve">ectors F and I, where technology penetration remains systemically low and the workforce is concentrated in manual, site-specific tasks. The observational unit throughout the analysis is a unique country–sector–year </w:t>
      </w:r>
      <w:r w:rsidR="00056002">
        <w:t xml:space="preserve">row </w:t>
      </w:r>
      <w:r w:rsidRPr="004703BE">
        <w:t>in the panel.</w:t>
      </w:r>
    </w:p>
    <w:p w14:paraId="4986E393" w14:textId="12F60DE9" w:rsidR="00CA57C6" w:rsidRPr="00E16CF4" w:rsidRDefault="005235EB" w:rsidP="00E16CF4">
      <w:pPr>
        <w:pStyle w:val="Thesisbody"/>
        <w:rPr>
          <w:lang w:val="ru-RU"/>
        </w:rPr>
      </w:pPr>
      <w:r w:rsidRPr="005235EB">
        <w:rPr>
          <w:noProof/>
        </w:rPr>
        <w:drawing>
          <wp:inline distT="0" distB="0" distL="0" distR="0" wp14:anchorId="04806AFB" wp14:editId="0E6129B4">
            <wp:extent cx="4921898" cy="3055158"/>
            <wp:effectExtent l="0" t="0" r="0" b="0"/>
            <wp:docPr id="21125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00105" name=""/>
                    <pic:cNvPicPr/>
                  </pic:nvPicPr>
                  <pic:blipFill>
                    <a:blip r:embed="rId10"/>
                    <a:stretch>
                      <a:fillRect/>
                    </a:stretch>
                  </pic:blipFill>
                  <pic:spPr>
                    <a:xfrm>
                      <a:off x="0" y="0"/>
                      <a:ext cx="4931199" cy="3060931"/>
                    </a:xfrm>
                    <a:prstGeom prst="rect">
                      <a:avLst/>
                    </a:prstGeom>
                  </pic:spPr>
                </pic:pic>
              </a:graphicData>
            </a:graphic>
          </wp:inline>
        </w:drawing>
      </w:r>
    </w:p>
    <w:p w14:paraId="5A712AA6" w14:textId="77777777" w:rsidR="00A45B4D" w:rsidRDefault="005235EB" w:rsidP="004B03EE">
      <w:pPr>
        <w:pStyle w:val="Figurethesis"/>
        <w:rPr>
          <w:rStyle w:val="FigurethesisChar"/>
          <w:highlight w:val="yellow"/>
        </w:rPr>
      </w:pPr>
      <w:r w:rsidRPr="00A45B4D">
        <w:rPr>
          <w:rStyle w:val="FigurethesisChar"/>
          <w:highlight w:val="yellow"/>
        </w:rPr>
        <w:lastRenderedPageBreak/>
        <w:t>Figure 1. Data coverage matrix: number of years with available observations per country and NACE Rev. 2 sector, 2021–2024.</w:t>
      </w:r>
    </w:p>
    <w:p w14:paraId="448C6F44" w14:textId="23ACCAC7" w:rsidR="002F13F0" w:rsidRPr="00A45B4D" w:rsidRDefault="002F13F0" w:rsidP="004B03EE">
      <w:pPr>
        <w:pStyle w:val="fig3thesis"/>
        <w:rPr>
          <w:highlight w:val="yellow"/>
        </w:rPr>
      </w:pPr>
      <w:r w:rsidRPr="002F13F0">
        <w:rPr>
          <w:highlight w:val="yellow"/>
        </w:rPr>
        <w:t>Filed to: years (number of annual observations, integer scale 0–4).</w:t>
      </w:r>
    </w:p>
    <w:p w14:paraId="56D54C1A" w14:textId="3D7C08FA" w:rsidR="00CA57C6" w:rsidRPr="00A45B4D" w:rsidRDefault="005235EB" w:rsidP="004B03EE">
      <w:pPr>
        <w:pStyle w:val="fig3thesis"/>
        <w:rPr>
          <w:sz w:val="24"/>
          <w:highlight w:val="yellow"/>
        </w:rPr>
      </w:pPr>
      <w:r w:rsidRPr="00A45B4D">
        <w:rPr>
          <w:rStyle w:val="fig3thesisChar"/>
          <w:highlight w:val="yellow"/>
        </w:rPr>
        <w:t>Source: own study based on Eurostat enterprise and labour market surveys (isoc_eb_ain2, isoc_ske_itspen2, isoc_ske_ittn2, nama_10_a64_e), 2021–2024.</w:t>
      </w:r>
    </w:p>
    <w:p w14:paraId="63C75F13" w14:textId="2B698BE4" w:rsidR="003B5EE3" w:rsidRDefault="0007359B" w:rsidP="00486C60">
      <w:pPr>
        <w:pStyle w:val="Thesisbody"/>
      </w:pPr>
      <w:r w:rsidRPr="0007359B">
        <w:t>Figure 1 confirms that the resulting dataset constitutes an </w:t>
      </w:r>
      <w:r w:rsidRPr="00260E50">
        <w:t>unbalanced panel</w:t>
      </w:r>
      <w:r w:rsidRPr="0007359B">
        <w:t>. The missing observations are not randomly distributed across time</w:t>
      </w:r>
      <w:r w:rsidR="003A50A9">
        <w:t>. T</w:t>
      </w:r>
      <w:r w:rsidRPr="0007359B">
        <w:t>hey are structurally absent for entire country–sector pairs across all four years. This pattern is econometrically significant: because the gaps reflect a persistent absence of reporting rather than isolated measurement failures, standard imputation methods cannot be applied without introducing systematic bias into the cross-sectional dimension. [</w:t>
      </w:r>
      <w:r w:rsidR="003A50A9">
        <w:t>28</w:t>
      </w:r>
      <w:r w:rsidRPr="0007359B">
        <w:t>]</w:t>
      </w:r>
    </w:p>
    <w:p w14:paraId="5170282B" w14:textId="2D705EF2" w:rsidR="00CA57C6" w:rsidRDefault="003A50A9" w:rsidP="00F91FC4">
      <w:pPr>
        <w:pStyle w:val="Thesisbody"/>
      </w:pPr>
      <w:r w:rsidRPr="003A50A9">
        <w:t>The spatial concentration of missingness is itself informative. It is disproportionately clustered in consumer-facing service Accommodation and Food Service Activities (I)</w:t>
      </w:r>
      <w:r w:rsidR="00FC7085">
        <w:t xml:space="preserve"> sector</w:t>
      </w:r>
      <w:r w:rsidRPr="003A50A9">
        <w:t xml:space="preserve"> and, Administrative and Support Services (N) </w:t>
      </w:r>
      <w:r w:rsidR="00FC7085">
        <w:t xml:space="preserve">sector. </w:t>
      </w:r>
      <w:r w:rsidRPr="003A50A9">
        <w:t>This non-random missingness pattern raises the possibility of </w:t>
      </w:r>
      <w:r w:rsidRPr="00CE4794">
        <w:t>structural selection:</w:t>
      </w:r>
      <w:r w:rsidRPr="003A50A9">
        <w:t xml:space="preserve"> countries and sectors that do report may be systematically more digitally advanced than those that do not, which would imply that the observed sample slightly overstates average AI adoption levels relative to the full European economy.</w:t>
      </w:r>
      <w:r w:rsidR="00C50E4E">
        <w:t xml:space="preserve"> </w:t>
      </w:r>
      <w:r w:rsidR="00C50E4E" w:rsidRPr="00C50E4E">
        <w:t>Given these constraints, all subsequent econometric estimations are conducted on the unbalanced panel as observed, employing robust estimators that account for unequally sized cross-sectional groups without requiring a balanced structure.</w:t>
      </w:r>
    </w:p>
    <w:p w14:paraId="32FA436F" w14:textId="3A5DDCB4" w:rsidR="00E37E4E" w:rsidRPr="00E37E4E" w:rsidRDefault="00E37E4E" w:rsidP="00E37E4E">
      <w:pPr>
        <w:pStyle w:val="thesisheading3"/>
      </w:pPr>
      <w:bookmarkStart w:id="27" w:name="_Toc230044136"/>
      <w:r w:rsidRPr="00E37E4E">
        <w:t>2.2.2. Summary statistics and variance decomposition</w:t>
      </w:r>
      <w:bookmarkEnd w:id="27"/>
    </w:p>
    <w:p w14:paraId="2659A101" w14:textId="472B6114" w:rsidR="001130EB" w:rsidRPr="00EA04C9" w:rsidRDefault="001130EB" w:rsidP="00CA57C6">
      <w:pPr>
        <w:jc w:val="both"/>
        <w:rPr>
          <w:rFonts w:ascii="Times New Roman" w:hAnsi="Times New Roman" w:cs="Times New Roman"/>
          <w:sz w:val="24"/>
          <w:szCs w:val="24"/>
        </w:rPr>
      </w:pPr>
      <w:r w:rsidRPr="001130EB">
        <w:rPr>
          <w:rFonts w:ascii="Times New Roman" w:hAnsi="Times New Roman" w:cs="Times New Roman"/>
          <w:b/>
          <w:bCs/>
          <w:sz w:val="24"/>
          <w:szCs w:val="24"/>
          <w:highlight w:val="yellow"/>
        </w:rPr>
        <w:t>Table 1.</w:t>
      </w:r>
      <w:r w:rsidRPr="001130EB">
        <w:rPr>
          <w:rFonts w:ascii="Times New Roman" w:hAnsi="Times New Roman" w:cs="Times New Roman"/>
          <w:sz w:val="24"/>
          <w:szCs w:val="24"/>
          <w:highlight w:val="yellow"/>
        </w:rPr>
        <w:t> Summary statistics of panel variables for selected European countries, 2021–2024.</w:t>
      </w:r>
    </w:p>
    <w:tbl>
      <w:tblPr>
        <w:tblStyle w:val="TableGrid"/>
        <w:tblW w:w="0" w:type="auto"/>
        <w:tblLayout w:type="fixed"/>
        <w:tblLook w:val="04A0" w:firstRow="1" w:lastRow="0" w:firstColumn="1" w:lastColumn="0" w:noHBand="0" w:noVBand="1"/>
      </w:tblPr>
      <w:tblGrid>
        <w:gridCol w:w="1413"/>
        <w:gridCol w:w="1276"/>
        <w:gridCol w:w="992"/>
        <w:gridCol w:w="1134"/>
        <w:gridCol w:w="1276"/>
        <w:gridCol w:w="1417"/>
        <w:gridCol w:w="1508"/>
      </w:tblGrid>
      <w:tr w:rsidR="00CA57C6" w:rsidRPr="00EA04C9" w14:paraId="161D3A8D" w14:textId="77777777" w:rsidTr="00CE126F">
        <w:tc>
          <w:tcPr>
            <w:tcW w:w="1413" w:type="dxa"/>
          </w:tcPr>
          <w:p w14:paraId="56C1D5E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Variable</w:t>
            </w:r>
          </w:p>
        </w:tc>
        <w:tc>
          <w:tcPr>
            <w:tcW w:w="1276" w:type="dxa"/>
          </w:tcPr>
          <w:p w14:paraId="65390345"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Mean</w:t>
            </w:r>
          </w:p>
        </w:tc>
        <w:tc>
          <w:tcPr>
            <w:tcW w:w="992" w:type="dxa"/>
          </w:tcPr>
          <w:p w14:paraId="573F58EA"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Min</w:t>
            </w:r>
          </w:p>
        </w:tc>
        <w:tc>
          <w:tcPr>
            <w:tcW w:w="1134" w:type="dxa"/>
          </w:tcPr>
          <w:p w14:paraId="3442E39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Max</w:t>
            </w:r>
          </w:p>
        </w:tc>
        <w:tc>
          <w:tcPr>
            <w:tcW w:w="1276" w:type="dxa"/>
          </w:tcPr>
          <w:p w14:paraId="05222F37"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Overall_Std</w:t>
            </w:r>
          </w:p>
        </w:tc>
        <w:tc>
          <w:tcPr>
            <w:tcW w:w="1417" w:type="dxa"/>
          </w:tcPr>
          <w:p w14:paraId="0B7A012A"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Between_Std</w:t>
            </w:r>
          </w:p>
        </w:tc>
        <w:tc>
          <w:tcPr>
            <w:tcW w:w="1508" w:type="dxa"/>
          </w:tcPr>
          <w:p w14:paraId="628B53DD"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Within_Std</w:t>
            </w:r>
          </w:p>
        </w:tc>
      </w:tr>
      <w:tr w:rsidR="00CA57C6" w:rsidRPr="00EA04C9" w14:paraId="37F52476" w14:textId="77777777" w:rsidTr="00CE126F">
        <w:tc>
          <w:tcPr>
            <w:tcW w:w="1413" w:type="dxa"/>
          </w:tcPr>
          <w:p w14:paraId="7A5BF0F6"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real_wage    </w:t>
            </w:r>
          </w:p>
        </w:tc>
        <w:tc>
          <w:tcPr>
            <w:tcW w:w="1276" w:type="dxa"/>
          </w:tcPr>
          <w:p w14:paraId="343800F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16.59</w:t>
            </w:r>
          </w:p>
        </w:tc>
        <w:tc>
          <w:tcPr>
            <w:tcW w:w="992" w:type="dxa"/>
          </w:tcPr>
          <w:p w14:paraId="638A8183"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4.67</w:t>
            </w:r>
          </w:p>
        </w:tc>
        <w:tc>
          <w:tcPr>
            <w:tcW w:w="1134" w:type="dxa"/>
          </w:tcPr>
          <w:p w14:paraId="539760B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50.00</w:t>
            </w:r>
          </w:p>
        </w:tc>
        <w:tc>
          <w:tcPr>
            <w:tcW w:w="1276" w:type="dxa"/>
          </w:tcPr>
          <w:p w14:paraId="7167574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9.60</w:t>
            </w:r>
          </w:p>
        </w:tc>
        <w:tc>
          <w:tcPr>
            <w:tcW w:w="1417" w:type="dxa"/>
          </w:tcPr>
          <w:p w14:paraId="248C1B1B"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9.59</w:t>
            </w:r>
          </w:p>
        </w:tc>
        <w:tc>
          <w:tcPr>
            <w:tcW w:w="1508" w:type="dxa"/>
          </w:tcPr>
          <w:p w14:paraId="2DF8AC4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0.80</w:t>
            </w:r>
          </w:p>
        </w:tc>
      </w:tr>
      <w:tr w:rsidR="00CA57C6" w:rsidRPr="00EA04C9" w14:paraId="5149A48F" w14:textId="77777777" w:rsidTr="00CE126F">
        <w:tc>
          <w:tcPr>
            <w:tcW w:w="1413" w:type="dxa"/>
          </w:tcPr>
          <w:p w14:paraId="52849D74"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ai_adoption        </w:t>
            </w:r>
          </w:p>
        </w:tc>
        <w:tc>
          <w:tcPr>
            <w:tcW w:w="1276" w:type="dxa"/>
          </w:tcPr>
          <w:p w14:paraId="44995C2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10.87</w:t>
            </w:r>
          </w:p>
        </w:tc>
        <w:tc>
          <w:tcPr>
            <w:tcW w:w="992" w:type="dxa"/>
          </w:tcPr>
          <w:p w14:paraId="4A705AE5"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0.05</w:t>
            </w:r>
          </w:p>
        </w:tc>
        <w:tc>
          <w:tcPr>
            <w:tcW w:w="1134" w:type="dxa"/>
          </w:tcPr>
          <w:p w14:paraId="535BD52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68.30</w:t>
            </w:r>
          </w:p>
        </w:tc>
        <w:tc>
          <w:tcPr>
            <w:tcW w:w="1276" w:type="dxa"/>
          </w:tcPr>
          <w:p w14:paraId="050D7B2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11.63</w:t>
            </w:r>
          </w:p>
        </w:tc>
        <w:tc>
          <w:tcPr>
            <w:tcW w:w="1417" w:type="dxa"/>
          </w:tcPr>
          <w:p w14:paraId="713A91A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10.73</w:t>
            </w:r>
          </w:p>
        </w:tc>
        <w:tc>
          <w:tcPr>
            <w:tcW w:w="1508" w:type="dxa"/>
          </w:tcPr>
          <w:p w14:paraId="6EF1E777"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4.54</w:t>
            </w:r>
          </w:p>
        </w:tc>
      </w:tr>
      <w:tr w:rsidR="00CA57C6" w:rsidRPr="00EA04C9" w14:paraId="0373325E" w14:textId="77777777" w:rsidTr="00CE126F">
        <w:tc>
          <w:tcPr>
            <w:tcW w:w="1413" w:type="dxa"/>
          </w:tcPr>
          <w:p w14:paraId="113AE42F"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spec_ict    </w:t>
            </w:r>
          </w:p>
        </w:tc>
        <w:tc>
          <w:tcPr>
            <w:tcW w:w="1276" w:type="dxa"/>
          </w:tcPr>
          <w:p w14:paraId="1B509793"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26.59</w:t>
            </w:r>
          </w:p>
        </w:tc>
        <w:tc>
          <w:tcPr>
            <w:tcW w:w="992" w:type="dxa"/>
          </w:tcPr>
          <w:p w14:paraId="7DD3943A"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1.58</w:t>
            </w:r>
          </w:p>
        </w:tc>
        <w:tc>
          <w:tcPr>
            <w:tcW w:w="1134" w:type="dxa"/>
          </w:tcPr>
          <w:p w14:paraId="38EA6D4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98.25</w:t>
            </w:r>
          </w:p>
        </w:tc>
        <w:tc>
          <w:tcPr>
            <w:tcW w:w="1276" w:type="dxa"/>
          </w:tcPr>
          <w:p w14:paraId="146E3DF1"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23.56</w:t>
            </w:r>
          </w:p>
        </w:tc>
        <w:tc>
          <w:tcPr>
            <w:tcW w:w="1417" w:type="dxa"/>
          </w:tcPr>
          <w:p w14:paraId="644B0C88"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23.58</w:t>
            </w:r>
          </w:p>
        </w:tc>
        <w:tc>
          <w:tcPr>
            <w:tcW w:w="1508" w:type="dxa"/>
          </w:tcPr>
          <w:p w14:paraId="2E2CB04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1.57</w:t>
            </w:r>
          </w:p>
        </w:tc>
      </w:tr>
      <w:tr w:rsidR="00CA57C6" w:rsidRPr="00EA04C9" w14:paraId="09D8BA69" w14:textId="77777777" w:rsidTr="00CE126F">
        <w:tc>
          <w:tcPr>
            <w:tcW w:w="1413" w:type="dxa"/>
          </w:tcPr>
          <w:p w14:paraId="755FF7D1"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training_ict          </w:t>
            </w:r>
          </w:p>
        </w:tc>
        <w:tc>
          <w:tcPr>
            <w:tcW w:w="1276" w:type="dxa"/>
          </w:tcPr>
          <w:p w14:paraId="7DB30B8D"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25.89</w:t>
            </w:r>
          </w:p>
        </w:tc>
        <w:tc>
          <w:tcPr>
            <w:tcW w:w="992" w:type="dxa"/>
          </w:tcPr>
          <w:p w14:paraId="58CF1F8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3.03</w:t>
            </w:r>
          </w:p>
        </w:tc>
        <w:tc>
          <w:tcPr>
            <w:tcW w:w="1134" w:type="dxa"/>
          </w:tcPr>
          <w:p w14:paraId="1CF948E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84.70</w:t>
            </w:r>
          </w:p>
        </w:tc>
        <w:tc>
          <w:tcPr>
            <w:tcW w:w="1276" w:type="dxa"/>
          </w:tcPr>
          <w:p w14:paraId="226E64A4"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18.37</w:t>
            </w:r>
          </w:p>
        </w:tc>
        <w:tc>
          <w:tcPr>
            <w:tcW w:w="1417" w:type="dxa"/>
          </w:tcPr>
          <w:p w14:paraId="0017AD31"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18.33</w:t>
            </w:r>
          </w:p>
        </w:tc>
        <w:tc>
          <w:tcPr>
            <w:tcW w:w="1508" w:type="dxa"/>
          </w:tcPr>
          <w:p w14:paraId="275BDA7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1.82</w:t>
            </w:r>
          </w:p>
        </w:tc>
      </w:tr>
      <w:tr w:rsidR="00CA57C6" w:rsidRPr="00EA04C9" w14:paraId="4C7F4112" w14:textId="77777777" w:rsidTr="00CE126F">
        <w:tc>
          <w:tcPr>
            <w:tcW w:w="1413" w:type="dxa"/>
          </w:tcPr>
          <w:p w14:paraId="5A741194"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productivity   </w:t>
            </w:r>
          </w:p>
        </w:tc>
        <w:tc>
          <w:tcPr>
            <w:tcW w:w="1276" w:type="dxa"/>
          </w:tcPr>
          <w:p w14:paraId="31D346E3"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70.04</w:t>
            </w:r>
          </w:p>
        </w:tc>
        <w:tc>
          <w:tcPr>
            <w:tcW w:w="992" w:type="dxa"/>
          </w:tcPr>
          <w:p w14:paraId="1153506E"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13.66</w:t>
            </w:r>
          </w:p>
        </w:tc>
        <w:tc>
          <w:tcPr>
            <w:tcW w:w="1134" w:type="dxa"/>
          </w:tcPr>
          <w:p w14:paraId="444136E5"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665.90</w:t>
            </w:r>
          </w:p>
        </w:tc>
        <w:tc>
          <w:tcPr>
            <w:tcW w:w="1276" w:type="dxa"/>
          </w:tcPr>
          <w:p w14:paraId="14E3CC1B"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71.95</w:t>
            </w:r>
          </w:p>
        </w:tc>
        <w:tc>
          <w:tcPr>
            <w:tcW w:w="1417" w:type="dxa"/>
          </w:tcPr>
          <w:p w14:paraId="0219E448"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71.46</w:t>
            </w:r>
          </w:p>
        </w:tc>
        <w:tc>
          <w:tcPr>
            <w:tcW w:w="1508" w:type="dxa"/>
          </w:tcPr>
          <w:p w14:paraId="365741A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9.96</w:t>
            </w:r>
          </w:p>
        </w:tc>
      </w:tr>
      <w:tr w:rsidR="00CA57C6" w:rsidRPr="00EA04C9" w14:paraId="0AA05EA7" w14:textId="77777777" w:rsidTr="00CE126F">
        <w:tc>
          <w:tcPr>
            <w:tcW w:w="1413" w:type="dxa"/>
          </w:tcPr>
          <w:p w14:paraId="48F03B5C"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gdp </w:t>
            </w:r>
          </w:p>
        </w:tc>
        <w:tc>
          <w:tcPr>
            <w:tcW w:w="1276" w:type="dxa"/>
          </w:tcPr>
          <w:p w14:paraId="432220D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37223.88</w:t>
            </w:r>
          </w:p>
        </w:tc>
        <w:tc>
          <w:tcPr>
            <w:tcW w:w="992" w:type="dxa"/>
          </w:tcPr>
          <w:p w14:paraId="0F53ECC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10960.00</w:t>
            </w:r>
          </w:p>
        </w:tc>
        <w:tc>
          <w:tcPr>
            <w:tcW w:w="1134" w:type="dxa"/>
          </w:tcPr>
          <w:p w14:paraId="21B0032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104510.00</w:t>
            </w:r>
          </w:p>
        </w:tc>
        <w:tc>
          <w:tcPr>
            <w:tcW w:w="1276" w:type="dxa"/>
          </w:tcPr>
          <w:p w14:paraId="7876067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21130.78</w:t>
            </w:r>
          </w:p>
        </w:tc>
        <w:tc>
          <w:tcPr>
            <w:tcW w:w="1417" w:type="dxa"/>
          </w:tcPr>
          <w:p w14:paraId="62E2395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20905.19</w:t>
            </w:r>
          </w:p>
        </w:tc>
        <w:tc>
          <w:tcPr>
            <w:tcW w:w="1508" w:type="dxa"/>
          </w:tcPr>
          <w:p w14:paraId="1BBF07F1"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3454.54</w:t>
            </w:r>
          </w:p>
        </w:tc>
      </w:tr>
      <w:tr w:rsidR="00CA57C6" w:rsidRPr="00EA04C9" w14:paraId="209A1F53" w14:textId="77777777" w:rsidTr="00CE126F">
        <w:tc>
          <w:tcPr>
            <w:tcW w:w="1413" w:type="dxa"/>
          </w:tcPr>
          <w:p w14:paraId="455BE5B0" w14:textId="77777777" w:rsidR="00CA57C6" w:rsidRPr="00196233" w:rsidRDefault="00CA57C6" w:rsidP="00CE126F">
            <w:pP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unempl_r     </w:t>
            </w:r>
          </w:p>
        </w:tc>
        <w:tc>
          <w:tcPr>
            <w:tcW w:w="1276" w:type="dxa"/>
          </w:tcPr>
          <w:p w14:paraId="7187738A"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5.79</w:t>
            </w:r>
          </w:p>
        </w:tc>
        <w:tc>
          <w:tcPr>
            <w:tcW w:w="992" w:type="dxa"/>
          </w:tcPr>
          <w:p w14:paraId="746876D5"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2.20</w:t>
            </w:r>
          </w:p>
        </w:tc>
        <w:tc>
          <w:tcPr>
            <w:tcW w:w="1134" w:type="dxa"/>
          </w:tcPr>
          <w:p w14:paraId="66A3B367"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14.90</w:t>
            </w:r>
          </w:p>
        </w:tc>
        <w:tc>
          <w:tcPr>
            <w:tcW w:w="1276" w:type="dxa"/>
          </w:tcPr>
          <w:p w14:paraId="31265128"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2.40</w:t>
            </w:r>
          </w:p>
        </w:tc>
        <w:tc>
          <w:tcPr>
            <w:tcW w:w="1417" w:type="dxa"/>
          </w:tcPr>
          <w:p w14:paraId="2604441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2.33</w:t>
            </w:r>
          </w:p>
        </w:tc>
        <w:tc>
          <w:tcPr>
            <w:tcW w:w="1508" w:type="dxa"/>
          </w:tcPr>
          <w:p w14:paraId="0CB54163"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0.60</w:t>
            </w:r>
          </w:p>
        </w:tc>
      </w:tr>
      <w:tr w:rsidR="00CA57C6" w:rsidRPr="00EA04C9" w14:paraId="6F826CBC" w14:textId="77777777" w:rsidTr="00CE126F">
        <w:tc>
          <w:tcPr>
            <w:tcW w:w="1413" w:type="dxa"/>
          </w:tcPr>
          <w:p w14:paraId="53B07B02"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infl_r     </w:t>
            </w:r>
          </w:p>
        </w:tc>
        <w:tc>
          <w:tcPr>
            <w:tcW w:w="1276" w:type="dxa"/>
          </w:tcPr>
          <w:p w14:paraId="346BDCF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5.96</w:t>
            </w:r>
          </w:p>
        </w:tc>
        <w:tc>
          <w:tcPr>
            <w:tcW w:w="992" w:type="dxa"/>
          </w:tcPr>
          <w:p w14:paraId="2909808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0.70</w:t>
            </w:r>
          </w:p>
        </w:tc>
        <w:tc>
          <w:tcPr>
            <w:tcW w:w="1134" w:type="dxa"/>
          </w:tcPr>
          <w:p w14:paraId="6C953BE5"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19.40</w:t>
            </w:r>
          </w:p>
        </w:tc>
        <w:tc>
          <w:tcPr>
            <w:tcW w:w="1276" w:type="dxa"/>
          </w:tcPr>
          <w:p w14:paraId="3427B38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4.28</w:t>
            </w:r>
          </w:p>
        </w:tc>
        <w:tc>
          <w:tcPr>
            <w:tcW w:w="1417" w:type="dxa"/>
          </w:tcPr>
          <w:p w14:paraId="721E4AAE"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1.95</w:t>
            </w:r>
          </w:p>
        </w:tc>
        <w:tc>
          <w:tcPr>
            <w:tcW w:w="1508" w:type="dxa"/>
          </w:tcPr>
          <w:p w14:paraId="0F23E7DB"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3.81</w:t>
            </w:r>
          </w:p>
        </w:tc>
      </w:tr>
      <w:tr w:rsidR="00CA57C6" w:rsidRPr="00EA04C9" w14:paraId="3CF4ED91" w14:textId="77777777" w:rsidTr="00CE126F">
        <w:tc>
          <w:tcPr>
            <w:tcW w:w="1413" w:type="dxa"/>
          </w:tcPr>
          <w:p w14:paraId="799260A1"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FSI    </w:t>
            </w:r>
          </w:p>
        </w:tc>
        <w:tc>
          <w:tcPr>
            <w:tcW w:w="1276" w:type="dxa"/>
          </w:tcPr>
          <w:p w14:paraId="7F91F5E6"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32.35</w:t>
            </w:r>
          </w:p>
        </w:tc>
        <w:tc>
          <w:tcPr>
            <w:tcW w:w="992" w:type="dxa"/>
          </w:tcPr>
          <w:p w14:paraId="1D936AA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0.00</w:t>
            </w:r>
          </w:p>
        </w:tc>
        <w:tc>
          <w:tcPr>
            <w:tcW w:w="1134" w:type="dxa"/>
          </w:tcPr>
          <w:p w14:paraId="3B70148A"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66.47</w:t>
            </w:r>
          </w:p>
        </w:tc>
        <w:tc>
          <w:tcPr>
            <w:tcW w:w="1276" w:type="dxa"/>
          </w:tcPr>
          <w:p w14:paraId="55D0B39E"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15.46</w:t>
            </w:r>
          </w:p>
        </w:tc>
        <w:tc>
          <w:tcPr>
            <w:tcW w:w="1417" w:type="dxa"/>
          </w:tcPr>
          <w:p w14:paraId="4287AB2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15.45</w:t>
            </w:r>
          </w:p>
        </w:tc>
        <w:tc>
          <w:tcPr>
            <w:tcW w:w="1508" w:type="dxa"/>
          </w:tcPr>
          <w:p w14:paraId="69BE19E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1.36</w:t>
            </w:r>
          </w:p>
        </w:tc>
      </w:tr>
      <w:tr w:rsidR="00CA57C6" w:rsidRPr="00EA04C9" w14:paraId="7CE4BD39" w14:textId="77777777" w:rsidTr="00CE126F">
        <w:tc>
          <w:tcPr>
            <w:tcW w:w="1413" w:type="dxa"/>
          </w:tcPr>
          <w:p w14:paraId="1B4A9910"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share_high_skill    </w:t>
            </w:r>
          </w:p>
        </w:tc>
        <w:tc>
          <w:tcPr>
            <w:tcW w:w="1276" w:type="dxa"/>
          </w:tcPr>
          <w:p w14:paraId="17DEB5E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36.04</w:t>
            </w:r>
          </w:p>
        </w:tc>
        <w:tc>
          <w:tcPr>
            <w:tcW w:w="992" w:type="dxa"/>
          </w:tcPr>
          <w:p w14:paraId="55F6515D"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8.04</w:t>
            </w:r>
          </w:p>
        </w:tc>
        <w:tc>
          <w:tcPr>
            <w:tcW w:w="1134" w:type="dxa"/>
          </w:tcPr>
          <w:p w14:paraId="659C37D2"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96.43</w:t>
            </w:r>
          </w:p>
        </w:tc>
        <w:tc>
          <w:tcPr>
            <w:tcW w:w="1276" w:type="dxa"/>
          </w:tcPr>
          <w:p w14:paraId="351667BB"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23.82</w:t>
            </w:r>
          </w:p>
        </w:tc>
        <w:tc>
          <w:tcPr>
            <w:tcW w:w="1417" w:type="dxa"/>
          </w:tcPr>
          <w:p w14:paraId="37962EC0"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23.83</w:t>
            </w:r>
          </w:p>
        </w:tc>
        <w:tc>
          <w:tcPr>
            <w:tcW w:w="1508" w:type="dxa"/>
          </w:tcPr>
          <w:p w14:paraId="178C4FF9"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1.59</w:t>
            </w:r>
          </w:p>
        </w:tc>
      </w:tr>
      <w:tr w:rsidR="00CA57C6" w:rsidRPr="00EA04C9" w14:paraId="3B5DA2F7" w14:textId="77777777" w:rsidTr="00CE126F">
        <w:trPr>
          <w:trHeight w:val="166"/>
        </w:trPr>
        <w:tc>
          <w:tcPr>
            <w:tcW w:w="1413" w:type="dxa"/>
          </w:tcPr>
          <w:p w14:paraId="6E3C35A1" w14:textId="77777777" w:rsidR="00CA57C6" w:rsidRPr="00196233" w:rsidRDefault="00CA57C6" w:rsidP="00CE126F">
            <w:pPr>
              <w:jc w:val="right"/>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 xml:space="preserve">      tert_edu    </w:t>
            </w:r>
          </w:p>
        </w:tc>
        <w:tc>
          <w:tcPr>
            <w:tcW w:w="1276" w:type="dxa"/>
          </w:tcPr>
          <w:p w14:paraId="16E2607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31.06</w:t>
            </w:r>
          </w:p>
        </w:tc>
        <w:tc>
          <w:tcPr>
            <w:tcW w:w="992" w:type="dxa"/>
          </w:tcPr>
          <w:p w14:paraId="059C971F"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4.60</w:t>
            </w:r>
          </w:p>
        </w:tc>
        <w:tc>
          <w:tcPr>
            <w:tcW w:w="1134" w:type="dxa"/>
          </w:tcPr>
          <w:p w14:paraId="635E2F77"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85.50</w:t>
            </w:r>
          </w:p>
        </w:tc>
        <w:tc>
          <w:tcPr>
            <w:tcW w:w="1276" w:type="dxa"/>
          </w:tcPr>
          <w:p w14:paraId="2F4FD2B4"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18.81</w:t>
            </w:r>
          </w:p>
        </w:tc>
        <w:tc>
          <w:tcPr>
            <w:tcW w:w="1417" w:type="dxa"/>
          </w:tcPr>
          <w:p w14:paraId="24532181"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18.80</w:t>
            </w:r>
          </w:p>
        </w:tc>
        <w:tc>
          <w:tcPr>
            <w:tcW w:w="1508" w:type="dxa"/>
          </w:tcPr>
          <w:p w14:paraId="24390ABC" w14:textId="77777777" w:rsidR="00CA57C6" w:rsidRPr="00196233" w:rsidRDefault="00CA57C6" w:rsidP="00CE126F">
            <w:pPr>
              <w:jc w:val="center"/>
              <w:rPr>
                <w:rFonts w:ascii="Times New Roman" w:hAnsi="Times New Roman" w:cs="Times New Roman"/>
                <w:color w:val="000000" w:themeColor="text1"/>
                <w:sz w:val="20"/>
                <w:szCs w:val="20"/>
              </w:rPr>
            </w:pPr>
            <w:r w:rsidRPr="00196233">
              <w:rPr>
                <w:rFonts w:ascii="Times New Roman" w:hAnsi="Times New Roman" w:cs="Times New Roman"/>
                <w:color w:val="000000" w:themeColor="text1"/>
                <w:sz w:val="20"/>
                <w:szCs w:val="20"/>
              </w:rPr>
              <w:t>1.57</w:t>
            </w:r>
          </w:p>
        </w:tc>
      </w:tr>
    </w:tbl>
    <w:p w14:paraId="7E8F3404" w14:textId="0A54DEA4" w:rsidR="008A3449" w:rsidRDefault="001130EB" w:rsidP="00CA57C6">
      <w:pPr>
        <w:rPr>
          <w:rFonts w:ascii="Times New Roman" w:hAnsi="Times New Roman" w:cs="Times New Roman"/>
          <w:sz w:val="24"/>
          <w:szCs w:val="24"/>
        </w:rPr>
      </w:pPr>
      <w:r w:rsidRPr="001130EB">
        <w:rPr>
          <w:rFonts w:ascii="Times New Roman" w:hAnsi="Times New Roman" w:cs="Times New Roman"/>
          <w:sz w:val="24"/>
          <w:szCs w:val="24"/>
          <w:highlight w:val="yellow"/>
        </w:rPr>
        <w:t>Source: own study based on Eurostat enterprise and labour market surveys: isoc_eb_ain2, isoc_ske_itspen2, isoc_ske_ittn2, nama_10_a64_e, sbs_sc_ovw, lfsa_eisn2, edat_lfs_9910, tps00203, tec00118, nama_10_pc, 2021–2024.</w:t>
      </w:r>
    </w:p>
    <w:p w14:paraId="07AD7A4B" w14:textId="5F140C40" w:rsidR="008A3449" w:rsidRDefault="008A3449" w:rsidP="00FB4BE9">
      <w:pPr>
        <w:pStyle w:val="Thesisbody"/>
      </w:pPr>
      <w:r w:rsidRPr="008A3449">
        <w:lastRenderedPageBreak/>
        <w:t xml:space="preserve">Table 1 presents summary statistics for all panel variables, decomposed into overall, between, and within standard deviations. The between–within decomposition is the single most informative structural feature of the dataset: for almost every variable, between-group variation vastly dominates within-group variation over time. Real wages, labour productivity, AI adoption, ICT </w:t>
      </w:r>
      <w:r>
        <w:t>complementarity</w:t>
      </w:r>
      <w:r w:rsidRPr="008A3449">
        <w:t xml:space="preserve">, and all structural controls exhibit between-to-within standard deviation ratios of between 6:1 and 17:1. This confirms that the European wage and technology landscape is characterised by deep, persistent structural heterogeneity across sectors and countries rather than by rapid dynamic change within entities over the four-year window. </w:t>
      </w:r>
      <w:r w:rsidRPr="00ED353B">
        <w:rPr>
          <w:highlight w:val="yellow"/>
        </w:rPr>
        <w:t>From an econometric perspective, this dominance of between variance is the primary quantitative justification for the</w:t>
      </w:r>
      <w:r w:rsidR="00BA5ADA" w:rsidRPr="00ED353B">
        <w:rPr>
          <w:highlight w:val="yellow"/>
        </w:rPr>
        <w:t xml:space="preserve"> model</w:t>
      </w:r>
      <w:r w:rsidRPr="00ED353B">
        <w:rPr>
          <w:highlight w:val="yellow"/>
        </w:rPr>
        <w:t>, which explicitly models both the cross-sectional level differences and the within-entity deviations as separate identification channels.</w:t>
      </w:r>
      <w:r w:rsidR="00BA5ADA" w:rsidRPr="00ED353B">
        <w:rPr>
          <w:highlight w:val="yellow"/>
        </w:rPr>
        <w:t xml:space="preserve"> Correlated Random Effects model could one of the models suits for this specification.</w:t>
      </w:r>
      <w:r w:rsidR="00BA5ADA">
        <w:t xml:space="preserve"> </w:t>
      </w:r>
    </w:p>
    <w:p w14:paraId="21907B92" w14:textId="6B5424CF" w:rsidR="008A3449" w:rsidRDefault="00ED353B" w:rsidP="00FB4BE9">
      <w:pPr>
        <w:pStyle w:val="Thesisbody"/>
      </w:pPr>
      <w:r w:rsidRPr="00ED353B">
        <w:t>The sole exception is the inflation rate, where within-standard deviation (3.81) substantially exceeds between-standard deviation (1.95)</w:t>
      </w:r>
      <w:r>
        <w:t xml:space="preserve">. </w:t>
      </w:r>
      <w:r w:rsidRPr="00ED353B">
        <w:t>This confirms that inflation operated as a common time-series shock rather than a structural cross-country difference across the sample period</w:t>
      </w:r>
      <w:r>
        <w:t>. This pattern</w:t>
      </w:r>
      <w:r w:rsidRPr="00ED353B">
        <w:t xml:space="preserve"> consistent with the energy-price surge of 2022–2023 that affected all EU economies simultaneously</w:t>
      </w:r>
      <w:r w:rsidR="008D095D">
        <w:t xml:space="preserve"> [29]</w:t>
      </w:r>
      <w:r w:rsidRPr="00ED353B">
        <w:t>. Unemployment, by contrast, is almost entirely structural (Between_Std = 2.33, Within_Std = 0.60): countries with persistently high unemployment at the start of the panel retained that position throughout.</w:t>
      </w:r>
    </w:p>
    <w:p w14:paraId="645D9FD0" w14:textId="2D84A5A5" w:rsidR="008A3449" w:rsidRDefault="00ED353B" w:rsidP="00FB4BE9">
      <w:pPr>
        <w:pStyle w:val="Thesisbody"/>
      </w:pPr>
      <w:r w:rsidRPr="00ED353B">
        <w:t xml:space="preserve">Two further observations bear directly on the modelling strategy. First, the average AI adoption rate of 10.87% is low relative to the ICT </w:t>
      </w:r>
      <w:r>
        <w:t>complementarity</w:t>
      </w:r>
      <w:r w:rsidRPr="00ED353B">
        <w:t xml:space="preserve"> variables (spec_ict mean = 26.59%; training_ict mean = 25.89%), confirming that enterprise AI integration remains an early-diffusion phenomenon even while broader digital infrastructure is well established. Second, share_high_skill and tert_edu are effectively time-invariant over this panel (Within_Std ≈ 1.5 for both), which means they function as structural baseline controls rather than dynamic predictors and must be treated accordingly in the fixed-effects specifications to avoid absorbing country-level variation.</w:t>
      </w:r>
    </w:p>
    <w:p w14:paraId="7615F357" w14:textId="7ECE5D91" w:rsidR="00450BB5" w:rsidRDefault="000134C0" w:rsidP="00FB4BE9">
      <w:pPr>
        <w:pStyle w:val="Thesisbody"/>
      </w:pPr>
      <w:r w:rsidRPr="000134C0">
        <w:t xml:space="preserve">The distributional properties of all variables are examined in full in Figure A1 (Appendix). Two findings carry direct implications for functional form in the regression specifications. </w:t>
      </w:r>
      <w:r w:rsidR="006A3D5C" w:rsidRPr="006A3D5C">
        <w:t>First, the three monetary variables</w:t>
      </w:r>
      <w:r w:rsidR="005E3931">
        <w:t>,</w:t>
      </w:r>
      <w:r w:rsidR="00A236CB">
        <w:t xml:space="preserve"> </w:t>
      </w:r>
      <w:r w:rsidR="006A3D5C" w:rsidRPr="006A3D5C">
        <w:t>real wages, labour productivity, and GDP per capita</w:t>
      </w:r>
      <w:r w:rsidR="005E3931">
        <w:t xml:space="preserve">, </w:t>
      </w:r>
      <w:r w:rsidR="006A3D5C" w:rsidRPr="006A3D5C">
        <w:t xml:space="preserve"> exhibit moderate to severe right skew and are </w:t>
      </w:r>
      <w:r w:rsidR="007B5E76">
        <w:t xml:space="preserve">would be </w:t>
      </w:r>
      <w:r w:rsidR="006A3D5C" w:rsidRPr="006A3D5C">
        <w:t>entered in natural logarithm form in all subsequent specifications. </w:t>
      </w:r>
      <w:r w:rsidRPr="000134C0">
        <w:t xml:space="preserve">Second, share_high_skill and FSI display bimodal </w:t>
      </w:r>
      <w:r w:rsidRPr="000134C0">
        <w:lastRenderedPageBreak/>
        <w:t>distributions, reflecting the structural split between predominantly manual sectors</w:t>
      </w:r>
      <w:r w:rsidR="003C38C0">
        <w:t xml:space="preserve"> </w:t>
      </w:r>
      <w:r w:rsidR="003C38C0" w:rsidRPr="00450BB5">
        <w:t>(Construction, Manufacturing, Accommodation)</w:t>
      </w:r>
      <w:r w:rsidR="003C38C0">
        <w:t xml:space="preserve"> </w:t>
      </w:r>
      <w:r w:rsidRPr="000134C0">
        <w:t>and cognitively intensive ones</w:t>
      </w:r>
      <w:r w:rsidR="003C38C0">
        <w:t xml:space="preserve"> </w:t>
      </w:r>
      <w:r w:rsidR="003C38C0" w:rsidRPr="00450BB5">
        <w:t>(Information and Communication, professional services)</w:t>
      </w:r>
      <w:r w:rsidRPr="000134C0">
        <w:t xml:space="preserve">. This bimodality is a distributional expression of the same sectoral heterogeneity that motivates the inclusion of </w:t>
      </w:r>
      <w:r>
        <w:t xml:space="preserve"> the </w:t>
      </w:r>
      <w:r w:rsidRPr="000134C0">
        <w:t>sector fixed effects throughout the empirical model.</w:t>
      </w:r>
    </w:p>
    <w:p w14:paraId="3181239A" w14:textId="7531BC57" w:rsidR="001803DC" w:rsidRPr="005F4407" w:rsidRDefault="001803DC" w:rsidP="001803DC">
      <w:pPr>
        <w:pStyle w:val="thesisheading3"/>
      </w:pPr>
      <w:bookmarkStart w:id="28" w:name="_Toc230044137"/>
      <w:r w:rsidRPr="001803DC">
        <w:t>2.2.3. Multicollinearity and correlation analysis</w:t>
      </w:r>
      <w:bookmarkEnd w:id="28"/>
    </w:p>
    <w:p w14:paraId="4B6464DC" w14:textId="7A3C6C98" w:rsidR="00CA57C6" w:rsidRDefault="005F4407" w:rsidP="00E16CF4">
      <w:pPr>
        <w:pStyle w:val="Thesisbody"/>
        <w:jc w:val="center"/>
        <w:rPr>
          <w:noProof/>
        </w:rPr>
      </w:pPr>
      <w:r w:rsidRPr="005F4407">
        <w:rPr>
          <w:noProof/>
        </w:rPr>
        <w:drawing>
          <wp:inline distT="0" distB="0" distL="0" distR="0" wp14:anchorId="7B1EF269" wp14:editId="78F694B9">
            <wp:extent cx="4352394" cy="3639312"/>
            <wp:effectExtent l="0" t="0" r="0" b="0"/>
            <wp:docPr id="92452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23430" name=""/>
                    <pic:cNvPicPr/>
                  </pic:nvPicPr>
                  <pic:blipFill>
                    <a:blip r:embed="rId11"/>
                    <a:stretch>
                      <a:fillRect/>
                    </a:stretch>
                  </pic:blipFill>
                  <pic:spPr>
                    <a:xfrm>
                      <a:off x="0" y="0"/>
                      <a:ext cx="4357232" cy="3643357"/>
                    </a:xfrm>
                    <a:prstGeom prst="rect">
                      <a:avLst/>
                    </a:prstGeom>
                  </pic:spPr>
                </pic:pic>
              </a:graphicData>
            </a:graphic>
          </wp:inline>
        </w:drawing>
      </w:r>
    </w:p>
    <w:p w14:paraId="09937FE9" w14:textId="6C1EBF5A" w:rsidR="00EC25D3" w:rsidRPr="00D7658B" w:rsidRDefault="00EE0BF5" w:rsidP="00D7658B">
      <w:pPr>
        <w:pStyle w:val="Figurethesis"/>
        <w:rPr>
          <w:rStyle w:val="FigurethesisChar"/>
          <w:rFonts w:cstheme="minorBidi"/>
          <w:szCs w:val="22"/>
          <w:highlight w:val="yellow"/>
        </w:rPr>
      </w:pPr>
      <w:r w:rsidRPr="00D7658B">
        <w:rPr>
          <w:highlight w:val="yellow"/>
        </w:rPr>
        <w:t xml:space="preserve">Figure </w:t>
      </w:r>
      <w:r w:rsidR="00AB4BE7" w:rsidRPr="00D7658B">
        <w:rPr>
          <w:rStyle w:val="FigurethesisChar"/>
          <w:rFonts w:cstheme="minorBidi"/>
          <w:szCs w:val="22"/>
          <w:highlight w:val="yellow"/>
        </w:rPr>
        <w:t>2</w:t>
      </w:r>
      <w:r w:rsidRPr="00D7658B">
        <w:rPr>
          <w:highlight w:val="yellow"/>
        </w:rPr>
        <w:t>. Pearson pairwise correlation matrix of panel variables, 2021–2024.</w:t>
      </w:r>
    </w:p>
    <w:p w14:paraId="6157EA0C" w14:textId="455EB524" w:rsidR="005C2CAA" w:rsidRPr="00D7658B" w:rsidRDefault="005C2CAA" w:rsidP="00D7658B">
      <w:pPr>
        <w:pStyle w:val="fig3thesis"/>
        <w:rPr>
          <w:highlight w:val="yellow"/>
        </w:rPr>
      </w:pPr>
      <w:r w:rsidRPr="00D7658B">
        <w:rPr>
          <w:rStyle w:val="FigurethesisChar"/>
          <w:sz w:val="20"/>
          <w:highlight w:val="yellow"/>
        </w:rPr>
        <w:t xml:space="preserve">Filed to: </w:t>
      </w:r>
      <w:r w:rsidR="00CB662E" w:rsidRPr="00D7658B">
        <w:rPr>
          <w:highlight w:val="yellow"/>
        </w:rPr>
        <w:t>r - Pearson correlation coefficient; values range from −1 to +1; shading intensity.</w:t>
      </w:r>
    </w:p>
    <w:p w14:paraId="48A6509A" w14:textId="35A3281C" w:rsidR="005F4407" w:rsidRPr="00D7658B" w:rsidRDefault="00EE0BF5" w:rsidP="00D7658B">
      <w:pPr>
        <w:pStyle w:val="fig3thesis"/>
      </w:pPr>
      <w:r w:rsidRPr="00D7658B">
        <w:rPr>
          <w:highlight w:val="yellow"/>
        </w:rPr>
        <w:t>Source: own study based on Eurostat enterprise and labour market surveys (isoc_eb_ain2, isoc_ske_itspen2, isoc_ske_ittn2, nama_10_a64_e, sbs_sc_ovw, lfsa_eisn2, edat_lfs_9910, tps00203, tec00118, nama_10_pc), 2021–2024.</w:t>
      </w:r>
    </w:p>
    <w:p w14:paraId="7AB5AFBE" w14:textId="0C37A9ED" w:rsidR="00C16088" w:rsidRDefault="00BC6CB8" w:rsidP="00482273">
      <w:pPr>
        <w:pStyle w:val="Thesisbody"/>
        <w:rPr>
          <w:noProof/>
          <w:lang w:val="en"/>
        </w:rPr>
      </w:pPr>
      <w:r w:rsidRPr="00BC6CB8">
        <w:rPr>
          <w:noProof/>
          <w:lang w:val="en"/>
        </w:rPr>
        <w:t xml:space="preserve">Figure </w:t>
      </w:r>
      <w:r w:rsidR="00AD799D">
        <w:rPr>
          <w:noProof/>
          <w:lang w:val="en"/>
        </w:rPr>
        <w:t>2</w:t>
      </w:r>
      <w:r w:rsidRPr="00BC6CB8">
        <w:rPr>
          <w:noProof/>
          <w:lang w:val="en"/>
        </w:rPr>
        <w:t xml:space="preserve"> reveals a dominant multicollinearity block among the technology and human capital variables: ICT Specialists, ICT Training, High-Skill Share, and Tertiary Education correlate with each other at r = 0.82–0.94. AI Adoption sits at the centre of this cluster (r = 0.81 with ICT Specialists</w:t>
      </w:r>
      <w:r w:rsidR="006E5D30">
        <w:rPr>
          <w:noProof/>
          <w:lang w:val="en"/>
        </w:rPr>
        <w:t xml:space="preserve"> and</w:t>
      </w:r>
      <w:r w:rsidRPr="00BC6CB8">
        <w:rPr>
          <w:noProof/>
          <w:lang w:val="en"/>
        </w:rPr>
        <w:t xml:space="preserve"> r = 0.84 with ICT Training), reflecting the fact that sectors that adopt AI are structurally the same sectors that already employ digitally capable workers and invest in training. </w:t>
      </w:r>
      <w:r w:rsidR="00C16088">
        <w:rPr>
          <w:noProof/>
          <w:lang w:val="en"/>
        </w:rPr>
        <w:t>F</w:t>
      </w:r>
      <w:r w:rsidR="00C16088" w:rsidRPr="00C16088">
        <w:rPr>
          <w:noProof/>
        </w:rPr>
        <w:t xml:space="preserve">ollowing Wooldridge’s treatment of multicollinearity, high pairwise correlations among regressors (above roughly 0.8) and very large variance inflation factors indicate that the model cannot separately identify their individual effects, leading to inflated standard errors and </w:t>
      </w:r>
      <w:r w:rsidR="00C16088" w:rsidRPr="00C16088">
        <w:rPr>
          <w:noProof/>
        </w:rPr>
        <w:lastRenderedPageBreak/>
        <w:t xml:space="preserve">unstable estimates. </w:t>
      </w:r>
      <w:r w:rsidR="00C16088">
        <w:rPr>
          <w:noProof/>
        </w:rPr>
        <w:t>A</w:t>
      </w:r>
      <w:r w:rsidR="00C16088" w:rsidRPr="00C16088">
        <w:rPr>
          <w:noProof/>
        </w:rPr>
        <w:t>s recommended in econometric texts, a natural remedy is to drop or alternate highly collinear variables that measure similar underlying phenomena, or to combine them into a single index</w:t>
      </w:r>
      <w:r w:rsidR="00C16088">
        <w:rPr>
          <w:noProof/>
        </w:rPr>
        <w:t xml:space="preserve"> [30]</w:t>
      </w:r>
      <w:r w:rsidR="00C16088" w:rsidRPr="00C16088">
        <w:rPr>
          <w:noProof/>
        </w:rPr>
        <w:t xml:space="preserve">. Given the correlation of r = 0.94 between ICT Specialists and ICT Training, this </w:t>
      </w:r>
      <w:r w:rsidR="00C16088">
        <w:rPr>
          <w:noProof/>
        </w:rPr>
        <w:t>work</w:t>
      </w:r>
      <w:r w:rsidR="00C16088" w:rsidRPr="00C16088">
        <w:rPr>
          <w:noProof/>
        </w:rPr>
        <w:t xml:space="preserve"> therefore estimates alternative specifications in which these two ICT-capacity measures are introduced separately rather than jointly</w:t>
      </w:r>
    </w:p>
    <w:p w14:paraId="768730F5" w14:textId="12C0C3EC" w:rsidR="00BC6CB8" w:rsidRPr="00BC6CB8" w:rsidRDefault="00BC6CB8" w:rsidP="00482273">
      <w:pPr>
        <w:pStyle w:val="Thesisbody"/>
        <w:rPr>
          <w:noProof/>
          <w:lang w:val="en"/>
        </w:rPr>
      </w:pPr>
      <w:r w:rsidRPr="00BC6CB8">
        <w:rPr>
          <w:noProof/>
          <w:lang w:val="en"/>
        </w:rPr>
        <w:t>GDP per capita (r = 0.80) and labour productivity (r = 0.60) are the two strongest correlates of real wages, as expected given that sectoral wages are bounded by value-added capacity. AI Adoption shows a moderate positive raw correlation with real wages (r = 0.57), providing cross-sectional support for the between-sector reinstatement hypothesis (H2). This association reflects the co-location of high AI adoption and high wages within the same structurally advanced sectors and higher-income countries, which is precisely why country and sector fixed effects are required to isolate the within-entity channel</w:t>
      </w:r>
      <w:r w:rsidR="007942C6">
        <w:rPr>
          <w:noProof/>
          <w:lang w:val="en"/>
        </w:rPr>
        <w:t xml:space="preserve"> [17]</w:t>
      </w:r>
      <w:r w:rsidRPr="00BC6CB8">
        <w:rPr>
          <w:noProof/>
          <w:lang w:val="en"/>
        </w:rPr>
        <w:t>.</w:t>
      </w:r>
    </w:p>
    <w:p w14:paraId="50E82FBC" w14:textId="53D91FA1" w:rsidR="005F4407" w:rsidRDefault="00BC6CB8" w:rsidP="00482273">
      <w:pPr>
        <w:pStyle w:val="Thesisbody"/>
        <w:rPr>
          <w:noProof/>
          <w:lang w:val="en"/>
        </w:rPr>
      </w:pPr>
      <w:r w:rsidRPr="00BC6CB8">
        <w:rPr>
          <w:noProof/>
          <w:lang w:val="en"/>
        </w:rPr>
        <w:t>The macro controls behave as expected and do not introduce additional collinearity pressure. Inflation is negatively correlated with real wages (r = −0.31) and near-zero against all technology variables, confirming it captures a time-series macroeconomic shock orthogonal to the digital structure of sectors. Unemployment is essentially uncorrelated with the entire technology block (all |r| &lt; 0.12). The Firm Size Index shows only moderate associations across all variables (max r = 0.31), confirming it captures a distinct dimension of sectoral market structure and can be safely retained across all specifications.</w:t>
      </w:r>
    </w:p>
    <w:p w14:paraId="787ECA57" w14:textId="1AFD3262" w:rsidR="00CD0C17" w:rsidRPr="00CD0C17" w:rsidRDefault="00CD0C17" w:rsidP="00CD0C17">
      <w:pPr>
        <w:pStyle w:val="thesisheading3"/>
        <w:rPr>
          <w:noProof/>
        </w:rPr>
      </w:pPr>
      <w:bookmarkStart w:id="29" w:name="_Toc230044138"/>
      <w:r w:rsidRPr="00CD0C17">
        <w:rPr>
          <w:noProof/>
        </w:rPr>
        <w:lastRenderedPageBreak/>
        <w:t>2.2.4. Spatial and visual analysis of AI-wage dynamics</w:t>
      </w:r>
      <w:bookmarkEnd w:id="29"/>
    </w:p>
    <w:p w14:paraId="657E1D85" w14:textId="70BFD69E" w:rsidR="00CA57C6" w:rsidRPr="00EA04C9" w:rsidRDefault="007103A8" w:rsidP="00D2505E">
      <w:pPr>
        <w:pStyle w:val="Thesisbody"/>
        <w:jc w:val="center"/>
      </w:pPr>
      <w:r w:rsidRPr="007103A8">
        <w:rPr>
          <w:noProof/>
        </w:rPr>
        <w:drawing>
          <wp:inline distT="0" distB="0" distL="0" distR="0" wp14:anchorId="0A996217" wp14:editId="3C0F0FF9">
            <wp:extent cx="4071463" cy="3133725"/>
            <wp:effectExtent l="0" t="0" r="5715" b="0"/>
            <wp:docPr id="159711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11830" name=""/>
                    <pic:cNvPicPr/>
                  </pic:nvPicPr>
                  <pic:blipFill>
                    <a:blip r:embed="rId12"/>
                    <a:stretch>
                      <a:fillRect/>
                    </a:stretch>
                  </pic:blipFill>
                  <pic:spPr>
                    <a:xfrm>
                      <a:off x="0" y="0"/>
                      <a:ext cx="4132519" cy="3180719"/>
                    </a:xfrm>
                    <a:prstGeom prst="rect">
                      <a:avLst/>
                    </a:prstGeom>
                  </pic:spPr>
                </pic:pic>
              </a:graphicData>
            </a:graphic>
          </wp:inline>
        </w:drawing>
      </w:r>
    </w:p>
    <w:p w14:paraId="1D7F29D1" w14:textId="3133B40C" w:rsidR="00C4490D" w:rsidRDefault="00817B65" w:rsidP="00220971">
      <w:pPr>
        <w:pStyle w:val="Figurethesis"/>
        <w:rPr>
          <w:rStyle w:val="FigurethesisChar"/>
          <w:highlight w:val="yellow"/>
        </w:rPr>
      </w:pPr>
      <w:r w:rsidRPr="00970D68">
        <w:rPr>
          <w:rStyle w:val="FigurethesisChar"/>
          <w:highlight w:val="yellow"/>
        </w:rPr>
        <w:t xml:space="preserve">Figure </w:t>
      </w:r>
      <w:r w:rsidR="00220971">
        <w:rPr>
          <w:rStyle w:val="FigurethesisChar"/>
          <w:highlight w:val="yellow"/>
        </w:rPr>
        <w:t>3</w:t>
      </w:r>
      <w:r w:rsidRPr="00970D68">
        <w:rPr>
          <w:rStyle w:val="FigurethesisChar"/>
          <w:highlight w:val="yellow"/>
        </w:rPr>
        <w:t>. Geographic distribution of the AI Intensity Index (EU = 100), period average 2021–2024.</w:t>
      </w:r>
    </w:p>
    <w:p w14:paraId="7E408800" w14:textId="0F5A7D22" w:rsidR="00970D68" w:rsidRPr="00220971" w:rsidRDefault="00817B65" w:rsidP="00220971">
      <w:pPr>
        <w:pStyle w:val="fig3thesis"/>
        <w:rPr>
          <w:highlight w:val="yellow"/>
        </w:rPr>
      </w:pPr>
      <w:r w:rsidRPr="00220971">
        <w:rPr>
          <w:rStyle w:val="fig3thesisChar"/>
          <w:i/>
          <w:highlight w:val="yellow"/>
        </w:rPr>
        <w:t>Filed to: index (dimensionless), European Union average = 100; darker shades indicate higher AI intensity.</w:t>
      </w:r>
    </w:p>
    <w:p w14:paraId="0269E313" w14:textId="72B3FEBD" w:rsidR="00817B65" w:rsidRPr="00220971" w:rsidRDefault="00817B65" w:rsidP="00220971">
      <w:pPr>
        <w:pStyle w:val="fig3thesis"/>
        <w:rPr>
          <w:rStyle w:val="fig3thesisChar"/>
          <w:i/>
          <w:highlight w:val="yellow"/>
        </w:rPr>
      </w:pPr>
      <w:r w:rsidRPr="00220971">
        <w:rPr>
          <w:rStyle w:val="fig3thesisChar"/>
          <w:i/>
          <w:highlight w:val="yellow"/>
        </w:rPr>
        <w:t>Source: own calculations based on Eurostat enterprise survey on AI adoption (isoc_eb_ain2), 2021–2024.</w:t>
      </w:r>
    </w:p>
    <w:p w14:paraId="7FB93C3A" w14:textId="327EFB1E" w:rsidR="00817B65" w:rsidRDefault="00817B65" w:rsidP="00645BB5">
      <w:pPr>
        <w:pStyle w:val="Thesisbody"/>
      </w:pPr>
      <w:r w:rsidRPr="00817B65">
        <w:t xml:space="preserve">Figure </w:t>
      </w:r>
      <w:r w:rsidR="00220971">
        <w:t>3</w:t>
      </w:r>
      <w:r w:rsidRPr="00817B65">
        <w:t xml:space="preserve"> maps the cross-country distribution of the AI Intensity Index, normalised to an EU average of 100. The darkest shading is concentrated in the Nordic member states, where index values frequently exceed 150, indicating structurally higher enterprise AI adoption relative to the European baseline. A secondary cluster of above-average intensity is visible in parts of Western Europe, while large parts of Central, Eastern, and Southern Europe lie clearly below the index threshold of 100. Taken together, the map reveals a</w:t>
      </w:r>
      <w:r w:rsidR="009A3B06">
        <w:t xml:space="preserve">n established </w:t>
      </w:r>
      <w:r w:rsidRPr="00817B65">
        <w:t>North–West versus East–South digital divide in enterprise AI integration</w:t>
      </w:r>
      <w:r w:rsidR="009A3B06">
        <w:t xml:space="preserve"> [17]</w:t>
      </w:r>
      <w:r w:rsidRPr="00817B65">
        <w:t>.</w:t>
      </w:r>
    </w:p>
    <w:p w14:paraId="1E90BE2C" w14:textId="502990F7" w:rsidR="00614D9D" w:rsidRPr="00817B65" w:rsidRDefault="00614D9D" w:rsidP="00645BB5">
      <w:pPr>
        <w:pStyle w:val="Thesisbody"/>
      </w:pPr>
      <w:r w:rsidRPr="00614D9D">
        <w:t xml:space="preserve">Figure </w:t>
      </w:r>
      <w:r>
        <w:t>A2 in</w:t>
      </w:r>
      <w:r w:rsidRPr="00614D9D">
        <w:t xml:space="preserve"> Appendix summarises the cross</w:t>
      </w:r>
      <w:r w:rsidRPr="00614D9D">
        <w:noBreakHyphen/>
        <w:t>country dispersion and time evolution of AI adoption, real wages, ICT specialists, and ICT training across NACE</w:t>
      </w:r>
      <w:r>
        <w:t xml:space="preserve"> Rev.2</w:t>
      </w:r>
      <w:r w:rsidRPr="00614D9D">
        <w:t xml:space="preserve"> sectors. The boxplots highlight the extreme digital intensity of Information and Communication (J), where between 60–80% of workers are ICT specialists and around 60% of enterprises offer ICT training, while no other sector reaches a median above 25% for either metric. Despite this digital leadership, median wages in sector J are only slightly higher than in Manufacturing (C) and Wholesale &amp; Retail (G), although J contains the highest wage outliers in the sample. Over 2021–2024, AI adoption and ICT training rise sharply and in a tightly synchronised pattern </w:t>
      </w:r>
      <w:r w:rsidRPr="00614D9D">
        <w:lastRenderedPageBreak/>
        <w:t>across most sectors, whereas the distribution of ICT specialists is almost flat, indicating that firms expand short</w:t>
      </w:r>
      <w:r w:rsidRPr="00614D9D">
        <w:noBreakHyphen/>
        <w:t xml:space="preserve">term training much faster than they can increase their stock of specialised ICT labour. Construction (F) and Accommodation &amp; Food (I) remain </w:t>
      </w:r>
      <w:r>
        <w:t>at the end</w:t>
      </w:r>
      <w:r w:rsidRPr="00614D9D">
        <w:t>, with near</w:t>
      </w:r>
      <w:r w:rsidRPr="00614D9D">
        <w:noBreakHyphen/>
        <w:t>zero medians for all three digital variables and the lowest, tightest wage distributions, suggesting that these highly physical, localised activities are only weakly exposed to the current wave of AI</w:t>
      </w:r>
      <w:r w:rsidRPr="00614D9D">
        <w:noBreakHyphen/>
        <w:t>driven technological change.</w:t>
      </w:r>
    </w:p>
    <w:p w14:paraId="19922C17" w14:textId="39C0873D" w:rsidR="00A53C33" w:rsidRPr="00EA04C9" w:rsidRDefault="00933E16" w:rsidP="00E16CF4">
      <w:pPr>
        <w:pStyle w:val="Thesisbody"/>
      </w:pPr>
      <w:r w:rsidRPr="00933E16">
        <w:rPr>
          <w:noProof/>
        </w:rPr>
        <w:drawing>
          <wp:inline distT="0" distB="0" distL="0" distR="0" wp14:anchorId="2A110EFF" wp14:editId="2442B539">
            <wp:extent cx="4749281" cy="2799824"/>
            <wp:effectExtent l="0" t="0" r="0" b="635"/>
            <wp:docPr id="1038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9571" name=""/>
                    <pic:cNvPicPr/>
                  </pic:nvPicPr>
                  <pic:blipFill>
                    <a:blip r:embed="rId13"/>
                    <a:stretch>
                      <a:fillRect/>
                    </a:stretch>
                  </pic:blipFill>
                  <pic:spPr>
                    <a:xfrm>
                      <a:off x="0" y="0"/>
                      <a:ext cx="4770816" cy="2812519"/>
                    </a:xfrm>
                    <a:prstGeom prst="rect">
                      <a:avLst/>
                    </a:prstGeom>
                  </pic:spPr>
                </pic:pic>
              </a:graphicData>
            </a:graphic>
          </wp:inline>
        </w:drawing>
      </w:r>
    </w:p>
    <w:p w14:paraId="158115F3" w14:textId="3BE38504" w:rsidR="00970D68" w:rsidRDefault="00A53C33" w:rsidP="00A92E89">
      <w:pPr>
        <w:pStyle w:val="Figurethesis"/>
        <w:rPr>
          <w:rStyle w:val="FigurethesisChar"/>
          <w:highlight w:val="yellow"/>
        </w:rPr>
      </w:pPr>
      <w:r w:rsidRPr="006D3DCC">
        <w:rPr>
          <w:rStyle w:val="FigurethesisChar"/>
          <w:highlight w:val="yellow"/>
        </w:rPr>
        <w:t xml:space="preserve">Figure </w:t>
      </w:r>
      <w:r w:rsidR="00D32E89">
        <w:rPr>
          <w:rStyle w:val="FigurethesisChar"/>
          <w:highlight w:val="yellow"/>
        </w:rPr>
        <w:t>4</w:t>
      </w:r>
      <w:r w:rsidRPr="006D3DCC">
        <w:rPr>
          <w:rStyle w:val="FigurethesisChar"/>
          <w:highlight w:val="yellow"/>
        </w:rPr>
        <w:t>. AI adoption and real wages, moderated by ICT training and ICT specialists, in the years 2021–2024.</w:t>
      </w:r>
    </w:p>
    <w:p w14:paraId="6D570041" w14:textId="77777777" w:rsidR="00970D68" w:rsidRPr="00A92E89" w:rsidRDefault="00A53C33" w:rsidP="00A92E89">
      <w:pPr>
        <w:pStyle w:val="fig3thesis"/>
        <w:rPr>
          <w:rStyle w:val="fig3thesisChar"/>
          <w:i/>
          <w:highlight w:val="yellow"/>
        </w:rPr>
      </w:pPr>
      <w:r w:rsidRPr="00A92E89">
        <w:rPr>
          <w:highlight w:val="yellow"/>
        </w:rPr>
        <w:t>Filed to: AI adoption – percentage of enterprises; real wages – EUR per hour; ICT training – percentage of enterprises providing ICT training (colour scale); ICT specialists – percentage of enterprises employing ICT specialists (bubble size).</w:t>
      </w:r>
    </w:p>
    <w:p w14:paraId="19C2C906" w14:textId="214EF699" w:rsidR="00A53C33" w:rsidRPr="00A92E89" w:rsidRDefault="00A53C33" w:rsidP="00A92E89">
      <w:pPr>
        <w:pStyle w:val="fig3thesis"/>
        <w:rPr>
          <w:highlight w:val="yellow"/>
        </w:rPr>
      </w:pPr>
      <w:r w:rsidRPr="00A92E89">
        <w:rPr>
          <w:highlight w:val="yellow"/>
        </w:rPr>
        <w:t>Source: own study based on Eurostat enterprise and labour market surveys (isoc_eb_ain2, isoc_ske_ittn2, isoc_ske_itspen2, nama_10_a64_e), 2021–2024.</w:t>
      </w:r>
    </w:p>
    <w:p w14:paraId="2B461850" w14:textId="27E702A9" w:rsidR="00CA57C6" w:rsidRDefault="00A53C33" w:rsidP="002C4421">
      <w:pPr>
        <w:pStyle w:val="Thesisbody"/>
      </w:pPr>
      <w:r w:rsidRPr="00A53C33">
        <w:t xml:space="preserve">Figure </w:t>
      </w:r>
      <w:r w:rsidR="00D32E89">
        <w:t>4</w:t>
      </w:r>
      <w:r w:rsidRPr="00A53C33">
        <w:t xml:space="preserve"> plots AI adoption on the horizontal axis and real wages on the vertical axis for each country–sector pair, with bubble colour indicating ICT training intensity and bubble size indicating the share of ICT specialists. Across all four years, a clear positive association between AI adoption and wages is visible: high</w:t>
      </w:r>
      <w:r w:rsidRPr="00A53C33">
        <w:noBreakHyphen/>
        <w:t>adoption observations (40–70% of enterprises using AI) cluster almost exclusively in the 30–50 EUR/hour wage range, whereas low</w:t>
      </w:r>
      <w:r w:rsidRPr="00A53C33">
        <w:noBreakHyphen/>
        <w:t>adoption observations are concentrated at much lower wage levels. However, the wide vertical spread of wages at moderate adoption levels (10–25%) shows that AI alone does not determine wage outcomes. The highest</w:t>
      </w:r>
      <w:r w:rsidRPr="00A53C33">
        <w:noBreakHyphen/>
        <w:t>wage observations in this mid</w:t>
      </w:r>
      <w:r w:rsidRPr="00A53C33">
        <w:noBreakHyphen/>
        <w:t xml:space="preserve">range are almost always large, bright bubbles, indicating that high wages are achieved only where AI adoption is combined with intensive ICT training and a high share of ICT specialists. This provides visual support for the thesis’ interaction hypothesis: AI technology and ICT skills act as complements, with the wage </w:t>
      </w:r>
      <w:r w:rsidRPr="00A53C33">
        <w:lastRenderedPageBreak/>
        <w:t>effect of AI adoption being strongly amplified in sectors that simultaneously invest in training and specialised digital labour. Over time, the cloud of observations shifts rightward, reflecting the diffusion of AI across sectors between 2021 and 2024, while the low</w:t>
      </w:r>
      <w:r w:rsidRPr="00A53C33">
        <w:noBreakHyphen/>
        <w:t>skill, low</w:t>
      </w:r>
      <w:r w:rsidRPr="00A53C33">
        <w:noBreakHyphen/>
        <w:t>training group in the bottom-left remains largely immobile, signalling a widening digital divide within the European economy</w:t>
      </w:r>
      <w:r>
        <w:t>.</w:t>
      </w:r>
    </w:p>
    <w:p w14:paraId="401F5482" w14:textId="624B7310" w:rsidR="00A53C33" w:rsidRDefault="000B06D0" w:rsidP="002C4421">
      <w:pPr>
        <w:pStyle w:val="Thesisbody"/>
      </w:pPr>
      <w:r w:rsidRPr="000B06D0">
        <w:t>As a robustness check, potential outliers in the three core technology variables (AI adoption, ICT specialists, ICT training) were identified using a conditional interquartile</w:t>
      </w:r>
      <w:r w:rsidRPr="000B06D0">
        <w:noBreakHyphen/>
        <w:t>range rule applied separately within each sector–year. This procedure flags a small number of extreme but structurally plausible cases, such as very high AI adoption in Denmark and Norway in traditional sectors and unusually dense concentrations of ICT specialists in selected transport and logistics industries</w:t>
      </w:r>
      <w:r>
        <w:t>,</w:t>
      </w:r>
      <w:r w:rsidRPr="000B06D0">
        <w:t xml:space="preserve"> </w:t>
      </w:r>
      <w:r>
        <w:t>follow</w:t>
      </w:r>
      <w:r w:rsidRPr="000B06D0">
        <w:t xml:space="preserve"> Table A</w:t>
      </w:r>
      <w:r w:rsidR="008B1FB1">
        <w:t>3</w:t>
      </w:r>
      <w:r w:rsidRPr="000B06D0">
        <w:t xml:space="preserve"> in the Appendix. Because these observations reflect genuine frontier positions rather than measurement errors, they are retained in the sample</w:t>
      </w:r>
      <w:r w:rsidR="000B0499">
        <w:t>.</w:t>
      </w:r>
      <w:r w:rsidRPr="000B06D0">
        <w:t xml:space="preserve"> </w:t>
      </w:r>
      <w:r w:rsidR="000B0499">
        <w:t>T</w:t>
      </w:r>
      <w:r w:rsidRPr="000B06D0">
        <w:t>he main implication for the subsequent modelling is that estimation strategies should account for the presence of such high</w:t>
      </w:r>
      <w:r w:rsidRPr="000B06D0">
        <w:noBreakHyphen/>
        <w:t xml:space="preserve">leverage country–sector cells </w:t>
      </w:r>
      <w:r w:rsidR="000B0499">
        <w:t xml:space="preserve">and not </w:t>
      </w:r>
      <w:r w:rsidRPr="000B06D0">
        <w:t>removing them a priori.</w:t>
      </w:r>
    </w:p>
    <w:p w14:paraId="00F7CF37" w14:textId="575F9B6E" w:rsidR="00825B29" w:rsidRPr="000F6B76" w:rsidRDefault="00825B29" w:rsidP="002C4421">
      <w:pPr>
        <w:pStyle w:val="Thesisbody"/>
        <w:rPr>
          <w:lang w:val="en"/>
        </w:rPr>
      </w:pPr>
      <w:r w:rsidRPr="00825B29">
        <w:t xml:space="preserve">The exploratory analysis has several direct implications for the econometric specification in the following chapter. </w:t>
      </w:r>
      <w:r w:rsidR="00430752" w:rsidRPr="00430752">
        <w:rPr>
          <w:lang w:val="en"/>
        </w:rPr>
        <w:t>The dominant between-variance structure, the persistent sectoral and geographic digital divide, and the non-random missingness of the panel jointly motivate a multi-specification approach: cross-sectional OLS estimated separately for each year to capture structural between-unit differences, a two-way fixed-effects panel model to isolate within-entity dynamics while controlling for common time shocks, and a Correlated Random Effects estimator that explicitly models both channels simultaneously and allows direct comparison of cross-sectional and within-entity coefficients</w:t>
      </w:r>
      <w:r w:rsidR="00430752">
        <w:rPr>
          <w:lang w:val="en"/>
        </w:rPr>
        <w:t xml:space="preserve">. </w:t>
      </w:r>
      <w:r w:rsidRPr="00825B29">
        <w:t xml:space="preserve">Log transformations </w:t>
      </w:r>
      <w:r>
        <w:t xml:space="preserve">should be </w:t>
      </w:r>
      <w:r w:rsidRPr="00825B29">
        <w:t xml:space="preserve"> applied to wages, productivity, and GDP per capita to address right skew in the three monetary variables. Given the severe multicollinearity among ICT Training, ICT Specialists, High-Skill Share, and Tertiary Education (r = 0.82–0.94), only one ICT complementarity measure</w:t>
      </w:r>
      <w:r>
        <w:t xml:space="preserve"> should</w:t>
      </w:r>
      <w:r w:rsidRPr="00825B29">
        <w:t xml:space="preserve"> enter each specification</w:t>
      </w:r>
      <w:r>
        <w:t xml:space="preserve">. </w:t>
      </w:r>
      <w:r w:rsidRPr="00825B29">
        <w:t xml:space="preserve"> ICT Training and ICT Specialists </w:t>
      </w:r>
      <w:r>
        <w:t>should be</w:t>
      </w:r>
      <w:r w:rsidRPr="00825B29">
        <w:t xml:space="preserve"> tested in alternative models to assess the robustness of the interaction channel. The visual evidence from the bubble plots, showing that high wages require the joint presence of high AI adoption and intensive ICT capacity, motivates modelling </w:t>
      </w:r>
      <w:r w:rsidRPr="00837EC3">
        <w:t>the two as complements through an interaction term rather than as purely additive regressors. Finally, a small number of structurally extreme but genuine country–sector observations are retained in the sample, and all specifications are estimated with country-clustered robust standard errors to ensure inference is not driven by high-leverage units.</w:t>
      </w:r>
    </w:p>
    <w:p w14:paraId="3330FAD0" w14:textId="77777777" w:rsidR="00E04704" w:rsidRPr="00E04704" w:rsidRDefault="00E04704" w:rsidP="00E04704">
      <w:pPr>
        <w:pStyle w:val="Thesisheading2"/>
      </w:pPr>
      <w:bookmarkStart w:id="30" w:name="_Toc230044139"/>
      <w:r w:rsidRPr="00E04704">
        <w:lastRenderedPageBreak/>
        <w:t>2.3. Econometric Modelling Strategy</w:t>
      </w:r>
      <w:bookmarkEnd w:id="30"/>
    </w:p>
    <w:p w14:paraId="2A8299E1" w14:textId="513167FD" w:rsidR="00815CD3" w:rsidRDefault="00815CD3" w:rsidP="00C36369">
      <w:pPr>
        <w:pStyle w:val="Thesisbody"/>
      </w:pPr>
      <w:r w:rsidRPr="001C4C54">
        <w:t xml:space="preserve">The exploratory data analysis established empirical constraints that </w:t>
      </w:r>
      <w:r w:rsidR="00966592" w:rsidRPr="001C4C54">
        <w:t xml:space="preserve">suggested </w:t>
      </w:r>
      <w:r w:rsidRPr="001C4C54">
        <w:t>the econometric design: high collinearity among technology proxies, visual evidence of AI–ICT complementarity, and a variance structure dominated by cross-sectional dispersion rather than temporal change. Because the between-sector standard deviation in wages substantially exceeds the within-sector variation over time, the analysis must address two distinct questions: a structural question</w:t>
      </w:r>
      <w:r w:rsidR="00966592" w:rsidRPr="001C4C54">
        <w:t xml:space="preserve">, </w:t>
      </w:r>
      <w:r w:rsidRPr="001C4C54">
        <w:t>whether persistently high-AI sectors pay different average wages</w:t>
      </w:r>
      <w:r w:rsidR="00966592" w:rsidRPr="001C4C54">
        <w:t>,</w:t>
      </w:r>
      <w:r w:rsidRPr="001C4C54">
        <w:t xml:space="preserve"> and a dynamic question</w:t>
      </w:r>
      <w:r w:rsidR="00966592" w:rsidRPr="001C4C54">
        <w:t xml:space="preserve">, </w:t>
      </w:r>
      <w:r w:rsidRPr="001C4C54">
        <w:t>whether AI adoption growth within a sector drives wage growth. To isolate and then synthesize these distinct mechanisms, the empirical strategy proceeds in three stages</w:t>
      </w:r>
      <w:r w:rsidR="00966592" w:rsidRPr="001C4C54">
        <w:t xml:space="preserve">, </w:t>
      </w:r>
      <w:r w:rsidRPr="001C4C54">
        <w:t>moving from a cross-sectional baseline to advanced panel specifications</w:t>
      </w:r>
      <w:r w:rsidR="00D3555C" w:rsidRPr="001C4C54">
        <w:t>. The</w:t>
      </w:r>
      <w:r w:rsidRPr="001C4C54">
        <w:t xml:space="preserve"> ICT capacity </w:t>
      </w:r>
      <w:r w:rsidR="00D3555C" w:rsidRPr="001C4C54">
        <w:t>would be modelled</w:t>
      </w:r>
      <w:r w:rsidRPr="001C4C54">
        <w:t xml:space="preserve"> as separate multiplicative interaction terms to capture complementarity while preventing variance inflation.</w:t>
      </w:r>
    </w:p>
    <w:p w14:paraId="6DB8F636" w14:textId="48422107" w:rsidR="009A41CE" w:rsidRDefault="009A41CE" w:rsidP="00C36369">
      <w:pPr>
        <w:pStyle w:val="Thesisbody"/>
      </w:pPr>
      <w:r w:rsidRPr="009A41CE">
        <w:t>This two-dimensional identification logic follows directly from the task-based framework of Acemoglu and Restrepo (2022), who decompose wage inequality into a between-group displacement component</w:t>
      </w:r>
      <w:r w:rsidR="00526708">
        <w:t xml:space="preserve">, </w:t>
      </w:r>
      <w:r w:rsidRPr="009A41CE">
        <w:t xml:space="preserve"> reflecting the settled occupational wage hierarchy</w:t>
      </w:r>
      <w:r w:rsidR="00526708">
        <w:t>,</w:t>
      </w:r>
      <w:r w:rsidRPr="009A41CE">
        <w:t xml:space="preserve"> and a within-group dynamic component driven by ongoing automation</w:t>
      </w:r>
      <w:r w:rsidR="000648F1">
        <w:t xml:space="preserve"> [15]</w:t>
      </w:r>
      <w:r w:rsidRPr="009A41CE">
        <w:t>. The IMF (2025) applies an analogous decomposition at the macro level, distinguishing the cross-country structural productivity premium associated with higher AI adoption from the within-country dynamic wage response to adoption growth</w:t>
      </w:r>
      <w:r w:rsidR="000648F1">
        <w:t xml:space="preserve"> [17]</w:t>
      </w:r>
      <w:r w:rsidRPr="009A41CE">
        <w:t xml:space="preserve">. </w:t>
      </w:r>
      <w:r w:rsidR="000648F1">
        <w:t xml:space="preserve">In terms of Correlated Random Effects model, </w:t>
      </w:r>
      <w:r w:rsidRPr="009A41CE">
        <w:t xml:space="preserve">specification of Mundlak (1978) recommended by Wooldridge (2010) </w:t>
      </w:r>
      <w:r w:rsidR="000648F1">
        <w:t>is</w:t>
      </w:r>
      <w:r w:rsidRPr="009A41CE">
        <w:t xml:space="preserve"> the preferred estimator when both dimensions are substantively informative, provides the formal framework for estimating both simultaneously in the final stage</w:t>
      </w:r>
      <w:r w:rsidR="000648F1">
        <w:t xml:space="preserve"> [26,</w:t>
      </w:r>
      <w:r w:rsidR="00B36CE9">
        <w:t xml:space="preserve"> 31</w:t>
      </w:r>
      <w:r w:rsidR="000648F1">
        <w:t>]</w:t>
      </w:r>
      <w:r w:rsidR="00526708">
        <w:t>.</w:t>
      </w:r>
    </w:p>
    <w:p w14:paraId="275E9540" w14:textId="1DF7C668" w:rsidR="00C505FD" w:rsidRPr="00C505FD" w:rsidRDefault="00C505FD" w:rsidP="00C505FD">
      <w:pPr>
        <w:pStyle w:val="thesisheading3"/>
      </w:pPr>
      <w:bookmarkStart w:id="31" w:name="_Toc230044140"/>
      <w:r w:rsidRPr="00C505FD">
        <w:t>2.3.1. Baseline cross-sectional specification</w:t>
      </w:r>
      <w:bookmarkEnd w:id="31"/>
    </w:p>
    <w:p w14:paraId="76052EE4" w14:textId="5130678A" w:rsidR="000F6B76" w:rsidRDefault="00887C20" w:rsidP="00C36369">
      <w:pPr>
        <w:pStyle w:val="Thesisbody"/>
      </w:pPr>
      <w:r w:rsidRPr="00887C20">
        <w:t xml:space="preserve">As a first step, a </w:t>
      </w:r>
      <w:r w:rsidR="007560DA">
        <w:t>cross-sectional</w:t>
      </w:r>
      <w:r w:rsidRPr="00887C20">
        <w:t xml:space="preserve"> OLS model is estimated, treating all country–sector–year observations as independent and ignoring the panel structure. This specification is analogous to the cross-sectional regression employed by </w:t>
      </w:r>
      <w:r>
        <w:t xml:space="preserve">Karol </w:t>
      </w:r>
      <w:r w:rsidRPr="00887C20">
        <w:t>Madoń as a starting point before introducing fixed effects, and serves two purposes: it provides an unconditional benchmark of the raw association between AI adoption and real wages, and it makes the costs of ignoring unobserved heterogeneity explicit</w:t>
      </w:r>
      <w:r>
        <w:t xml:space="preserve">, </w:t>
      </w:r>
      <w:r w:rsidRPr="00887C20">
        <w:t xml:space="preserve"> thereby motivating the transition to panel estimators. The model takes the form:</w:t>
      </w:r>
    </w:p>
    <w:p w14:paraId="55325BBB" w14:textId="145D3521" w:rsidR="00887C20" w:rsidRDefault="00000000" w:rsidP="00F23D18">
      <w:pPr>
        <w:spacing w:line="360" w:lineRule="auto"/>
        <w:jc w:val="both"/>
        <w:rPr>
          <w:rFonts w:ascii="Times New Roman" w:hAnsi="Times New Roman" w:cs="Times New Roman"/>
          <w:sz w:val="24"/>
          <w:szCs w:val="24"/>
        </w:rPr>
      </w:pPr>
      <m:oMathPara>
        <m:oMath>
          <m:sSub>
            <m:sSubPr>
              <m:ctrlPr>
                <w:rPr>
                  <w:rFonts w:ascii="Cambria Math" w:hAnsi="Cambria Math"/>
                </w:rPr>
              </m:ctrlPr>
            </m:sSubPr>
            <m:e>
              <m:r>
                <w:rPr>
                  <w:rFonts w:ascii="Cambria Math" w:hAnsi="Cambria Math"/>
                </w:rPr>
                <m:t>ln(Wage)</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I</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IC</m:t>
          </m:r>
          <m:sSub>
            <m:sSubPr>
              <m:ctrlPr>
                <w:rPr>
                  <w:rFonts w:ascii="Cambria Math" w:hAnsi="Cambria Math"/>
                </w:rPr>
              </m:ctrlPr>
            </m:sSubPr>
            <m:e>
              <m:r>
                <w:rPr>
                  <w:rFonts w:ascii="Cambria Math" w:hAnsi="Cambria Math"/>
                </w:rPr>
                <m:t>T</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(AI×ICT</m:t>
          </m:r>
          <m:sSub>
            <m:sSubPr>
              <m:ctrlPr>
                <w:rPr>
                  <w:rFonts w:ascii="Cambria Math" w:hAnsi="Cambria Math"/>
                </w:rPr>
              </m:ctrlPr>
            </m:sSubPr>
            <m:e>
              <m:r>
                <w:rPr>
                  <w:rFonts w:ascii="Cambria Math" w:hAnsi="Cambria Math"/>
                </w:rPr>
                <m:t>)</m:t>
              </m:r>
            </m:e>
            <m:sub>
              <m:r>
                <w:rPr>
                  <w:rFonts w:ascii="Cambria Math" w:hAnsi="Cambria Math"/>
                </w:rPr>
                <m:t>it</m:t>
              </m:r>
            </m:sub>
          </m:sSub>
          <m:r>
            <w:rPr>
              <w:rFonts w:ascii="Cambria Math" w:hAnsi="Cambria Math"/>
            </w:rPr>
            <m:t>+γ</m:t>
          </m:r>
          <m:sSub>
            <m:sSubPr>
              <m:ctrlPr>
                <w:rPr>
                  <w:rFonts w:ascii="Cambria Math" w:hAnsi="Cambria Math"/>
                </w:rPr>
              </m:ctrlPr>
            </m:sSubPr>
            <m:e>
              <m:r>
                <m:rPr>
                  <m:sty m:val="b"/>
                </m:rP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37CB8C9C" w14:textId="4E990E8E" w:rsidR="00BD1FC2" w:rsidRDefault="00887C20" w:rsidP="00F23D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m:rPr>
                <m:sty m:val="b"/>
              </m:rPr>
              <w:rPr>
                <w:rFonts w:ascii="Cambria Math" w:hAnsi="Cambria Math" w:cs="Times New Roman"/>
                <w:sz w:val="24"/>
                <w:szCs w:val="24"/>
              </w:rPr>
              <m:t>X</m:t>
            </m:r>
          </m:e>
          <m:sub>
            <m:r>
              <w:rPr>
                <w:rFonts w:ascii="Cambria Math" w:hAnsi="Cambria Math" w:cs="Times New Roman"/>
                <w:sz w:val="24"/>
                <w:szCs w:val="24"/>
              </w:rPr>
              <m:t>it</m:t>
            </m:r>
          </m:sub>
        </m:sSub>
      </m:oMath>
      <w:r w:rsidRPr="00887C20">
        <w:rPr>
          <w:rFonts w:ascii="Times New Roman" w:hAnsi="Times New Roman" w:cs="Times New Roman"/>
          <w:sz w:val="24"/>
          <w:szCs w:val="24"/>
        </w:rPr>
        <w:t xml:space="preserve"> is the vector of wage and macro controls described in </w:t>
      </w:r>
      <w:r>
        <w:rPr>
          <w:rFonts w:ascii="Times New Roman" w:hAnsi="Times New Roman" w:cs="Times New Roman"/>
          <w:sz w:val="24"/>
          <w:szCs w:val="24"/>
        </w:rPr>
        <w:t>the previous section.</w:t>
      </w:r>
    </w:p>
    <w:p w14:paraId="358F402E" w14:textId="6EEEA160" w:rsidR="00770185" w:rsidRPr="00770185" w:rsidRDefault="00770185" w:rsidP="00770185">
      <w:pPr>
        <w:pStyle w:val="thesisheading3"/>
      </w:pPr>
      <w:bookmarkStart w:id="32" w:name="_Toc230044141"/>
      <w:r w:rsidRPr="00770185">
        <w:t>2.3.2. Two-way fixed effects for within-entity dynamics</w:t>
      </w:r>
      <w:bookmarkEnd w:id="32"/>
    </w:p>
    <w:p w14:paraId="0CF828D0" w14:textId="7DCA587D" w:rsidR="004B1E6F" w:rsidRDefault="00887C20" w:rsidP="00634A2C">
      <w:pPr>
        <w:pStyle w:val="Thesisbody"/>
      </w:pPr>
      <w:r w:rsidRPr="00887C20">
        <w:t>Because country–sector pairs differ systematically i</w:t>
      </w:r>
      <w:r w:rsidR="00FE0F16">
        <w:t>n</w:t>
      </w:r>
      <w:r w:rsidRPr="00887C20">
        <w:t xml:space="preserve"> unobserved</w:t>
      </w:r>
      <w:r w:rsidR="00FE0F16">
        <w:t xml:space="preserve"> and </w:t>
      </w:r>
      <w:r w:rsidRPr="00887C20">
        <w:t>time-invariant characteristics</w:t>
      </w:r>
      <w:r w:rsidR="00FE0F16">
        <w:t xml:space="preserve">, </w:t>
      </w:r>
      <w:r w:rsidRPr="00887C20">
        <w:t xml:space="preserve"> a </w:t>
      </w:r>
      <w:r w:rsidR="00E423F6">
        <w:t>cross-sectional</w:t>
      </w:r>
      <w:r w:rsidRPr="00887C20">
        <w:t xml:space="preserve"> OLS estimator is likely to yield biased coefficients. Following the approach of Acemoglu and Restrepo, who use industry and year fixed effects to control for confounding structural trends in their wage inequality decomposition, a Two-Way Fixed Effects </w:t>
      </w:r>
      <w:r>
        <w:t xml:space="preserve">panel </w:t>
      </w:r>
      <w:r w:rsidRPr="00887C20">
        <w:t>model is introduced</w:t>
      </w:r>
      <w:r w:rsidR="00E423F6">
        <w:t xml:space="preserve"> [15]</w:t>
      </w:r>
      <w:r w:rsidRPr="00887C20">
        <w:t>. This controls for all time-invariant entity-specific heterogeneity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887C20">
        <w:t>) and for common annual shocks affecting all sectors simultaneously (</w:t>
      </w:r>
      <m:oMath>
        <m:sSub>
          <m:sSubPr>
            <m:ctrlPr>
              <w:rPr>
                <w:rFonts w:ascii="Cambria Math" w:hAnsi="Cambria Math"/>
              </w:rPr>
            </m:ctrlPr>
          </m:sSubPr>
          <m:e>
            <m:r>
              <w:rPr>
                <w:rFonts w:ascii="Cambria Math" w:hAnsi="Cambria Math"/>
              </w:rPr>
              <m:t>λ</m:t>
            </m:r>
          </m:e>
          <m:sub>
            <m:r>
              <w:rPr>
                <w:rFonts w:ascii="Cambria Math" w:hAnsi="Cambria Math"/>
              </w:rPr>
              <m:t>t</m:t>
            </m:r>
          </m:sub>
        </m:sSub>
      </m:oMath>
      <w:r w:rsidRPr="00887C20">
        <w:t>), isolating the </w:t>
      </w:r>
      <w:r w:rsidRPr="00FE0F16">
        <w:t>within</w:t>
      </w:r>
      <w:r w:rsidRPr="00887C20">
        <w:t>-entity variation</w:t>
      </w:r>
      <w:r w:rsidR="00E423F6">
        <w:t xml:space="preserve">. This helps to test the hypothesis </w:t>
      </w:r>
      <w:r w:rsidRPr="00887C20">
        <w:t>how changes in AI adoption </w:t>
      </w:r>
      <w:r w:rsidRPr="00E423F6">
        <w:t>within</w:t>
      </w:r>
      <w:r w:rsidRPr="00887C20">
        <w:t> a given country–sector over time are associated with wage changes:</w:t>
      </w:r>
      <w:r w:rsidR="007274DA" w:rsidRPr="00EA04C9">
        <w:t>​</w:t>
      </w:r>
    </w:p>
    <w:p w14:paraId="2044D5E5" w14:textId="4D3A67B5" w:rsidR="00620BDC" w:rsidRPr="000B609C" w:rsidRDefault="00000000" w:rsidP="00CA57C6">
      <w:pPr>
        <w:spacing w:line="360" w:lineRule="auto"/>
        <w:jc w:val="both"/>
        <w:rPr>
          <w:rFonts w:ascii="Times New Roman" w:eastAsiaTheme="minorEastAsia" w:hAnsi="Times New Roman" w:cs="Times New Roman"/>
        </w:rPr>
      </w:pPr>
      <m:oMathPara>
        <m:oMath>
          <m:sSub>
            <m:sSubPr>
              <m:ctrlPr>
                <w:rPr>
                  <w:rFonts w:ascii="Cambria Math" w:hAnsi="Cambria Math"/>
                </w:rPr>
              </m:ctrlPr>
            </m:sSubPr>
            <m:e>
              <m:r>
                <w:rPr>
                  <w:rFonts w:ascii="Cambria Math" w:hAnsi="Cambria Math"/>
                </w:rPr>
                <m:t>ln(Wage)</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I</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IC</m:t>
          </m:r>
          <m:sSub>
            <m:sSubPr>
              <m:ctrlPr>
                <w:rPr>
                  <w:rFonts w:ascii="Cambria Math" w:hAnsi="Cambria Math"/>
                </w:rPr>
              </m:ctrlPr>
            </m:sSubPr>
            <m:e>
              <m:r>
                <w:rPr>
                  <w:rFonts w:ascii="Cambria Math" w:hAnsi="Cambria Math"/>
                </w:rPr>
                <m:t>T</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(AI×ICT</m:t>
          </m:r>
          <m:sSub>
            <m:sSubPr>
              <m:ctrlPr>
                <w:rPr>
                  <w:rFonts w:ascii="Cambria Math" w:hAnsi="Cambria Math"/>
                </w:rPr>
              </m:ctrlPr>
            </m:sSubPr>
            <m:e>
              <m:r>
                <w:rPr>
                  <w:rFonts w:ascii="Cambria Math" w:hAnsi="Cambria Math"/>
                </w:rPr>
                <m:t>)</m:t>
              </m:r>
            </m:e>
            <m:sub>
              <m:r>
                <w:rPr>
                  <w:rFonts w:ascii="Cambria Math" w:hAnsi="Cambria Math"/>
                </w:rPr>
                <m:t>it</m:t>
              </m:r>
            </m:sub>
          </m:sSub>
          <m:r>
            <w:rPr>
              <w:rFonts w:ascii="Cambria Math" w:hAnsi="Cambria Math"/>
            </w:rPr>
            <m:t>+γ</m:t>
          </m:r>
          <m:sSub>
            <m:sSubPr>
              <m:ctrlPr>
                <w:rPr>
                  <w:rFonts w:ascii="Cambria Math" w:hAnsi="Cambria Math"/>
                </w:rPr>
              </m:ctrlPr>
            </m:sSubPr>
            <m:e>
              <m:r>
                <m:rPr>
                  <m:sty m:val="b"/>
                </m:rP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76940F79" w14:textId="5B0260EE" w:rsidR="000B609C" w:rsidRPr="000B609C" w:rsidRDefault="000B609C" w:rsidP="000B609C">
      <w:pPr>
        <w:pStyle w:val="thesisheading3"/>
      </w:pPr>
      <w:bookmarkStart w:id="33" w:name="_Toc230044142"/>
      <w:r w:rsidRPr="000B609C">
        <w:t>2.3.3. Correlated random effects specification</w:t>
      </w:r>
      <w:bookmarkEnd w:id="33"/>
    </w:p>
    <w:p w14:paraId="4D64CEF2" w14:textId="51A070A5" w:rsidR="00620BDC" w:rsidRDefault="00620BDC" w:rsidP="00634A2C">
      <w:pPr>
        <w:pStyle w:val="Thesisbody"/>
      </w:pPr>
      <w:r w:rsidRPr="00620BDC">
        <w:t xml:space="preserve">While </w:t>
      </w:r>
      <w:r w:rsidR="004E0087" w:rsidRPr="00887C20">
        <w:t>Two-Way Fixed Effects</w:t>
      </w:r>
      <w:r w:rsidRPr="00620BDC">
        <w:t xml:space="preserve"> consistently estimates within-entity effects, it discards all between-entity variation and drops any time-invariant structural variables. Given that a core interest of this study is whether </w:t>
      </w:r>
      <w:r w:rsidRPr="008975EC">
        <w:t>structurally</w:t>
      </w:r>
      <w:r w:rsidRPr="00620BDC">
        <w:t> ICT-intensive sectors generate higher AI wage premia, a specification that recovers both within- and between-effects is required. The Correlated Random Effects (CRE) model of Mundlak achieves this by explicitly modelling the unobserved entity effect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620BDC">
        <w:t> as a linear function of the within-entity time averages of all time-varying regressors</w:t>
      </w:r>
      <w:r w:rsidR="008975EC">
        <w:t xml:space="preserve"> [</w:t>
      </w:r>
      <w:r w:rsidR="006B1265">
        <w:t>31</w:t>
      </w:r>
      <w:r w:rsidR="008975EC">
        <w:t>]</w:t>
      </w:r>
      <w:r w:rsidRPr="00620BDC">
        <w:t>:</w:t>
      </w:r>
    </w:p>
    <w:p w14:paraId="1BB524C9" w14:textId="1EE39173" w:rsidR="00620BDC" w:rsidRDefault="00000000" w:rsidP="00CA57C6">
      <w:pPr>
        <w:spacing w:line="360" w:lineRule="auto"/>
        <w:jc w:val="both"/>
        <w:rPr>
          <w:rFonts w:ascii="Times New Roman" w:hAnsi="Times New Roman" w:cs="Times New Roman"/>
          <w:sz w:val="24"/>
          <w:szCs w:val="24"/>
        </w:rPr>
      </w:pPr>
      <m:oMathPara>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θ</m:t>
          </m:r>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m:rPr>
                      <m:sty m:val="b"/>
                    </m:rPr>
                    <w:rPr>
                      <w:rFonts w:ascii="Cambria Math" w:hAnsi="Cambria Math" w:cs="Times New Roman"/>
                      <w:sz w:val="24"/>
                      <w:szCs w:val="24"/>
                    </w:rPr>
                    <m:t>X</m:t>
                  </m:r>
                </m:e>
              </m:acc>
            </m:e>
            <m:sub>
              <m:r>
                <w:rPr>
                  <w:rFonts w:ascii="Cambria Math" w:hAnsi="Cambria Math" w:cs="Times New Roman"/>
                  <w:sz w:val="24"/>
                  <w:szCs w:val="24"/>
                </w:rPr>
                <m:t>i</m:t>
              </m:r>
            </m:sub>
          </m:sSub>
          <m:r>
            <w:rPr>
              <w:rFonts w:ascii="Cambria Math" w:hAnsi="Cambria Math"/>
            </w:rPr>
            <m:t xml:space="preserve">+ </m:t>
          </m:r>
          <m:sSub>
            <m:sSubPr>
              <m:ctrlPr>
                <w:rPr>
                  <w:rFonts w:ascii="Cambria Math" w:hAnsi="Cambria Math"/>
                </w:rPr>
              </m:ctrlPr>
            </m:sSubPr>
            <m:e>
              <m:r>
                <w:rPr>
                  <w:rFonts w:ascii="Cambria Math" w:hAnsi="Cambria Math"/>
                </w:rPr>
                <m:t>ζ</m:t>
              </m:r>
            </m:e>
            <m:sub>
              <m:r>
                <w:rPr>
                  <w:rFonts w:ascii="Cambria Math" w:hAnsi="Cambria Math"/>
                </w:rPr>
                <m:t>i</m:t>
              </m:r>
            </m:sub>
          </m:sSub>
        </m:oMath>
      </m:oMathPara>
    </w:p>
    <w:p w14:paraId="5A424B9E" w14:textId="77777777" w:rsidR="00620BDC" w:rsidRPr="00620BDC" w:rsidRDefault="00620BDC" w:rsidP="00620BDC">
      <w:pPr>
        <w:spacing w:line="360" w:lineRule="auto"/>
        <w:jc w:val="both"/>
        <w:rPr>
          <w:rFonts w:ascii="Times New Roman" w:hAnsi="Times New Roman" w:cs="Times New Roman"/>
          <w:sz w:val="24"/>
          <w:szCs w:val="24"/>
          <w:lang w:val="en"/>
        </w:rPr>
      </w:pPr>
      <w:r w:rsidRPr="00620BDC">
        <w:rPr>
          <w:rFonts w:ascii="Times New Roman" w:hAnsi="Times New Roman" w:cs="Times New Roman"/>
          <w:sz w:val="24"/>
          <w:szCs w:val="24"/>
          <w:lang w:val="en"/>
        </w:rPr>
        <w:t>Substituting this into the random effects equation yields the estimable CRE specification:</w:t>
      </w:r>
    </w:p>
    <w:p w14:paraId="3C5BC99C" w14:textId="7F93564D" w:rsidR="00620BDC" w:rsidRPr="00620BDC" w:rsidRDefault="00620BDC" w:rsidP="00620BDC">
      <w:pPr>
        <w:spacing w:line="360" w:lineRule="auto"/>
        <w:jc w:val="both"/>
        <w:rPr>
          <w:rFonts w:ascii="Times New Roman" w:hAnsi="Times New Roman" w:cs="Times New Roman"/>
          <w:sz w:val="24"/>
          <w:szCs w:val="24"/>
          <w:lang w:val="en"/>
        </w:rPr>
      </w:pPr>
      <m:oMathPara>
        <m:oMath>
          <m:r>
            <m:rPr>
              <m:sty m:val="p"/>
            </m:rPr>
            <w:rPr>
              <w:rFonts w:ascii="Cambria Math" w:hAnsi="Cambria Math" w:cs="Times New Roman"/>
              <w:sz w:val="24"/>
              <w:szCs w:val="24"/>
            </w:rPr>
            <m:t>ln</m:t>
          </m:r>
          <m:r>
            <w:rPr>
              <w:rFonts w:ascii="Cambria Math" w:hAnsi="Cambria Math" w:cs="Times New Roman"/>
              <w:sz w:val="24"/>
              <w:szCs w:val="24"/>
            </w:rPr>
            <m:t>⁡(Wage</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w1</m:t>
              </m:r>
            </m:sub>
          </m:sSub>
          <m:r>
            <w:rPr>
              <w:rFonts w:ascii="Cambria Math" w:hAnsi="Cambria Math" w:cs="Times New Roman"/>
              <w:sz w:val="24"/>
              <w:szCs w:val="24"/>
            </w:rPr>
            <m:t>A</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w2</m:t>
              </m:r>
            </m:sub>
          </m:sSub>
          <m:r>
            <w:rPr>
              <w:rFonts w:ascii="Cambria Math" w:hAnsi="Cambria Math" w:cs="Times New Roman"/>
              <w:sz w:val="24"/>
              <w:szCs w:val="24"/>
            </w:rPr>
            <m:t>IC</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w3</m:t>
              </m:r>
            </m:sub>
          </m:sSub>
          <m:r>
            <w:rPr>
              <w:rFonts w:ascii="Cambria Math" w:hAnsi="Cambria Math" w:cs="Times New Roman"/>
              <w:sz w:val="24"/>
              <w:szCs w:val="24"/>
            </w:rPr>
            <m:t>(AI×ICT</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γ</m:t>
              </m:r>
            </m:e>
            <m:sub>
              <m:r>
                <w:rPr>
                  <w:rFonts w:ascii="Cambria Math" w:hAnsi="Cambria Math" w:cs="Times New Roman"/>
                  <w:sz w:val="24"/>
                  <w:szCs w:val="24"/>
                </w:rPr>
                <m:t>w</m:t>
              </m:r>
            </m:sub>
          </m:sSub>
          <m:sSub>
            <m:sSubPr>
              <m:ctrlPr>
                <w:rPr>
                  <w:rFonts w:ascii="Cambria Math" w:hAnsi="Cambria Math" w:cs="Times New Roman"/>
                  <w:sz w:val="24"/>
                  <w:szCs w:val="24"/>
                </w:rPr>
              </m:ctrlPr>
            </m:sSubPr>
            <m:e>
              <m:r>
                <m:rPr>
                  <m:sty m:val="b"/>
                </m:rPr>
                <w:rPr>
                  <w:rFonts w:ascii="Cambria Math" w:hAnsi="Cambria Math" w:cs="Times New Roman"/>
                  <w:sz w:val="24"/>
                  <w:szCs w:val="24"/>
                </w:rPr>
                <m:t>X</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1</m:t>
              </m:r>
            </m:sub>
          </m:sSub>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w:rPr>
                      <w:rFonts w:ascii="Cambria Math" w:hAnsi="Cambria Math" w:cs="Times New Roman"/>
                      <w:sz w:val="24"/>
                      <w:szCs w:val="24"/>
                    </w:rPr>
                    <m:t>AI</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2</m:t>
              </m:r>
            </m:sub>
          </m:sSub>
          <m:sSub>
            <m:sSubPr>
              <m:ctrlPr>
                <w:rPr>
                  <w:rFonts w:ascii="Cambria Math" w:hAnsi="Cambria Math" w:cs="Times New Roman"/>
                  <w:sz w:val="24"/>
                  <w:szCs w:val="24"/>
                </w:rPr>
              </m:ctrlPr>
            </m:sSubPr>
            <m:e>
              <m:acc>
                <m:accPr>
                  <m:chr m:val="‾"/>
                  <m:ctrlPr>
                    <w:rPr>
                      <w:rFonts w:ascii="Cambria Math" w:hAnsi="Cambria Math" w:cs="Times New Roman"/>
                      <w:sz w:val="24"/>
                      <w:szCs w:val="24"/>
                    </w:rPr>
                  </m:ctrlPr>
                </m:accPr>
                <m:e>
                  <m:r>
                    <w:rPr>
                      <w:rFonts w:ascii="Cambria Math" w:hAnsi="Cambria Math" w:cs="Times New Roman"/>
                      <w:sz w:val="24"/>
                      <w:szCs w:val="24"/>
                    </w:rPr>
                    <m:t>ICT</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3</m:t>
              </m:r>
            </m:sub>
          </m:sSub>
          <m:sSub>
            <m:sSubPr>
              <m:ctrlPr>
                <w:rPr>
                  <w:rFonts w:ascii="Cambria Math" w:hAnsi="Cambria Math" w:cs="Times New Roman"/>
                  <w:sz w:val="24"/>
                  <w:szCs w:val="24"/>
                </w:rPr>
              </m:ctrlPr>
            </m:sSubPr>
            <m:e>
              <m:acc>
                <m:accPr>
                  <m:chr m:val="‾"/>
                  <m:ctrlPr>
                    <w:rPr>
                      <w:rFonts w:ascii="Cambria Math" w:hAnsi="Cambria Math" w:cs="Times New Roman"/>
                      <w:sz w:val="24"/>
                      <w:szCs w:val="24"/>
                    </w:rPr>
                  </m:ctrlPr>
                </m:accPr>
                <m:e>
                  <m:d>
                    <m:dPr>
                      <m:sepChr m:val="×"/>
                      <m:ctrlPr>
                        <w:rPr>
                          <w:rFonts w:ascii="Cambria Math" w:hAnsi="Cambria Math" w:cs="Times New Roman"/>
                          <w:sz w:val="24"/>
                          <w:szCs w:val="24"/>
                        </w:rPr>
                      </m:ctrlPr>
                    </m:dPr>
                    <m:e>
                      <m:r>
                        <w:rPr>
                          <w:rFonts w:ascii="Cambria Math" w:hAnsi="Cambria Math" w:cs="Times New Roman"/>
                          <w:sz w:val="24"/>
                          <w:szCs w:val="24"/>
                        </w:rPr>
                        <m:t>AI</m:t>
                      </m:r>
                    </m:e>
                    <m:e>
                      <m:r>
                        <w:rPr>
                          <w:rFonts w:ascii="Cambria Math" w:hAnsi="Cambria Math" w:cs="Times New Roman"/>
                          <w:sz w:val="24"/>
                          <w:szCs w:val="24"/>
                        </w:rPr>
                        <m:t>ICT</m:t>
                      </m:r>
                    </m:e>
                  </m:d>
                </m:e>
              </m:acc>
            </m:e>
            <m:sub>
              <m:r>
                <w:rPr>
                  <w:rFonts w:ascii="Cambria Math" w:hAnsi="Cambria Math" w:cs="Times New Roman"/>
                  <w:sz w:val="24"/>
                  <w:szCs w:val="24"/>
                </w:rPr>
                <m:t>i</m:t>
              </m:r>
            </m:sub>
          </m:sSub>
          <m:r>
            <w:rPr>
              <w:rFonts w:ascii="Cambria Math" w:hAnsi="Cambria Math" w:cs="Times New Roman"/>
              <w:sz w:val="24"/>
              <w:szCs w:val="24"/>
            </w:rPr>
            <m:t>+ϕ</m:t>
          </m:r>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m:rPr>
                      <m:sty m:val="b"/>
                    </m:rPr>
                    <w:rPr>
                      <w:rFonts w:ascii="Cambria Math" w:hAnsi="Cambria Math" w:cs="Times New Roman"/>
                      <w:sz w:val="24"/>
                      <w:szCs w:val="24"/>
                    </w:rPr>
                    <m:t>X</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ζ</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ε</m:t>
              </m:r>
            </m:e>
            <m:sub>
              <m:r>
                <w:rPr>
                  <w:rFonts w:ascii="Cambria Math" w:hAnsi="Cambria Math" w:cs="Times New Roman"/>
                  <w:sz w:val="24"/>
                  <w:szCs w:val="24"/>
                </w:rPr>
                <m:t>it</m:t>
              </m:r>
            </m:sub>
          </m:sSub>
        </m:oMath>
      </m:oMathPara>
    </w:p>
    <w:p w14:paraId="28523E04" w14:textId="1B4CA709" w:rsidR="00620BDC" w:rsidRDefault="00620BDC" w:rsidP="00634A2C">
      <w:pPr>
        <w:pStyle w:val="Thesisbody"/>
        <w:rPr>
          <w:lang w:val="en"/>
        </w:rPr>
      </w:pPr>
      <w:r w:rsidRPr="00620BDC">
        <w:rPr>
          <w:lang w:val="en"/>
        </w:rPr>
        <w:t>The </w:t>
      </w:r>
      <m:oMath>
        <m:sSub>
          <m:sSubPr>
            <m:ctrlPr>
              <w:rPr>
                <w:rFonts w:ascii="Cambria Math" w:hAnsi="Cambria Math"/>
              </w:rPr>
            </m:ctrlPr>
          </m:sSubPr>
          <m:e>
            <m:r>
              <w:rPr>
                <w:rFonts w:ascii="Cambria Math" w:hAnsi="Cambria Math"/>
              </w:rPr>
              <m:t>β</m:t>
            </m:r>
          </m:e>
          <m:sub>
            <m:r>
              <w:rPr>
                <w:rFonts w:ascii="Cambria Math" w:hAnsi="Cambria Math"/>
              </w:rPr>
              <m:t>w</m:t>
            </m:r>
          </m:sub>
        </m:sSub>
      </m:oMath>
      <w:r w:rsidRPr="00620BDC">
        <w:rPr>
          <w:lang w:val="en"/>
        </w:rPr>
        <w:t xml:space="preserve"> coefficients recover the within-effects equivalent to the </w:t>
      </w:r>
      <w:r w:rsidR="00851EFB" w:rsidRPr="00887C20">
        <w:t>Two-Way Fixed Effects</w:t>
      </w:r>
      <w:r w:rsidRPr="00620BDC">
        <w:rPr>
          <w:lang w:val="en"/>
        </w:rPr>
        <w:t xml:space="preserve"> estimators</w:t>
      </w:r>
      <w:r w:rsidR="00851EFB">
        <w:rPr>
          <w:lang w:val="en"/>
        </w:rPr>
        <w:t xml:space="preserve">, </w:t>
      </w:r>
      <w:r w:rsidRPr="00620BDC">
        <w:rPr>
          <w:lang w:val="en"/>
        </w:rPr>
        <w:t>while the </w:t>
      </w:r>
      <m:oMath>
        <m:r>
          <w:rPr>
            <w:rFonts w:ascii="Cambria Math" w:hAnsi="Cambria Math"/>
          </w:rPr>
          <m:t>θ</m:t>
        </m:r>
      </m:oMath>
      <w:r w:rsidRPr="00620BDC">
        <w:rPr>
          <w:lang w:val="en"/>
        </w:rPr>
        <w:t> coefficients on the entity-level means capture the </w:t>
      </w:r>
      <w:r w:rsidRPr="00851EFB">
        <w:rPr>
          <w:lang w:val="en"/>
        </w:rPr>
        <w:t>between</w:t>
      </w:r>
      <w:r w:rsidRPr="00620BDC">
        <w:rPr>
          <w:lang w:val="en"/>
        </w:rPr>
        <w:t xml:space="preserve">-effects, reflecting structural cross-sectional differences between sectors. This dual identification is the primary methodological advantage of the CRE approach over pure </w:t>
      </w:r>
      <w:r w:rsidR="00851EFB" w:rsidRPr="00887C20">
        <w:t>Two-Way Fixed Effects</w:t>
      </w:r>
      <w:r w:rsidR="00851EFB" w:rsidRPr="00620BDC">
        <w:rPr>
          <w:lang w:val="en"/>
        </w:rPr>
        <w:t xml:space="preserve"> </w:t>
      </w:r>
      <w:r w:rsidR="00851EFB" w:rsidRPr="00620BDC">
        <w:rPr>
          <w:lang w:val="en"/>
        </w:rPr>
        <w:lastRenderedPageBreak/>
        <w:t>estimator</w:t>
      </w:r>
      <w:r w:rsidRPr="00620BDC">
        <w:rPr>
          <w:lang w:val="en"/>
        </w:rPr>
        <w:t>:</w:t>
      </w:r>
      <w:r w:rsidR="00851EFB">
        <w:rPr>
          <w:lang w:val="en"/>
        </w:rPr>
        <w:t xml:space="preserve">  because</w:t>
      </w:r>
      <w:r w:rsidRPr="00620BDC">
        <w:rPr>
          <w:lang w:val="en"/>
        </w:rPr>
        <w:t xml:space="preserve"> it allows testing whether the AI–wage premium operates through temporal adoption dynamics (within), through persistent sectoral ICT endowments (between), or both</w:t>
      </w:r>
      <w:r w:rsidR="00F637B0">
        <w:rPr>
          <w:lang w:val="en"/>
        </w:rPr>
        <w:t xml:space="preserve"> [26, </w:t>
      </w:r>
      <w:r w:rsidR="006B1265">
        <w:rPr>
          <w:lang w:val="en"/>
        </w:rPr>
        <w:t>31]</w:t>
      </w:r>
      <w:r w:rsidRPr="00620BDC">
        <w:rPr>
          <w:lang w:val="en"/>
        </w:rPr>
        <w:t xml:space="preserve">. </w:t>
      </w:r>
    </w:p>
    <w:p w14:paraId="35FC3FEA" w14:textId="4C431586" w:rsidR="00620BDC" w:rsidRPr="00865419" w:rsidRDefault="00D3195F" w:rsidP="00634A2C">
      <w:pPr>
        <w:pStyle w:val="Thesisbody"/>
      </w:pPr>
      <w:r w:rsidRPr="00D3195F">
        <w:t xml:space="preserve">Each estimation stage is accompanied by a set of diagnostic tests to validate the underlying model assumptions and confirm specification choices. The cross-sectional OLS specifications are subjected to tests for heteroskedasticity, functional form, and multicollinearity. For the </w:t>
      </w:r>
      <w:r>
        <w:t>T</w:t>
      </w:r>
      <w:r w:rsidRPr="00D3195F">
        <w:t>wo-</w:t>
      </w:r>
      <w:r>
        <w:t>W</w:t>
      </w:r>
      <w:r w:rsidRPr="00D3195F">
        <w:t xml:space="preserve">ay </w:t>
      </w:r>
      <w:r>
        <w:t>F</w:t>
      </w:r>
      <w:r w:rsidRPr="00D3195F">
        <w:t xml:space="preserve">ixed </w:t>
      </w:r>
      <w:r>
        <w:t>E</w:t>
      </w:r>
      <w:r w:rsidRPr="00D3195F">
        <w:t>ffects model, formal</w:t>
      </w:r>
      <w:r w:rsidR="00865419">
        <w:t xml:space="preserve"> specification</w:t>
      </w:r>
      <w:r w:rsidRPr="00D3195F">
        <w:t xml:space="preserve"> tests are applied</w:t>
      </w:r>
      <w:r w:rsidR="00865419">
        <w:t>.</w:t>
      </w:r>
      <w:r w:rsidRPr="00D3195F">
        <w:t xml:space="preserve"> The CRE model is validated through a Mundlak–Hausman test. Detailed test statistics and their implications for specification choices are reported in the results chapter.</w:t>
      </w:r>
    </w:p>
    <w:p w14:paraId="016DEDEE" w14:textId="6BD5D29C" w:rsidR="001547AF" w:rsidRDefault="001547AF">
      <w:pPr>
        <w:rPr>
          <w:rFonts w:ascii="Times New Roman" w:hAnsi="Times New Roman" w:cs="Times New Roman"/>
          <w:sz w:val="24"/>
          <w:szCs w:val="24"/>
        </w:rPr>
      </w:pPr>
      <w:r>
        <w:rPr>
          <w:rFonts w:ascii="Times New Roman" w:hAnsi="Times New Roman" w:cs="Times New Roman"/>
          <w:sz w:val="24"/>
          <w:szCs w:val="24"/>
        </w:rPr>
        <w:br w:type="page"/>
      </w:r>
    </w:p>
    <w:p w14:paraId="04FD98D2" w14:textId="5112CBD4" w:rsidR="00620BDC" w:rsidRDefault="00407216" w:rsidP="00CA57C6">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CHAPTER III</w:t>
      </w:r>
    </w:p>
    <w:p w14:paraId="17ED1B6C" w14:textId="77777777" w:rsidR="00407216" w:rsidRPr="00EA04C9" w:rsidRDefault="00407216" w:rsidP="00CA57C6">
      <w:pPr>
        <w:spacing w:line="360" w:lineRule="auto"/>
        <w:jc w:val="both"/>
        <w:rPr>
          <w:rFonts w:ascii="Times New Roman" w:hAnsi="Times New Roman" w:cs="Times New Roman"/>
          <w:sz w:val="24"/>
          <w:szCs w:val="24"/>
        </w:rPr>
      </w:pPr>
    </w:p>
    <w:p w14:paraId="2A529246" w14:textId="1BC5541B" w:rsidR="00E21666" w:rsidRDefault="00CE2656" w:rsidP="00E21666">
      <w:pPr>
        <w:pStyle w:val="Heading2"/>
        <w:rPr>
          <w:rFonts w:ascii="Times New Roman" w:hAnsi="Times New Roman" w:cs="Times New Roman"/>
          <w:sz w:val="24"/>
          <w:szCs w:val="24"/>
        </w:rPr>
      </w:pPr>
      <w:bookmarkStart w:id="34" w:name="_Toc230044143"/>
      <w:r w:rsidRPr="00EA04C9">
        <w:rPr>
          <w:rFonts w:ascii="Times New Roman" w:hAnsi="Times New Roman" w:cs="Times New Roman"/>
          <w:sz w:val="24"/>
          <w:szCs w:val="24"/>
        </w:rPr>
        <w:t>Results</w:t>
      </w:r>
      <w:bookmarkEnd w:id="34"/>
      <w:r w:rsidRPr="00EA04C9">
        <w:rPr>
          <w:rFonts w:ascii="Times New Roman" w:hAnsi="Times New Roman" w:cs="Times New Roman"/>
          <w:sz w:val="24"/>
          <w:szCs w:val="24"/>
        </w:rPr>
        <w:t xml:space="preserve"> </w:t>
      </w:r>
      <w:r w:rsidR="00AF27EE">
        <w:rPr>
          <w:rFonts w:ascii="Times New Roman" w:hAnsi="Times New Roman" w:cs="Times New Roman"/>
          <w:sz w:val="24"/>
          <w:szCs w:val="24"/>
        </w:rPr>
        <w:tab/>
      </w:r>
    </w:p>
    <w:p w14:paraId="4C1EDE86" w14:textId="77777777" w:rsidR="00590EF7" w:rsidRPr="00590EF7" w:rsidRDefault="00590EF7" w:rsidP="00590EF7">
      <w:pPr>
        <w:pStyle w:val="Heading3"/>
      </w:pPr>
      <w:bookmarkStart w:id="35" w:name="_Toc230044144"/>
      <w:r w:rsidRPr="00590EF7">
        <w:t>Cross-Sectional Models (2021–2024): The Structural AI–Wage Relationship</w:t>
      </w:r>
      <w:bookmarkEnd w:id="35"/>
    </w:p>
    <w:p w14:paraId="6D7F7F9D" w14:textId="416404D4" w:rsidR="00590EF7" w:rsidRDefault="00AC63B5" w:rsidP="00E123DC">
      <w:pPr>
        <w:pStyle w:val="Thesisbody"/>
      </w:pPr>
      <w:commentRangeStart w:id="36"/>
      <w:r w:rsidRPr="00AC63B5">
        <w:t xml:space="preserve">Cross-sectional </w:t>
      </w:r>
      <w:commentRangeEnd w:id="36"/>
      <w:r w:rsidR="00607520" w:rsidRPr="00AC63B5">
        <w:rPr>
          <w:rStyle w:val="CommentReference"/>
          <w:sz w:val="24"/>
          <w:szCs w:val="24"/>
        </w:rPr>
        <w:commentReference w:id="36"/>
      </w:r>
      <w:r w:rsidRPr="00AC63B5">
        <w:t>models, estimated separately for each year from 2021 to 2024, capture the between-sector, structural relationship between AI adoption and wage levels. This design directly addresses Hypothesis 2 (H2): Sectors that are structurally more advanced in AI adoption pay higher wages on average, reflecting the reinstatement effect, but this wage premium diminishes at higher levels of sectoral ICT capacity. The theoretical justification for a cross-sectional approach rests on the variance structure of the dataset: the between-sector standard deviation in real wages (9.59 EUR/hour) is approximately twelve times larger than the within-sector standard deviation over time (0.80 EUR/hour), as documented in the</w:t>
      </w:r>
      <w:r w:rsidR="00EC085F">
        <w:t xml:space="preserve"> data analysis </w:t>
      </w:r>
      <w:r w:rsidRPr="00AC63B5">
        <w:t xml:space="preserve"> section. This confirms that the structurally relevant signal</w:t>
      </w:r>
      <w:r w:rsidR="00EC085F">
        <w:t xml:space="preserve">, </w:t>
      </w:r>
      <w:r w:rsidRPr="00AC63B5">
        <w:t xml:space="preserve">the long-run wage hierarchy across sectors at different stages of AI </w:t>
      </w:r>
      <w:r w:rsidR="00EC085F">
        <w:t xml:space="preserve">adoption, </w:t>
      </w:r>
      <w:r w:rsidRPr="00AC63B5">
        <w:t xml:space="preserve"> lives in the cross-sectional dimension of the data, not in its short-run time variation. As Acemoglu and Restrepo establish</w:t>
      </w:r>
      <w:r w:rsidR="00EC085F">
        <w:t xml:space="preserve"> in their work “Task, Automation and the Rise in US Wage Inequality”</w:t>
      </w:r>
      <w:r w:rsidRPr="00AC63B5">
        <w:t>, the displacement effect on wages is a structural equilibrium outcome: sectors that adopted automation earlier and more intensively exhibit permanently lower task shares for routine workers and persistently suppressed wages for affected groups</w:t>
      </w:r>
      <w:r w:rsidR="00EC085F">
        <w:t xml:space="preserve"> [15]</w:t>
      </w:r>
      <w:r w:rsidRPr="00AC63B5">
        <w:t>. A cross-sectional OLS with country and sector fixed effects is therefore the appropriate estimator for isolating this settled, between-sector relationship.</w:t>
      </w:r>
    </w:p>
    <w:p w14:paraId="0366CB63" w14:textId="056122C1" w:rsidR="009026C0" w:rsidRDefault="009026C0" w:rsidP="00AC63B5">
      <w:pPr>
        <w:spacing w:line="360" w:lineRule="auto"/>
        <w:jc w:val="both"/>
        <w:rPr>
          <w:rFonts w:ascii="Times New Roman" w:hAnsi="Times New Roman" w:cs="Times New Roman"/>
          <w:sz w:val="24"/>
          <w:szCs w:val="24"/>
        </w:rPr>
      </w:pPr>
      <w:r>
        <w:rPr>
          <w:rFonts w:ascii="Times New Roman" w:hAnsi="Times New Roman" w:cs="Times New Roman"/>
          <w:sz w:val="24"/>
          <w:szCs w:val="24"/>
        </w:rPr>
        <w:t>Cross-sectional Models Diagnostic Tests</w:t>
      </w:r>
    </w:p>
    <w:p w14:paraId="7619F1ED" w14:textId="7ECA4829" w:rsidR="009026C0" w:rsidRPr="009026C0" w:rsidRDefault="009026C0" w:rsidP="00E123DC">
      <w:pPr>
        <w:pStyle w:val="Thesisbody"/>
      </w:pPr>
      <w:r w:rsidRPr="009026C0">
        <w:t>To assess the validity of the homoskedasticity assumption, the Breusch-Pagan test was applied to all estimated cross-sectional specifications. The null hypothesis states that error variance is constant across observations, while the alternative indicates that variance depends on the independent variables. As Wooldridge notes, heteroskedasticity does not bias OLS coefficient estimates but invalidates standard errors, t-statistics, and F-statistics</w:t>
      </w:r>
      <w:r>
        <w:t xml:space="preserve"> </w:t>
      </w:r>
      <w:r w:rsidRPr="00EA04C9">
        <w:t xml:space="preserve"> [</w:t>
      </w:r>
      <w:r w:rsidR="0011420F">
        <w:t>30</w:t>
      </w:r>
      <w:r w:rsidRPr="00EA04C9">
        <w:t>]</w:t>
      </w:r>
      <w:r w:rsidRPr="009026C0">
        <w:t>. The Breusch-Pagan test confirmed heteroskedasticity in </w:t>
      </w:r>
      <w:r w:rsidR="00CC1C30" w:rsidRPr="00CC1C30">
        <w:t xml:space="preserve">all </w:t>
      </w:r>
      <w:r w:rsidRPr="009026C0">
        <w:t xml:space="preserve">estimated specifications. This result is consistent with the nature of cross-country sectoral data where units exhibit fundamentally different variance structures, as documented in the </w:t>
      </w:r>
      <w:r w:rsidR="000D43FD">
        <w:t>data analysis chapter in</w:t>
      </w:r>
      <w:r w:rsidRPr="009026C0">
        <w:t xml:space="preserve"> distribution analysis</w:t>
      </w:r>
      <w:r w:rsidR="00B32E64">
        <w:t xml:space="preserve"> part</w:t>
      </w:r>
      <w:r w:rsidRPr="009026C0">
        <w:t xml:space="preserve">. Given the small sample of 134 observations per cross-section, standard HC0 robust estimators may perform poorly. Following Long and Ervin (2000) and White (1985), the HC3 variant of the heteroskedasticity-consistent covariance estimator was adopted for all </w:t>
      </w:r>
      <w:r w:rsidRPr="009026C0">
        <w:lastRenderedPageBreak/>
        <w:t>heteroskedastic specifications, as it provides superior finite-sample performance and reduces over-rejection under the null</w:t>
      </w:r>
      <w:r w:rsidR="000F4E89">
        <w:t xml:space="preserve"> </w:t>
      </w:r>
      <w:r w:rsidR="000F4E89" w:rsidRPr="00EA04C9">
        <w:t>[</w:t>
      </w:r>
      <w:r w:rsidR="00ED4806">
        <w:t>32, 33</w:t>
      </w:r>
      <w:r w:rsidR="000F4E89" w:rsidRPr="00EA04C9">
        <w:t>]</w:t>
      </w:r>
      <w:r w:rsidRPr="009026C0">
        <w:t>.</w:t>
      </w:r>
    </w:p>
    <w:p w14:paraId="3CE127BD" w14:textId="6A4D3EA2" w:rsidR="00590EF7" w:rsidRPr="000C155A" w:rsidRDefault="000C155A" w:rsidP="00E123DC">
      <w:pPr>
        <w:pStyle w:val="Thesisbody"/>
      </w:pPr>
      <w:r w:rsidRPr="000C155A">
        <w:t>The Ramsey RESET test was applied to assess whether the linear functional form is adequate. The test examines whether non-linear combinations of fitted values carry additional explanatory power</w:t>
      </w:r>
      <w:r w:rsidR="00BB55C5">
        <w:t>.</w:t>
      </w:r>
      <w:r w:rsidRPr="000C155A">
        <w:t xml:space="preserve"> </w:t>
      </w:r>
      <w:r w:rsidR="00BB55C5">
        <w:t>I</w:t>
      </w:r>
      <w:r w:rsidRPr="000C155A">
        <w:t xml:space="preserve">f they do, the linear form is rejected. </w:t>
      </w:r>
      <w:r w:rsidR="00BB55C5">
        <w:t xml:space="preserve"> Based on the test results, a</w:t>
      </w:r>
      <w:r w:rsidRPr="000C155A">
        <w:t>ll rejected the null hypothesis at the 0.1% level (all p &lt; 0.001). For instance, model 1 returned F = 33.85 (p &lt; 0.001), model 3 F = 33.85 (p &lt; 0.001), and model 9 F = 31.40 (p &lt; 0.001). This rejection motivated the inclusion of multiplicative AI × ICT interaction terms in models 9</w:t>
      </w:r>
      <w:r w:rsidR="00FC72C1">
        <w:t>-</w:t>
      </w:r>
      <w:r w:rsidRPr="000C155A">
        <w:t>28, which partially capture non-linear moderating effects. However, even with interaction terms, the RESET test continued to reject the null across all wage-level specifications</w:t>
      </w:r>
      <w:r w:rsidR="00FC72C1">
        <w:t>.</w:t>
      </w:r>
      <w:r w:rsidR="00BB55C5">
        <w:t xml:space="preserve"> </w:t>
      </w:r>
      <w:r w:rsidR="00FC72C1">
        <w:t>F</w:t>
      </w:r>
      <w:r w:rsidR="00BB55C5">
        <w:t xml:space="preserve">or instance, </w:t>
      </w:r>
      <w:r w:rsidRPr="000C155A">
        <w:t xml:space="preserve"> model 27</w:t>
      </w:r>
      <w:r w:rsidR="00BB55C5">
        <w:t xml:space="preserve"> </w:t>
      </w:r>
      <w:r w:rsidR="00BB55C5" w:rsidRPr="00E123DC">
        <w:t>with</w:t>
      </w:r>
      <w:r w:rsidRPr="00E123DC">
        <w:t xml:space="preserve"> F = 17.30, p &lt; 0.001, indicating that the true AI–wage relationship contains non-linearities beyond what a linear interaction can fully capture. This is treated as a model limitation and discussed below.</w:t>
      </w:r>
    </w:p>
    <w:p w14:paraId="3657ADDA" w14:textId="33E40C83" w:rsidR="00590EF7" w:rsidRPr="00857237" w:rsidRDefault="00F823DB" w:rsidP="00E123DC">
      <w:pPr>
        <w:pStyle w:val="Thesisbody"/>
      </w:pPr>
      <w:r w:rsidRPr="00857237">
        <w:t xml:space="preserve">Three sources of collinearity were identified and addressed. First, in specifications combining country fixed effects with country-level macroeconomic controls (GDP, inflation, unemployment), VIFs reached infinity due to perfect collinearity: these variables do not vary across sectors within a country and are fully absorbed by country dummies. Macroeconomic controls were accordingly excluded from all fixed-effects specifications, following Wooldridge </w:t>
      </w:r>
      <w:r w:rsidR="00372814" w:rsidRPr="00EA04C9">
        <w:t>[</w:t>
      </w:r>
      <w:r w:rsidR="0029396C">
        <w:t>30</w:t>
      </w:r>
      <w:r w:rsidR="00372814">
        <w:t>].</w:t>
      </w:r>
      <w:r w:rsidR="007B6824">
        <w:t xml:space="preserve"> </w:t>
      </w:r>
      <w:r w:rsidRPr="00857237">
        <w:t>Second, baseline models showed high VIFs for high-skill occupations (56</w:t>
      </w:r>
      <w:r w:rsidR="00D4791D">
        <w:t>-</w:t>
      </w:r>
      <w:r w:rsidRPr="00857237">
        <w:t>66), tertiary education (33</w:t>
      </w:r>
      <w:r w:rsidR="00D4791D">
        <w:t>-</w:t>
      </w:r>
      <w:r w:rsidRPr="00857237">
        <w:t>37), and the sector J dummy (27</w:t>
      </w:r>
      <w:r w:rsidR="00D4791D">
        <w:t>-</w:t>
      </w:r>
      <w:r w:rsidRPr="00857237">
        <w:t>37), reflecting the structural overlap between these variables. Education and occupation shares were dropped from AI</w:t>
      </w:r>
      <w:r w:rsidR="009F1284">
        <w:t>-</w:t>
      </w:r>
      <w:r w:rsidR="007B6824">
        <w:t>I</w:t>
      </w:r>
      <w:r w:rsidRPr="00857237">
        <w:t>CT specifications, with sector fixed effects retained to absorb workforce composition. Third, inclusion of the AI × ICT interaction term inflated VIFs for the AI variable (from 9.7</w:t>
      </w:r>
      <w:r w:rsidR="00D4791D">
        <w:t>-</w:t>
      </w:r>
      <w:r w:rsidRPr="00857237">
        <w:t>19.4 to 39.2</w:t>
      </w:r>
      <w:r w:rsidR="00D4791D">
        <w:t>-</w:t>
      </w:r>
      <w:r w:rsidRPr="00857237">
        <w:t>81.7) and the interaction term itself (29.8</w:t>
      </w:r>
      <w:r w:rsidR="00D4791D">
        <w:t>-</w:t>
      </w:r>
      <w:r w:rsidRPr="00857237">
        <w:t xml:space="preserve">55.9). This is documented structural multicollinearity that arises mechanically when an interaction term is included with its constituent variables </w:t>
      </w:r>
      <w:r w:rsidR="007B6824">
        <w:t>[</w:t>
      </w:r>
      <w:r w:rsidR="00594F3C">
        <w:t>34</w:t>
      </w:r>
      <w:r w:rsidR="007B6824">
        <w:t>]</w:t>
      </w:r>
      <w:r w:rsidRPr="00857237">
        <w:t>. As Wooldridge emphasises, this does not bias coefficients</w:t>
      </w:r>
      <w:r w:rsidR="009D0F23">
        <w:t xml:space="preserve"> and just</w:t>
      </w:r>
      <w:r w:rsidRPr="00857237">
        <w:t xml:space="preserve"> inflates standard errors, making significance harder to achieve</w:t>
      </w:r>
      <w:r w:rsidR="00583DD4">
        <w:t xml:space="preserve">. </w:t>
      </w:r>
      <w:r w:rsidRPr="00857237">
        <w:t>Inference on the moderating effect is therefore based on marginal effects calculations, which are not distorted by structural multicollinearity</w:t>
      </w:r>
      <w:r w:rsidR="00206E53">
        <w:t xml:space="preserve"> </w:t>
      </w:r>
      <w:r w:rsidR="00583DD4">
        <w:t>[</w:t>
      </w:r>
      <w:r w:rsidR="00594F3C">
        <w:t>30</w:t>
      </w:r>
      <w:r w:rsidR="00583DD4">
        <w:t>]</w:t>
      </w:r>
      <w:r w:rsidRPr="00857237">
        <w:t>.</w:t>
      </w:r>
    </w:p>
    <w:p w14:paraId="347535FC" w14:textId="27167388" w:rsidR="00590EF7" w:rsidRDefault="003E61CC" w:rsidP="00E123DC">
      <w:pPr>
        <w:pStyle w:val="Thesisbody"/>
      </w:pPr>
      <w:r w:rsidRPr="003E61CC">
        <w:t>All wage-level specifications with country and sector fixed effects achieved R² between 0.978 and 0.984, and adjusted R² between 0.970 and 0.978. The high explanatory power reflects that country fixed effects absorb the dominant share of wage dispersion across Europe. The narrow R²</w:t>
      </w:r>
      <w:r w:rsidR="004B294B">
        <w:t xml:space="preserve">, </w:t>
      </w:r>
      <w:r w:rsidRPr="003E61CC">
        <w:t>adjusted R² gap (0.5</w:t>
      </w:r>
      <w:r w:rsidR="004B294B">
        <w:t>-</w:t>
      </w:r>
      <w:r w:rsidRPr="003E61CC">
        <w:t xml:space="preserve">0.8 percentage points) confirms that the included regressors </w:t>
      </w:r>
      <w:r w:rsidRPr="003E61CC">
        <w:lastRenderedPageBreak/>
        <w:t>contribute meaningful explanatory power beyond chance. Model selection using AIC and BIC consistently favoured interaction specifications over additive models across all four years</w:t>
      </w:r>
      <w:r w:rsidR="00AF2F47">
        <w:t xml:space="preserve"> </w:t>
      </w:r>
      <w:r w:rsidR="00AF2F47" w:rsidRPr="00EA04C9">
        <w:rPr>
          <w:highlight w:val="yellow"/>
        </w:rPr>
        <w:t>[</w:t>
      </w:r>
      <w:r w:rsidR="00FD5EB4">
        <w:t>26</w:t>
      </w:r>
      <w:r w:rsidR="00AF2F47">
        <w:t>]</w:t>
      </w:r>
      <w:r w:rsidR="00E40716">
        <w:t xml:space="preserve">. </w:t>
      </w:r>
      <w:r w:rsidRPr="003E61CC">
        <w:t xml:space="preserve"> In 2021, the ICT training interaction model achieved AIC = </w:t>
      </w:r>
      <w:r w:rsidR="00656048">
        <w:t>-</w:t>
      </w:r>
      <w:r w:rsidRPr="003E61CC">
        <w:t xml:space="preserve">237.9 and BIC = </w:t>
      </w:r>
      <w:r w:rsidR="00656048">
        <w:t>-</w:t>
      </w:r>
      <w:r w:rsidRPr="003E61CC">
        <w:t xml:space="preserve">130.7, compared to AIC = </w:t>
      </w:r>
      <w:r w:rsidR="00656048">
        <w:t>-</w:t>
      </w:r>
      <w:r w:rsidRPr="003E61CC">
        <w:t xml:space="preserve">212.9 and BIC = </w:t>
      </w:r>
      <w:r w:rsidR="00656048">
        <w:t>-</w:t>
      </w:r>
      <w:r w:rsidRPr="003E61CC">
        <w:t>108.6 for the additive ICT specialists model, a pattern that held across 2022</w:t>
      </w:r>
      <w:r w:rsidR="004B294B">
        <w:t>-</w:t>
      </w:r>
      <w:r w:rsidRPr="003E61CC">
        <w:t>2024</w:t>
      </w:r>
      <w:r w:rsidR="004B294B">
        <w:t xml:space="preserve"> as well</w:t>
      </w:r>
      <w:r w:rsidRPr="003E61CC">
        <w:t>.</w:t>
      </w:r>
    </w:p>
    <w:p w14:paraId="5B9710BF" w14:textId="6A228741" w:rsidR="00871CB6" w:rsidRPr="00D82992" w:rsidRDefault="00871CB6" w:rsidP="00E123DC">
      <w:pPr>
        <w:pStyle w:val="Thesisbody"/>
      </w:pPr>
      <w:r w:rsidRPr="00871CB6">
        <w:t xml:space="preserve">Based on the diagnostic evidence, the interaction specifications with country and sector fixed effects and HC3-corrected standard errors are the preferred models for inference (Models </w:t>
      </w:r>
      <w:r w:rsidR="00D71E9B">
        <w:t>u</w:t>
      </w:r>
      <w:r w:rsidRPr="00871CB6">
        <w:t xml:space="preserve">9–16 for ICT specialists, Models </w:t>
      </w:r>
      <w:r>
        <w:t>21</w:t>
      </w:r>
      <w:r w:rsidRPr="00871CB6">
        <w:t>–28 for ICT training). The choice rests on four grounds.</w:t>
      </w:r>
      <w:r>
        <w:t xml:space="preserve"> </w:t>
      </w:r>
      <w:r w:rsidRPr="00871CB6">
        <w:t>First, the AIC and BIC consistently favour interaction specifications over additive models across all four years, confirming that the interaction between AI adoption and ICT capacity provides a statistically superior description of the wage-determination process. Second, the jump in R² from 0.804 (no country FE) to 0.981 (with country FE) confirms that national wage-setting institutions explain approximately 18% of wage variation that sector-level variables alone cannot capture. Omitting country fixed effects would produce severe omitted variable bias. Third, HC3-corrected standard errors are mandatory for all wage-level specifications, as the Breusch-Pagan test confirmed heteroskedasticity in all 28 models (p &lt; 0.05 in every case). The HC3 estimator is preferred over HC0 given the modest sample of 134 observations per cross-section, where HC0 would systematically over-reject the null. Fourth, although all wage-level models fail the</w:t>
      </w:r>
      <w:commentRangeStart w:id="37"/>
      <w:commentRangeStart w:id="38"/>
      <w:r w:rsidRPr="00871CB6">
        <w:t xml:space="preserve"> RESET </w:t>
      </w:r>
      <w:commentRangeEnd w:id="37"/>
      <w:r w:rsidR="00607520" w:rsidRPr="00871CB6">
        <w:rPr>
          <w:rStyle w:val="CommentReference"/>
          <w:sz w:val="24"/>
          <w:szCs w:val="24"/>
        </w:rPr>
        <w:commentReference w:id="37"/>
      </w:r>
      <w:commentRangeEnd w:id="38"/>
      <w:r w:rsidR="003C5253" w:rsidRPr="00871CB6">
        <w:rPr>
          <w:rStyle w:val="CommentReference"/>
          <w:sz w:val="24"/>
          <w:szCs w:val="24"/>
        </w:rPr>
        <w:commentReference w:id="38"/>
      </w:r>
      <w:r w:rsidRPr="00871CB6">
        <w:t>test</w:t>
      </w:r>
      <w:r w:rsidR="00435030">
        <w:t xml:space="preserve">, </w:t>
      </w:r>
      <w:r w:rsidRPr="00871CB6">
        <w:t xml:space="preserve"> indicating residual non-linearity</w:t>
      </w:r>
      <w:r w:rsidR="00435030">
        <w:t xml:space="preserve">, </w:t>
      </w:r>
      <w:r w:rsidRPr="00871CB6">
        <w:t xml:space="preserve"> the interaction term partially addresses this by capturing the moderating, non-linear relationship between AI and ICT capacity. The failure of even the interaction models to pass RESET is treated as a limitation, not a ground for abandoning the specification.</w:t>
      </w:r>
      <w:r w:rsidR="00D82992">
        <w:t xml:space="preserve"> </w:t>
      </w:r>
      <w:r w:rsidRPr="00D82992">
        <w:t xml:space="preserve">The additive specifications are retained as benchmarks for reading the unconditional average effect of AI adoption and ICT training in isolation, but they are not the basis for testing H2. The interaction models are the primary vehicle for hypothesis testing, with marginal </w:t>
      </w:r>
      <w:r w:rsidR="00C32093">
        <w:t>effects</w:t>
      </w:r>
      <w:r w:rsidRPr="00D82992">
        <w:t xml:space="preserve"> as the unit of inference.</w:t>
      </w:r>
    </w:p>
    <w:p w14:paraId="7C549DF9" w14:textId="0A9E6F36" w:rsidR="00871CB6" w:rsidRDefault="003C0BE5" w:rsidP="003C0BE5">
      <w:pPr>
        <w:pStyle w:val="Heading3"/>
      </w:pPr>
      <w:bookmarkStart w:id="39" w:name="_Toc230044145"/>
      <w:r>
        <w:t>Models results</w:t>
      </w:r>
      <w:bookmarkEnd w:id="39"/>
      <w:r>
        <w:t xml:space="preserve"> </w:t>
      </w:r>
    </w:p>
    <w:p w14:paraId="111ADD69" w14:textId="77777777" w:rsidR="004A1B0B" w:rsidRDefault="004A1B0B" w:rsidP="00E123DC">
      <w:pPr>
        <w:pStyle w:val="Thesisbody"/>
      </w:pPr>
      <w:r w:rsidRPr="00E57728">
        <w:t>In the additive specifications without an interaction term, AI adoption exhibits a </w:t>
      </w:r>
      <w:r w:rsidRPr="00417A15">
        <w:t>consistently negative and statistically significant association with log wages across all four years</w:t>
      </w:r>
      <w:r>
        <w:t>.</w:t>
      </w:r>
    </w:p>
    <w:p w14:paraId="4EACBE50" w14:textId="3CCF2C16" w:rsidR="004A1B0B" w:rsidRPr="00E57728" w:rsidRDefault="004A1B0B" w:rsidP="00E123DC">
      <w:pPr>
        <w:pStyle w:val="Thesisbody"/>
      </w:pPr>
      <w:r w:rsidRPr="006B0452">
        <w:t>The dependent variable is the natural log of real hourly wages in EUR. The AI adoption variable and both ICT variables are measured in percentage points (0</w:t>
      </w:r>
      <w:r>
        <w:t>-</w:t>
      </w:r>
      <w:r w:rsidRPr="006B0452">
        <w:t xml:space="preserve">100). This log-level specification yields a semi-elasticity: because the independent variables enter in levels, a 1 </w:t>
      </w:r>
      <w:r w:rsidRPr="006B0452">
        <w:lastRenderedPageBreak/>
        <w:t>percentage point increase in AI adoption is associated with a</w:t>
      </w:r>
      <w:r w:rsidR="00D71E9B" w:rsidRPr="00D71E9B">
        <w:t xml:space="preserve"> </w:t>
      </w:r>
      <w:commentRangeStart w:id="40"/>
      <w:r w:rsidRPr="000C7D8D">
        <w:rPr>
          <w:highlight w:val="yellow"/>
        </w:rPr>
        <w:t>(</w:t>
      </w:r>
      <w:r w:rsidR="00D71E9B" w:rsidRPr="000C7D8D">
        <w:rPr>
          <w:highlight w:val="yellow"/>
        </w:rPr>
        <w:t>e</w:t>
      </w:r>
      <w:r w:rsidRPr="000C7D8D">
        <w:rPr>
          <w:highlight w:val="yellow"/>
        </w:rPr>
        <w:t>^</w:t>
      </w:r>
      <w:r w:rsidR="00D71E9B" w:rsidRPr="000C7D8D">
        <w:rPr>
          <w:highlight w:val="yellow"/>
        </w:rPr>
        <w:t xml:space="preserve"> β^</w:t>
      </w:r>
      <w:r w:rsidRPr="000C7D8D">
        <w:rPr>
          <w:highlight w:val="yellow"/>
        </w:rPr>
        <w:t>−1)×100%</w:t>
      </w:r>
      <w:r w:rsidRPr="006B0452">
        <w:t xml:space="preserve"> </w:t>
      </w:r>
      <w:commentRangeEnd w:id="40"/>
      <w:r w:rsidR="00607520" w:rsidRPr="006B0452">
        <w:rPr>
          <w:rStyle w:val="CommentReference"/>
          <w:sz w:val="24"/>
          <w:szCs w:val="24"/>
        </w:rPr>
        <w:commentReference w:id="40"/>
      </w:r>
      <w:r w:rsidRPr="006B0452">
        <w:t>change in real wages. For the coefficients reported in this study</w:t>
      </w:r>
      <w:r>
        <w:t xml:space="preserve"> </w:t>
      </w:r>
      <w:r w:rsidRPr="006B0452">
        <w:t xml:space="preserve">ranging from </w:t>
      </w:r>
      <w:r>
        <w:t>-</w:t>
      </w:r>
      <w:r w:rsidRPr="006B0452">
        <w:t xml:space="preserve">0.007 to </w:t>
      </w:r>
      <w:r>
        <w:t>-</w:t>
      </w:r>
      <w:r w:rsidRPr="006B0452">
        <w:t>0.013</w:t>
      </w:r>
      <w:r>
        <w:t xml:space="preserve"> </w:t>
      </w:r>
      <w:r w:rsidRPr="006B0452">
        <w:t xml:space="preserve">this precise transformation differs from the linear approximation </w:t>
      </w:r>
      <w:r w:rsidRPr="000C7D8D">
        <w:rPr>
          <w:highlight w:val="yellow"/>
        </w:rPr>
        <w:t>β^×100%</w:t>
      </w:r>
      <w:r w:rsidRPr="006B0452">
        <w:t xml:space="preserve"> by less than 0.05 percentage points, and the approximation is used throughout for readability. This is not an elasticity, which would require both variables to be log-transformed</w:t>
      </w:r>
      <w:r>
        <w:t xml:space="preserve">, </w:t>
      </w:r>
      <w:r w:rsidRPr="006B0452">
        <w:t xml:space="preserve">rather, it captures the proportional wage response to a one-unit absolute change in sectoral AI adoption. For the interaction term, which is the product of two percentage-scale variables, the coefficient is scaled by </w:t>
      </w:r>
      <m:oMath>
        <m:sSup>
          <m:sSupPr>
            <m:ctrlPr>
              <w:rPr>
                <w:rFonts w:ascii="Cambria Math" w:hAnsi="Cambria Math"/>
                <w:i/>
              </w:rPr>
            </m:ctrlPr>
          </m:sSupPr>
          <m:e>
            <m:r>
              <w:rPr>
                <w:rFonts w:ascii="Cambria Math" w:hAnsi="Cambria Math"/>
              </w:rPr>
              <m:t>10</m:t>
            </m:r>
          </m:e>
          <m:sup>
            <m:r>
              <w:rPr>
                <w:rFonts w:ascii="Cambria Math" w:hAnsi="Cambria Math"/>
              </w:rPr>
              <m:t>2</m:t>
            </m:r>
          </m:sup>
        </m:sSup>
      </m:oMath>
      <w:r>
        <w:rPr>
          <w:rFonts w:eastAsiaTheme="minorEastAsia"/>
        </w:rPr>
        <w:t xml:space="preserve"> </w:t>
      </w:r>
      <w:r w:rsidRPr="006B0452">
        <w:t>for presentation purposes to prevent rounding to zero</w:t>
      </w:r>
      <w:r>
        <w:t>.</w:t>
      </w:r>
      <w:r w:rsidRPr="006B0452">
        <w:t xml:space="preserve"> </w:t>
      </w:r>
      <w:r>
        <w:t>A</w:t>
      </w:r>
      <w:r w:rsidRPr="006B0452">
        <w:t xml:space="preserve">ll substantive interpretations use the unscaled values. Marginal effects are evaluated at the 25th, 50th, </w:t>
      </w:r>
      <w:r w:rsidRPr="00695A51">
        <w:t xml:space="preserve">and 75th percentiles of the ICT distribution, following Brambor, Clark, and Golder </w:t>
      </w:r>
      <w:r w:rsidR="00695A51" w:rsidRPr="00695A51">
        <w:t>work</w:t>
      </w:r>
      <w:r w:rsidRPr="00695A51">
        <w:t>, who</w:t>
      </w:r>
      <w:r w:rsidRPr="006B0452">
        <w:t xml:space="preserve"> emphasise that constitutive terms in interaction models must not be read as unconditional average </w:t>
      </w:r>
      <w:r w:rsidRPr="00695A51">
        <w:t>effects [</w:t>
      </w:r>
      <w:r w:rsidR="00695A51" w:rsidRPr="00695A51">
        <w:t>35</w:t>
      </w:r>
      <w:r w:rsidRPr="00695A51">
        <w:t>].</w:t>
      </w:r>
    </w:p>
    <w:p w14:paraId="2AB1764A" w14:textId="5C6A9DCD" w:rsidR="00E57728" w:rsidRDefault="00E57728" w:rsidP="00E57728">
      <w:pPr>
        <w:spacing w:line="360" w:lineRule="auto"/>
        <w:jc w:val="both"/>
        <w:rPr>
          <w:rFonts w:ascii="Times New Roman" w:hAnsi="Times New Roman" w:cs="Times New Roman"/>
          <w:b/>
          <w:bCs/>
          <w:sz w:val="24"/>
          <w:szCs w:val="24"/>
        </w:rPr>
      </w:pPr>
      <w:r w:rsidRPr="00E57728">
        <w:rPr>
          <w:rFonts w:ascii="Times New Roman" w:hAnsi="Times New Roman" w:cs="Times New Roman"/>
          <w:b/>
          <w:bCs/>
          <w:sz w:val="24"/>
          <w:szCs w:val="24"/>
        </w:rPr>
        <w:t xml:space="preserve">Additive specifications </w:t>
      </w:r>
    </w:p>
    <w:p w14:paraId="7073CF9E" w14:textId="77777777" w:rsidR="00241E99" w:rsidRPr="00EA04C9" w:rsidRDefault="00241E99" w:rsidP="00241E99">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Tables 2021-2024 wage levels</w:t>
      </w:r>
    </w:p>
    <w:p w14:paraId="25F0CF85"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xml:space="preserve">Cross-sectional models per year </w:t>
      </w:r>
    </w:p>
    <w:tbl>
      <w:tblPr>
        <w:tblStyle w:val="TableGrid"/>
        <w:tblW w:w="0" w:type="auto"/>
        <w:tblLook w:val="04A0" w:firstRow="1" w:lastRow="0" w:firstColumn="1" w:lastColumn="0" w:noHBand="0" w:noVBand="1"/>
      </w:tblPr>
      <w:tblGrid>
        <w:gridCol w:w="758"/>
        <w:gridCol w:w="2072"/>
        <w:gridCol w:w="2977"/>
        <w:gridCol w:w="3209"/>
      </w:tblGrid>
      <w:tr w:rsidR="00241E99" w:rsidRPr="00EA04C9" w14:paraId="30863C47" w14:textId="77777777" w:rsidTr="00AB5D40">
        <w:tc>
          <w:tcPr>
            <w:tcW w:w="758" w:type="dxa"/>
          </w:tcPr>
          <w:p w14:paraId="2255E32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53F9289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1896EA4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ICT specialist </w:t>
            </w:r>
          </w:p>
        </w:tc>
        <w:tc>
          <w:tcPr>
            <w:tcW w:w="3209" w:type="dxa"/>
          </w:tcPr>
          <w:p w14:paraId="70A6227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241E99" w:rsidRPr="00EA04C9" w14:paraId="43D2F672" w14:textId="77777777" w:rsidTr="00AB5D40">
        <w:tc>
          <w:tcPr>
            <w:tcW w:w="758" w:type="dxa"/>
            <w:vMerge w:val="restart"/>
          </w:tcPr>
          <w:p w14:paraId="28C3370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6423BD9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 (0.003)</w:t>
            </w:r>
          </w:p>
        </w:tc>
        <w:tc>
          <w:tcPr>
            <w:tcW w:w="2977" w:type="dxa"/>
          </w:tcPr>
          <w:p w14:paraId="4A2D622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 (0.003)</w:t>
            </w:r>
          </w:p>
        </w:tc>
        <w:tc>
          <w:tcPr>
            <w:tcW w:w="3209" w:type="dxa"/>
          </w:tcPr>
          <w:p w14:paraId="4A1C897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1B962E1" w14:textId="77777777" w:rsidTr="00AB5D40">
        <w:tc>
          <w:tcPr>
            <w:tcW w:w="758" w:type="dxa"/>
            <w:vMerge/>
          </w:tcPr>
          <w:p w14:paraId="0F454730" w14:textId="77777777" w:rsidR="00241E99" w:rsidRPr="00EA04C9" w:rsidRDefault="00241E99" w:rsidP="00AB5D40">
            <w:pPr>
              <w:rPr>
                <w:rFonts w:ascii="Times New Roman" w:hAnsi="Times New Roman" w:cs="Times New Roman"/>
                <w:sz w:val="24"/>
                <w:szCs w:val="24"/>
              </w:rPr>
            </w:pPr>
          </w:p>
        </w:tc>
        <w:tc>
          <w:tcPr>
            <w:tcW w:w="2072" w:type="dxa"/>
          </w:tcPr>
          <w:p w14:paraId="6FC8B2C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(0.008)</w:t>
            </w:r>
          </w:p>
        </w:tc>
        <w:tc>
          <w:tcPr>
            <w:tcW w:w="2977" w:type="dxa"/>
          </w:tcPr>
          <w:p w14:paraId="017EB0C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 (0.003)</w:t>
            </w:r>
          </w:p>
        </w:tc>
        <w:tc>
          <w:tcPr>
            <w:tcW w:w="3209" w:type="dxa"/>
          </w:tcPr>
          <w:p w14:paraId="7450257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-0.020***  (0.008)</w:t>
            </w:r>
          </w:p>
        </w:tc>
      </w:tr>
      <w:tr w:rsidR="00241E99" w:rsidRPr="00EA04C9" w14:paraId="2AA28A11" w14:textId="77777777" w:rsidTr="00AB5D40">
        <w:tc>
          <w:tcPr>
            <w:tcW w:w="758" w:type="dxa"/>
            <w:vMerge w:val="restart"/>
          </w:tcPr>
          <w:p w14:paraId="0013164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774B432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-0.011*** (0.004)</w:t>
            </w:r>
          </w:p>
        </w:tc>
        <w:tc>
          <w:tcPr>
            <w:tcW w:w="2977" w:type="dxa"/>
          </w:tcPr>
          <w:p w14:paraId="1D5C8F2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 (0.004)</w:t>
            </w:r>
          </w:p>
        </w:tc>
        <w:tc>
          <w:tcPr>
            <w:tcW w:w="3209" w:type="dxa"/>
          </w:tcPr>
          <w:p w14:paraId="02EBC99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4392F71" w14:textId="77777777" w:rsidTr="00AB5D40">
        <w:tc>
          <w:tcPr>
            <w:tcW w:w="758" w:type="dxa"/>
            <w:vMerge/>
          </w:tcPr>
          <w:p w14:paraId="38977596" w14:textId="77777777" w:rsidR="00241E99" w:rsidRPr="00EA04C9" w:rsidRDefault="00241E99" w:rsidP="00AB5D40">
            <w:pPr>
              <w:rPr>
                <w:rFonts w:ascii="Times New Roman" w:hAnsi="Times New Roman" w:cs="Times New Roman"/>
                <w:sz w:val="24"/>
                <w:szCs w:val="24"/>
              </w:rPr>
            </w:pPr>
          </w:p>
        </w:tc>
        <w:tc>
          <w:tcPr>
            <w:tcW w:w="2072" w:type="dxa"/>
          </w:tcPr>
          <w:p w14:paraId="2586C9F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(0.009)</w:t>
            </w:r>
          </w:p>
        </w:tc>
        <w:tc>
          <w:tcPr>
            <w:tcW w:w="2977" w:type="dxa"/>
          </w:tcPr>
          <w:p w14:paraId="3EFE033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 (0.003)</w:t>
            </w:r>
          </w:p>
        </w:tc>
        <w:tc>
          <w:tcPr>
            <w:tcW w:w="3209" w:type="dxa"/>
          </w:tcPr>
          <w:p w14:paraId="31CDEE3C" w14:textId="77777777" w:rsidR="00241E99" w:rsidRPr="00EA04C9" w:rsidRDefault="00241E99" w:rsidP="00AB5D40">
            <w:pPr>
              <w:rPr>
                <w:rFonts w:ascii="Times New Roman" w:hAnsi="Times New Roman" w:cs="Times New Roman"/>
                <w:sz w:val="24"/>
                <w:szCs w:val="24"/>
                <w:highlight w:val="yellow"/>
              </w:rPr>
            </w:pPr>
            <w:r w:rsidRPr="00EA04C9">
              <w:rPr>
                <w:rFonts w:ascii="Times New Roman" w:hAnsi="Times New Roman" w:cs="Times New Roman"/>
                <w:sz w:val="24"/>
                <w:szCs w:val="24"/>
              </w:rPr>
              <w:t>-0.025***  (0.009)</w:t>
            </w:r>
          </w:p>
        </w:tc>
      </w:tr>
      <w:tr w:rsidR="00241E99" w:rsidRPr="00EA04C9" w14:paraId="4A3B359C" w14:textId="77777777" w:rsidTr="00AB5D40">
        <w:tc>
          <w:tcPr>
            <w:tcW w:w="758" w:type="dxa"/>
            <w:vMerge w:val="restart"/>
          </w:tcPr>
          <w:p w14:paraId="60DDCC0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37E826E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-0.010***</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(0.004)</w:t>
            </w:r>
          </w:p>
        </w:tc>
        <w:tc>
          <w:tcPr>
            <w:tcW w:w="2977" w:type="dxa"/>
          </w:tcPr>
          <w:p w14:paraId="6029D611"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0.008</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(0.008)</w:t>
            </w:r>
          </w:p>
        </w:tc>
        <w:tc>
          <w:tcPr>
            <w:tcW w:w="3209" w:type="dxa"/>
          </w:tcPr>
          <w:p w14:paraId="40063C1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24C8BE38" w14:textId="77777777" w:rsidTr="00AB5D40">
        <w:tc>
          <w:tcPr>
            <w:tcW w:w="758" w:type="dxa"/>
            <w:vMerge/>
          </w:tcPr>
          <w:p w14:paraId="5C848EEA" w14:textId="77777777" w:rsidR="00241E99" w:rsidRPr="00EA04C9" w:rsidRDefault="00241E99" w:rsidP="00AB5D40">
            <w:pPr>
              <w:rPr>
                <w:rFonts w:ascii="Times New Roman" w:hAnsi="Times New Roman" w:cs="Times New Roman"/>
                <w:sz w:val="24"/>
                <w:szCs w:val="24"/>
              </w:rPr>
            </w:pPr>
          </w:p>
        </w:tc>
        <w:tc>
          <w:tcPr>
            <w:tcW w:w="2072" w:type="dxa"/>
          </w:tcPr>
          <w:p w14:paraId="646BA0C4"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0.005</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2977" w:type="dxa"/>
          </w:tcPr>
          <w:p w14:paraId="10035F6A"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0.007**</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3209" w:type="dxa"/>
          </w:tcPr>
          <w:p w14:paraId="6C7021A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-0.022***  (0.009)</w:t>
            </w:r>
          </w:p>
        </w:tc>
      </w:tr>
      <w:tr w:rsidR="00241E99" w:rsidRPr="00EA04C9" w14:paraId="74A9D961" w14:textId="77777777" w:rsidTr="00AB5D40">
        <w:tc>
          <w:tcPr>
            <w:tcW w:w="758" w:type="dxa"/>
            <w:vMerge w:val="restart"/>
          </w:tcPr>
          <w:p w14:paraId="4436323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072" w:type="dxa"/>
          </w:tcPr>
          <w:p w14:paraId="6E30AFC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2977" w:type="dxa"/>
          </w:tcPr>
          <w:p w14:paraId="5CD4830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3209" w:type="dxa"/>
          </w:tcPr>
          <w:p w14:paraId="5FB317E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1DB5A5B4" w14:textId="77777777" w:rsidTr="00AB5D40">
        <w:tc>
          <w:tcPr>
            <w:tcW w:w="758" w:type="dxa"/>
            <w:vMerge/>
          </w:tcPr>
          <w:p w14:paraId="330548DD" w14:textId="77777777" w:rsidR="00241E99" w:rsidRPr="00EA04C9" w:rsidRDefault="00241E99" w:rsidP="00AB5D40">
            <w:pPr>
              <w:rPr>
                <w:rFonts w:ascii="Times New Roman" w:hAnsi="Times New Roman" w:cs="Times New Roman"/>
                <w:sz w:val="24"/>
                <w:szCs w:val="24"/>
              </w:rPr>
            </w:pPr>
          </w:p>
        </w:tc>
        <w:tc>
          <w:tcPr>
            <w:tcW w:w="2072" w:type="dxa"/>
          </w:tcPr>
          <w:p w14:paraId="6CC90C0A"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0.004</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(0.006)</w:t>
            </w:r>
          </w:p>
        </w:tc>
        <w:tc>
          <w:tcPr>
            <w:tcW w:w="2977" w:type="dxa"/>
          </w:tcPr>
          <w:p w14:paraId="77DFDFF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629F8B7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-0.013*** (0.006)</w:t>
            </w:r>
          </w:p>
        </w:tc>
      </w:tr>
    </w:tbl>
    <w:p w14:paraId="5CA2A595"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p&lt;.1, ** p&lt;.05, ***p&lt;.01</w:t>
      </w:r>
    </w:p>
    <w:tbl>
      <w:tblPr>
        <w:tblStyle w:val="TableGrid"/>
        <w:tblW w:w="0" w:type="auto"/>
        <w:tblLook w:val="04A0" w:firstRow="1" w:lastRow="0" w:firstColumn="1" w:lastColumn="0" w:noHBand="0" w:noVBand="1"/>
      </w:tblPr>
      <w:tblGrid>
        <w:gridCol w:w="758"/>
        <w:gridCol w:w="2072"/>
        <w:gridCol w:w="2977"/>
        <w:gridCol w:w="3209"/>
      </w:tblGrid>
      <w:tr w:rsidR="00241E99" w:rsidRPr="00EA04C9" w14:paraId="57E00EE4" w14:textId="77777777" w:rsidTr="00AB5D40">
        <w:tc>
          <w:tcPr>
            <w:tcW w:w="758" w:type="dxa"/>
          </w:tcPr>
          <w:p w14:paraId="66B731F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072" w:type="dxa"/>
          </w:tcPr>
          <w:p w14:paraId="1D0600E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AI </w:t>
            </w:r>
          </w:p>
        </w:tc>
        <w:tc>
          <w:tcPr>
            <w:tcW w:w="2977" w:type="dxa"/>
          </w:tcPr>
          <w:p w14:paraId="0A5E05D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3209" w:type="dxa"/>
          </w:tcPr>
          <w:p w14:paraId="541229F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Interaction </w:t>
            </w:r>
          </w:p>
        </w:tc>
      </w:tr>
      <w:tr w:rsidR="00241E99" w:rsidRPr="00EA04C9" w14:paraId="6AA89499" w14:textId="77777777" w:rsidTr="00AB5D40">
        <w:tc>
          <w:tcPr>
            <w:tcW w:w="758" w:type="dxa"/>
            <w:vMerge w:val="restart"/>
          </w:tcPr>
          <w:p w14:paraId="49A822D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072" w:type="dxa"/>
          </w:tcPr>
          <w:p w14:paraId="524D35B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 (0.003)</w:t>
            </w:r>
          </w:p>
        </w:tc>
        <w:tc>
          <w:tcPr>
            <w:tcW w:w="2977" w:type="dxa"/>
          </w:tcPr>
          <w:p w14:paraId="7711D2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 (0.003)</w:t>
            </w:r>
          </w:p>
        </w:tc>
        <w:tc>
          <w:tcPr>
            <w:tcW w:w="3209" w:type="dxa"/>
          </w:tcPr>
          <w:p w14:paraId="01BA7F0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2F226326" w14:textId="77777777" w:rsidTr="00AB5D40">
        <w:tc>
          <w:tcPr>
            <w:tcW w:w="758" w:type="dxa"/>
            <w:vMerge/>
          </w:tcPr>
          <w:p w14:paraId="605995FD" w14:textId="77777777" w:rsidR="00241E99" w:rsidRPr="00EA04C9" w:rsidRDefault="00241E99" w:rsidP="00AB5D40">
            <w:pPr>
              <w:rPr>
                <w:rFonts w:ascii="Times New Roman" w:hAnsi="Times New Roman" w:cs="Times New Roman"/>
                <w:sz w:val="24"/>
                <w:szCs w:val="24"/>
              </w:rPr>
            </w:pPr>
          </w:p>
        </w:tc>
        <w:tc>
          <w:tcPr>
            <w:tcW w:w="2072" w:type="dxa"/>
          </w:tcPr>
          <w:p w14:paraId="67DBE4A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(0.007)</w:t>
            </w:r>
          </w:p>
        </w:tc>
        <w:tc>
          <w:tcPr>
            <w:tcW w:w="2977" w:type="dxa"/>
          </w:tcPr>
          <w:p w14:paraId="79E08B8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(0.002)</w:t>
            </w:r>
          </w:p>
        </w:tc>
        <w:tc>
          <w:tcPr>
            <w:tcW w:w="3209" w:type="dxa"/>
          </w:tcPr>
          <w:p w14:paraId="36567DB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-0.027***  (0.008)</w:t>
            </w:r>
          </w:p>
        </w:tc>
      </w:tr>
      <w:tr w:rsidR="00241E99" w:rsidRPr="00EA04C9" w14:paraId="76BABB60" w14:textId="77777777" w:rsidTr="00AB5D40">
        <w:tc>
          <w:tcPr>
            <w:tcW w:w="758" w:type="dxa"/>
            <w:vMerge w:val="restart"/>
          </w:tcPr>
          <w:p w14:paraId="5542781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072" w:type="dxa"/>
          </w:tcPr>
          <w:p w14:paraId="720577D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-0.013***</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2977" w:type="dxa"/>
          </w:tcPr>
          <w:p w14:paraId="56D39ED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 (0.003)</w:t>
            </w:r>
          </w:p>
        </w:tc>
        <w:tc>
          <w:tcPr>
            <w:tcW w:w="3209" w:type="dxa"/>
          </w:tcPr>
          <w:p w14:paraId="0F81843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5484324D" w14:textId="77777777" w:rsidTr="00AB5D40">
        <w:tc>
          <w:tcPr>
            <w:tcW w:w="758" w:type="dxa"/>
            <w:vMerge/>
          </w:tcPr>
          <w:p w14:paraId="74B339F3" w14:textId="77777777" w:rsidR="00241E99" w:rsidRPr="00EA04C9" w:rsidRDefault="00241E99" w:rsidP="00AB5D40">
            <w:pPr>
              <w:rPr>
                <w:rFonts w:ascii="Times New Roman" w:hAnsi="Times New Roman" w:cs="Times New Roman"/>
                <w:sz w:val="24"/>
                <w:szCs w:val="24"/>
              </w:rPr>
            </w:pPr>
          </w:p>
        </w:tc>
        <w:tc>
          <w:tcPr>
            <w:tcW w:w="2072" w:type="dxa"/>
          </w:tcPr>
          <w:p w14:paraId="1AC304A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0.012 (0.010)</w:t>
            </w:r>
          </w:p>
        </w:tc>
        <w:tc>
          <w:tcPr>
            <w:tcW w:w="2977" w:type="dxa"/>
          </w:tcPr>
          <w:p w14:paraId="469671B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0.009***</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(0.002)</w:t>
            </w:r>
          </w:p>
        </w:tc>
        <w:tc>
          <w:tcPr>
            <w:tcW w:w="3209" w:type="dxa"/>
          </w:tcPr>
          <w:p w14:paraId="1495DE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-0.030***  (0.011)</w:t>
            </w:r>
          </w:p>
        </w:tc>
      </w:tr>
      <w:tr w:rsidR="00241E99" w:rsidRPr="00EA04C9" w14:paraId="638113F8" w14:textId="77777777" w:rsidTr="00AB5D40">
        <w:tc>
          <w:tcPr>
            <w:tcW w:w="758" w:type="dxa"/>
            <w:vMerge w:val="restart"/>
          </w:tcPr>
          <w:p w14:paraId="6E8AA1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072" w:type="dxa"/>
          </w:tcPr>
          <w:p w14:paraId="5757B4BD"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-0.012***</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2977" w:type="dxa"/>
          </w:tcPr>
          <w:p w14:paraId="5ABD96F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3654850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42589F4B" w14:textId="77777777" w:rsidTr="00AB5D40">
        <w:tc>
          <w:tcPr>
            <w:tcW w:w="758" w:type="dxa"/>
            <w:vMerge/>
          </w:tcPr>
          <w:p w14:paraId="69E7FF89" w14:textId="77777777" w:rsidR="00241E99" w:rsidRPr="00EA04C9" w:rsidRDefault="00241E99" w:rsidP="00AB5D40">
            <w:pPr>
              <w:rPr>
                <w:rFonts w:ascii="Times New Roman" w:hAnsi="Times New Roman" w:cs="Times New Roman"/>
                <w:sz w:val="24"/>
                <w:szCs w:val="24"/>
              </w:rPr>
            </w:pPr>
          </w:p>
        </w:tc>
        <w:tc>
          <w:tcPr>
            <w:tcW w:w="2072" w:type="dxa"/>
          </w:tcPr>
          <w:p w14:paraId="044320EF"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0.009</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(0.010)</w:t>
            </w:r>
          </w:p>
        </w:tc>
        <w:tc>
          <w:tcPr>
            <w:tcW w:w="2977" w:type="dxa"/>
          </w:tcPr>
          <w:p w14:paraId="1E5335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0.010***</w:t>
            </w:r>
            <w:r w:rsidRPr="00EA04C9">
              <w:rPr>
                <w:rFonts w:ascii="Times New Roman" w:hAnsi="Times New Roman" w:cs="Times New Roman"/>
                <w:color w:val="D6DEEB"/>
                <w:sz w:val="24"/>
                <w:szCs w:val="24"/>
              </w:rPr>
              <w:t xml:space="preserve"> </w:t>
            </w:r>
            <w:r w:rsidRPr="00EA04C9">
              <w:rPr>
                <w:rFonts w:ascii="Times New Roman" w:hAnsi="Times New Roman" w:cs="Times New Roman"/>
                <w:sz w:val="24"/>
                <w:szCs w:val="24"/>
              </w:rPr>
              <w:t>(0.003)</w:t>
            </w:r>
          </w:p>
        </w:tc>
        <w:tc>
          <w:tcPr>
            <w:tcW w:w="3209" w:type="dxa"/>
          </w:tcPr>
          <w:p w14:paraId="7936B20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-0.027***  (0.012)</w:t>
            </w:r>
          </w:p>
        </w:tc>
      </w:tr>
      <w:tr w:rsidR="00241E99" w:rsidRPr="00EA04C9" w14:paraId="2CBD48DA" w14:textId="77777777" w:rsidTr="00AB5D40">
        <w:tc>
          <w:tcPr>
            <w:tcW w:w="758" w:type="dxa"/>
            <w:vMerge w:val="restart"/>
          </w:tcPr>
          <w:p w14:paraId="5CE3D7B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072" w:type="dxa"/>
          </w:tcPr>
          <w:p w14:paraId="2BD653CE"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-0.007**</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2977" w:type="dxa"/>
          </w:tcPr>
          <w:p w14:paraId="5859C9A5"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0.006</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(0.004)</w:t>
            </w:r>
          </w:p>
        </w:tc>
        <w:tc>
          <w:tcPr>
            <w:tcW w:w="3209" w:type="dxa"/>
          </w:tcPr>
          <w:p w14:paraId="0799A78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w:t>
            </w:r>
          </w:p>
        </w:tc>
      </w:tr>
      <w:tr w:rsidR="00241E99" w:rsidRPr="00EA04C9" w14:paraId="1B1BBC19" w14:textId="77777777" w:rsidTr="00AB5D40">
        <w:tc>
          <w:tcPr>
            <w:tcW w:w="758" w:type="dxa"/>
            <w:vMerge/>
          </w:tcPr>
          <w:p w14:paraId="74A0A65D" w14:textId="77777777" w:rsidR="00241E99" w:rsidRPr="00EA04C9" w:rsidRDefault="00241E99" w:rsidP="00AB5D40">
            <w:pPr>
              <w:rPr>
                <w:rFonts w:ascii="Times New Roman" w:hAnsi="Times New Roman" w:cs="Times New Roman"/>
                <w:sz w:val="24"/>
                <w:szCs w:val="24"/>
              </w:rPr>
            </w:pPr>
          </w:p>
        </w:tc>
        <w:tc>
          <w:tcPr>
            <w:tcW w:w="2072" w:type="dxa"/>
          </w:tcPr>
          <w:p w14:paraId="521B2F73"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0.006</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(0.006)</w:t>
            </w:r>
          </w:p>
        </w:tc>
        <w:tc>
          <w:tcPr>
            <w:tcW w:w="2977" w:type="dxa"/>
          </w:tcPr>
          <w:p w14:paraId="77F83DBE" w14:textId="77777777" w:rsidR="00241E99" w:rsidRPr="00EA04C9" w:rsidRDefault="00241E99" w:rsidP="00AB5D40">
            <w:pPr>
              <w:rPr>
                <w:rFonts w:ascii="Times New Roman" w:hAnsi="Times New Roman" w:cs="Times New Roman"/>
                <w:sz w:val="24"/>
                <w:szCs w:val="24"/>
                <w:lang w:val="ru-RU"/>
              </w:rPr>
            </w:pPr>
            <w:r w:rsidRPr="00EA04C9">
              <w:rPr>
                <w:rFonts w:ascii="Times New Roman" w:hAnsi="Times New Roman" w:cs="Times New Roman"/>
                <w:sz w:val="24"/>
                <w:szCs w:val="24"/>
              </w:rPr>
              <w:t>0.010***</w:t>
            </w:r>
            <w:r w:rsidRPr="00EA04C9">
              <w:rPr>
                <w:rFonts w:ascii="Times New Roman" w:hAnsi="Times New Roman" w:cs="Times New Roman"/>
                <w:sz w:val="24"/>
                <w:szCs w:val="24"/>
                <w:lang w:val="ru-RU"/>
              </w:rPr>
              <w:t xml:space="preserve"> </w:t>
            </w:r>
            <w:r w:rsidRPr="00EA04C9">
              <w:rPr>
                <w:rFonts w:ascii="Times New Roman" w:hAnsi="Times New Roman" w:cs="Times New Roman"/>
                <w:sz w:val="24"/>
                <w:szCs w:val="24"/>
              </w:rPr>
              <w:t>(0.003)</w:t>
            </w:r>
          </w:p>
        </w:tc>
        <w:tc>
          <w:tcPr>
            <w:tcW w:w="3209" w:type="dxa"/>
          </w:tcPr>
          <w:p w14:paraId="0965A29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-0.018***  (0.006)</w:t>
            </w:r>
          </w:p>
        </w:tc>
      </w:tr>
    </w:tbl>
    <w:p w14:paraId="120BCFDF"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p&lt;.1, ** p&lt;.05, ***p&lt;.01</w:t>
      </w:r>
    </w:p>
    <w:p w14:paraId="6A3247BF"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i/>
          <w:iCs/>
          <w:sz w:val="24"/>
          <w:szCs w:val="24"/>
        </w:rPr>
        <w:t>Note: For presentation purposes, the coefficient and standard error for the interaction term have been multiplied by 10^2. This scaling prevents the estimate from rounding to zero due to the interaction of two percentage-scale variable ai and ict specialists/trainings.</w:t>
      </w:r>
    </w:p>
    <w:p w14:paraId="76B8B8CC" w14:textId="43EFA0A6" w:rsidR="00B64021" w:rsidRPr="00E57728" w:rsidRDefault="00E57728" w:rsidP="00BC1CA8">
      <w:pPr>
        <w:pStyle w:val="Thesisbody"/>
      </w:pPr>
      <w:r w:rsidRPr="00E57728">
        <w:lastRenderedPageBreak/>
        <w:t>A 1 percentage point increase in sectoral AI adoption is associated with approximately 0.7</w:t>
      </w:r>
      <w:r>
        <w:t>-</w:t>
      </w:r>
      <w:r w:rsidRPr="00E57728">
        <w:t xml:space="preserve">1.3% lower real hourly wages in the cross-section. This is the net effect of AI adoption in the average European sector, where displacement pressures are not offset by complementary ICT investment. This finding aligns with Acemoglu and Restrepo, whose wage-displacement regressions yield a coefficient of </w:t>
      </w:r>
      <w:r>
        <w:t>-</w:t>
      </w:r>
      <w:r w:rsidRPr="00E57728">
        <w:t>1.31 on task displacement (SE 0.19), implying that a 25 pp increase in task displacement reduces relative wages by 40%</w:t>
      </w:r>
      <w:r>
        <w:t xml:space="preserve"> [15]</w:t>
      </w:r>
      <w:r w:rsidRPr="00E57728">
        <w:t>. At the magnitude documented here</w:t>
      </w:r>
      <w:r w:rsidR="009E4FA4">
        <w:t xml:space="preserve">, </w:t>
      </w:r>
      <w:r w:rsidRPr="00E57728">
        <w:t>roughly 1% per 1 pp of AI adoption</w:t>
      </w:r>
      <w:r w:rsidR="009E4FA4">
        <w:t xml:space="preserve">, </w:t>
      </w:r>
      <w:r w:rsidRPr="00E57728">
        <w:t>the result is consistent with the robots literature of Acemoglu and Restrepo, who find that one additional robot per thousand workers reduces aggregate wages by 0.42%</w:t>
      </w:r>
      <w:r w:rsidR="009E4FA4">
        <w:t xml:space="preserve"> [16]</w:t>
      </w:r>
      <w:r w:rsidRPr="00E57728">
        <w:t>. The cross-sectional negative coefficient thus captures the settled displacement equilibrium: sectors that have adopted AI most intensively over time are those that already automated the largest share of routine tasks, and the wage outcome reflects the long-run compression of task share for affected workers.</w:t>
      </w:r>
    </w:p>
    <w:p w14:paraId="4EB43109" w14:textId="1F222EB2" w:rsidR="003E61CC" w:rsidRPr="008A4ACA" w:rsidRDefault="00941C95" w:rsidP="00BC1CA8">
      <w:pPr>
        <w:pStyle w:val="Thesisbody"/>
      </w:pPr>
      <w:r w:rsidRPr="00B52771">
        <w:t xml:space="preserve">ICT training is positive and statistically significant at the 1% level in nearly every additive specification (0.007-0.008 across years). A 1 pp increase in the share of enterprises providing ICT training is associated with approximately 0.6-1.0% </w:t>
      </w:r>
      <w:r w:rsidRPr="00E96BB2">
        <w:t xml:space="preserve">higher real wages. This robust independent effect of training on wages finds external support in Falck, Heimisch, and Wiederhold </w:t>
      </w:r>
      <w:r w:rsidR="00B52771" w:rsidRPr="00E96BB2">
        <w:t>in the work “</w:t>
      </w:r>
      <w:r w:rsidR="00E96BB2" w:rsidRPr="00E96BB2">
        <w:t>Returns to ICT skills</w:t>
      </w:r>
      <w:r w:rsidR="00B52771" w:rsidRPr="00E96BB2">
        <w:t>”</w:t>
      </w:r>
      <w:r w:rsidRPr="00E96BB2">
        <w:t>, whose cross-country analysis</w:t>
      </w:r>
      <w:r w:rsidRPr="00B52771">
        <w:t xml:space="preserve"> of 19 European countries estimates returns to ICT skills at approximately 8% per standard deviation, identifying learning-by-doing as the core mechanism</w:t>
      </w:r>
      <w:r w:rsidR="00B52771" w:rsidRPr="00B52771">
        <w:t xml:space="preserve"> [</w:t>
      </w:r>
      <w:r w:rsidR="00E96BB2">
        <w:t>36</w:t>
      </w:r>
      <w:r w:rsidR="00B52771" w:rsidRPr="00530A58">
        <w:t>]</w:t>
      </w:r>
      <w:r w:rsidRPr="00530A58">
        <w:t xml:space="preserve">. Tomelleri, Cutuli, and Signoretti </w:t>
      </w:r>
      <w:r w:rsidR="00C52F2B" w:rsidRPr="00530A58">
        <w:t>in the work “</w:t>
      </w:r>
      <w:r w:rsidR="00530A58" w:rsidRPr="00530A58">
        <w:t>Returns  to ICT  skills in  European labour markets, trade unions and contractual cleavages</w:t>
      </w:r>
      <w:r w:rsidR="00C52F2B" w:rsidRPr="00530A58">
        <w:t>”</w:t>
      </w:r>
      <w:r w:rsidRPr="00B52771">
        <w:t xml:space="preserve"> independently </w:t>
      </w:r>
      <w:r w:rsidR="007022D1">
        <w:t>presented</w:t>
      </w:r>
      <w:r w:rsidRPr="00B52771">
        <w:t xml:space="preserve"> this, reporting a 2.6% wage increase for each additional ICT skill deployed at work (p &lt; 0.001), stable across all model specifications</w:t>
      </w:r>
      <w:r w:rsidR="00C52F2B">
        <w:t xml:space="preserve"> [</w:t>
      </w:r>
      <w:r w:rsidR="00530A58">
        <w:t>37</w:t>
      </w:r>
      <w:r w:rsidR="00C52F2B">
        <w:t>]</w:t>
      </w:r>
      <w:r w:rsidRPr="00B52771">
        <w:t>.</w:t>
      </w:r>
    </w:p>
    <w:p w14:paraId="6FBD6975" w14:textId="62316EEA" w:rsidR="003E61CC" w:rsidRPr="00B35183" w:rsidRDefault="00941C95" w:rsidP="00BC1CA8">
      <w:pPr>
        <w:pStyle w:val="Thesisbody"/>
      </w:pPr>
      <w:r w:rsidRPr="00730099">
        <w:t xml:space="preserve">ICT specialists, by contrast, are statistically insignificant in the additive specifications. The likely explanation is that ICT specialists are structurally concentrated in Sector J (Information and Communication), which also commands the highest productivity in the panel. Because log productivity is controlled for, the wage variation that ICT specialists would otherwise explain is absorbed. This is </w:t>
      </w:r>
      <w:r w:rsidR="00DC0DE2">
        <w:t xml:space="preserve">also presented </w:t>
      </w:r>
      <w:r w:rsidRPr="00730099">
        <w:t xml:space="preserve">by Barisic, Ghodsi, and Stehrer, whose cross-country sectoral analysis of 32 countries and 38 industries finds that ICT capital investment has an insignificant effect on wages </w:t>
      </w:r>
      <w:r w:rsidRPr="00EC070C">
        <w:t>once total factor productivity is controlled, while TFP itself shows a strongly positive association</w:t>
      </w:r>
      <w:r w:rsidR="00730099" w:rsidRPr="00EC070C">
        <w:t xml:space="preserve"> [</w:t>
      </w:r>
      <w:r w:rsidR="002A0653" w:rsidRPr="00EC070C">
        <w:t>38</w:t>
      </w:r>
      <w:r w:rsidR="00730099" w:rsidRPr="00EC070C">
        <w:t>]</w:t>
      </w:r>
      <w:r w:rsidRPr="00EC070C">
        <w:t>.</w:t>
      </w:r>
    </w:p>
    <w:p w14:paraId="7DD98B1B" w14:textId="4B222121" w:rsidR="001571E4" w:rsidRPr="001571E4" w:rsidRDefault="001571E4" w:rsidP="001571E4">
      <w:pPr>
        <w:jc w:val="both"/>
        <w:rPr>
          <w:highlight w:val="yellow"/>
        </w:rPr>
      </w:pPr>
      <w:r w:rsidRPr="001571E4">
        <w:rPr>
          <w:b/>
          <w:bCs/>
          <w:highlight w:val="yellow"/>
        </w:rPr>
        <w:t>Interaction specifications (Mo</w:t>
      </w:r>
    </w:p>
    <w:p w14:paraId="184EB6C6" w14:textId="10458955" w:rsidR="003C2B06" w:rsidRPr="006A59A3" w:rsidRDefault="003C2B06" w:rsidP="000176F0">
      <w:pPr>
        <w:pStyle w:val="Thesisbody"/>
      </w:pPr>
      <w:r w:rsidRPr="006A59A3">
        <w:lastRenderedPageBreak/>
        <w:t>Upon introduction of the AI × ICT interaction term, a systematic sign reversal occurs in the AI adoption coefficient: it shifts from negative and highly significant (−0.009 to −0.013) in the additive specifications to positive (0.004–0.012) and statistically insignificant in the interaction specifications. As Brambor, Clark, and Golder establish, coefficients in interaction models are almost certain to change with the inclusion of an interaction term, and this should not be interpreted as a sign of multicollinearity or model instability [</w:t>
      </w:r>
      <w:r w:rsidR="004004A6">
        <w:t>35</w:t>
      </w:r>
      <w:r w:rsidRPr="006A59A3">
        <w:t>]. In the additive model, the AI coefficient captures a forced average of its wage effect across all ICT levels simultaneously — a weighted mixture of the AI effect in digitally weak and digitally strong sectors. This average is negative because high-ICT sectors pull the overall estimate downward. Once the interaction term is introduced, this heterogeneous variation is reassigned to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3</m:t>
            </m:r>
          </m:sub>
        </m:sSub>
      </m:oMath>
      <w:r w:rsidRPr="006A59A3">
        <w:t>, and what remains in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oMath>
      <w:r w:rsidRPr="006A59A3">
        <w:t> is only the AI effect at the boundary where ICT = 0. Because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oMath>
      <w:r w:rsidRPr="006A59A3">
        <w:t> becomes insignificant, no standalone interpretation of this boundary condition is warranted. As Brambor, Clark, and Golder emphasise, the coefficient on a constitutive term must not be read as the average or unconditional effect of AI on wages [</w:t>
      </w:r>
      <w:r w:rsidR="00793BB8">
        <w:t>35</w:t>
      </w:r>
      <w:r w:rsidR="00BC538B" w:rsidRPr="006A59A3">
        <w:t>]</w:t>
      </w:r>
      <w:r w:rsidRPr="006A59A3">
        <w:t>.</w:t>
      </w:r>
    </w:p>
    <w:p w14:paraId="40278C0E" w14:textId="53FE7346" w:rsidR="003C2B06" w:rsidRPr="006A59A3" w:rsidRDefault="003C2B06" w:rsidP="000176F0">
      <w:pPr>
        <w:pStyle w:val="Thesisbody"/>
      </w:pPr>
      <w:r w:rsidRPr="006A59A3">
        <w:t>The interaction coefficient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3</m:t>
            </m:r>
          </m:sub>
        </m:sSub>
      </m:oMath>
      <w:r w:rsidRPr="006A59A3">
        <w:t xml:space="preserve"> is negative and significant at the 1% level across all years and both ICT measures. </w:t>
      </w:r>
      <w:r w:rsidR="00502F57" w:rsidRPr="006A59A3">
        <w:t xml:space="preserve">It </w:t>
      </w:r>
      <w:r w:rsidRPr="006A59A3">
        <w:t>means that as sectoral ICT capacity increases, the wage effect of AI adoption is systematically compressed downward. The marginal effects evaluated at the 25th, 50th, and 75th percentiles of the ICT distribution are therefore the primary vehicle for interpreting this gradient at empirically observed values of the condition</w:t>
      </w:r>
      <w:r w:rsidRPr="00CF200B">
        <w:t>ing variable</w:t>
      </w:r>
      <w:r w:rsidR="00502F57" w:rsidRPr="00CF200B">
        <w:t xml:space="preserve"> [</w:t>
      </w:r>
      <w:r w:rsidR="00793BB8" w:rsidRPr="00CF200B">
        <w:t>35</w:t>
      </w:r>
      <w:r w:rsidR="00502F57" w:rsidRPr="00CF200B">
        <w:t xml:space="preserve">]. </w:t>
      </w:r>
      <w:r w:rsidRPr="00CF200B">
        <w:t xml:space="preserve"> ICT specialists become statistically significant in the interaction models. As Brambor</w:t>
      </w:r>
      <w:r w:rsidR="00502F57" w:rsidRPr="00CF200B">
        <w:t>,</w:t>
      </w:r>
      <w:r w:rsidR="003460B2" w:rsidRPr="00CF200B">
        <w:t xml:space="preserve"> Clark and Golder</w:t>
      </w:r>
      <w:r w:rsidRPr="00CF200B">
        <w:t xml:space="preserve"> explain, including the interaction term allows the specialist variable to capture its</w:t>
      </w:r>
      <w:r w:rsidRPr="006A59A3">
        <w:t xml:space="preserve"> pure, non-AI-related contribution to wages more cleanly, isolating the portion of the wage–specialist correlation that is not mediated by AI adoption</w:t>
      </w:r>
      <w:r w:rsidR="00502F57" w:rsidRPr="006A59A3">
        <w:t xml:space="preserve"> [</w:t>
      </w:r>
      <w:r w:rsidR="00793BB8">
        <w:t>35</w:t>
      </w:r>
      <w:r w:rsidR="00502F57" w:rsidRPr="006A59A3">
        <w:t xml:space="preserve">].  </w:t>
      </w:r>
    </w:p>
    <w:p w14:paraId="7FE2F2E2" w14:textId="77777777" w:rsidR="001571E4" w:rsidRPr="001571E4" w:rsidRDefault="001571E4" w:rsidP="001571E4">
      <w:pPr>
        <w:jc w:val="both"/>
        <w:rPr>
          <w:b/>
          <w:bCs/>
          <w:highlight w:val="yellow"/>
        </w:rPr>
      </w:pPr>
      <w:r w:rsidRPr="001571E4">
        <w:rPr>
          <w:b/>
          <w:bCs/>
          <w:highlight w:val="yellow"/>
        </w:rPr>
        <w:t>Marginal Effects and the Moderating Hypothesis</w:t>
      </w:r>
    </w:p>
    <w:p w14:paraId="08B81DBD"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Marginal effects ICT specialists</w:t>
      </w:r>
    </w:p>
    <w:tbl>
      <w:tblPr>
        <w:tblStyle w:val="TableGrid"/>
        <w:tblW w:w="0" w:type="auto"/>
        <w:tblLook w:val="04A0" w:firstRow="1" w:lastRow="0" w:firstColumn="1" w:lastColumn="0" w:noHBand="0" w:noVBand="1"/>
      </w:tblPr>
      <w:tblGrid>
        <w:gridCol w:w="846"/>
        <w:gridCol w:w="2693"/>
        <w:gridCol w:w="2835"/>
        <w:gridCol w:w="2642"/>
      </w:tblGrid>
      <w:tr w:rsidR="00241E99" w:rsidRPr="00EA04C9" w14:paraId="36A891CC" w14:textId="77777777" w:rsidTr="00AB5D40">
        <w:tc>
          <w:tcPr>
            <w:tcW w:w="846" w:type="dxa"/>
          </w:tcPr>
          <w:p w14:paraId="1A599FEC"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7B58E66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low ICT spec</w:t>
            </w:r>
          </w:p>
        </w:tc>
        <w:tc>
          <w:tcPr>
            <w:tcW w:w="2835" w:type="dxa"/>
          </w:tcPr>
          <w:p w14:paraId="1C8C6DD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med ICT spec</w:t>
            </w:r>
          </w:p>
        </w:tc>
        <w:tc>
          <w:tcPr>
            <w:tcW w:w="2642" w:type="dxa"/>
          </w:tcPr>
          <w:p w14:paraId="525F8CC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high ICT spec</w:t>
            </w:r>
          </w:p>
        </w:tc>
      </w:tr>
      <w:tr w:rsidR="00241E99" w:rsidRPr="00EA04C9" w14:paraId="3C8E5F11" w14:textId="77777777" w:rsidTr="00AB5D40">
        <w:tc>
          <w:tcPr>
            <w:tcW w:w="846" w:type="dxa"/>
          </w:tcPr>
          <w:p w14:paraId="7BEE215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693" w:type="dxa"/>
          </w:tcPr>
          <w:p w14:paraId="7981E5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0.0059</w:t>
            </w:r>
          </w:p>
        </w:tc>
        <w:tc>
          <w:tcPr>
            <w:tcW w:w="2835" w:type="dxa"/>
          </w:tcPr>
          <w:p w14:paraId="074CDE9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0.0048</w:t>
            </w:r>
          </w:p>
        </w:tc>
        <w:tc>
          <w:tcPr>
            <w:tcW w:w="2642" w:type="dxa"/>
          </w:tcPr>
          <w:p w14:paraId="2B0366E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0.0028</w:t>
            </w:r>
          </w:p>
        </w:tc>
      </w:tr>
      <w:tr w:rsidR="00241E99" w:rsidRPr="00EA04C9" w14:paraId="353F5A93" w14:textId="77777777" w:rsidTr="00AB5D40">
        <w:tc>
          <w:tcPr>
            <w:tcW w:w="846" w:type="dxa"/>
          </w:tcPr>
          <w:p w14:paraId="3CE1D1C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2022</w:t>
            </w:r>
          </w:p>
        </w:tc>
        <w:tc>
          <w:tcPr>
            <w:tcW w:w="2693" w:type="dxa"/>
          </w:tcPr>
          <w:p w14:paraId="3E39F83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0.0087</w:t>
            </w:r>
          </w:p>
        </w:tc>
        <w:tc>
          <w:tcPr>
            <w:tcW w:w="2835" w:type="dxa"/>
          </w:tcPr>
          <w:p w14:paraId="50F43AE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0.0073</w:t>
            </w:r>
          </w:p>
        </w:tc>
        <w:tc>
          <w:tcPr>
            <w:tcW w:w="2642" w:type="dxa"/>
          </w:tcPr>
          <w:p w14:paraId="4484C9D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0.0045</w:t>
            </w:r>
          </w:p>
        </w:tc>
      </w:tr>
      <w:tr w:rsidR="00241E99" w:rsidRPr="00EA04C9" w14:paraId="48C9E040" w14:textId="77777777" w:rsidTr="00AB5D40">
        <w:tc>
          <w:tcPr>
            <w:tcW w:w="846" w:type="dxa"/>
          </w:tcPr>
          <w:p w14:paraId="5A8298B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5F2959C1"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0.0053</w:t>
            </w:r>
          </w:p>
        </w:tc>
        <w:tc>
          <w:tcPr>
            <w:tcW w:w="2835" w:type="dxa"/>
          </w:tcPr>
          <w:p w14:paraId="5065209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0.0042</w:t>
            </w:r>
          </w:p>
        </w:tc>
        <w:tc>
          <w:tcPr>
            <w:tcW w:w="2642" w:type="dxa"/>
          </w:tcPr>
          <w:p w14:paraId="529F6A9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0.0018</w:t>
            </w:r>
          </w:p>
        </w:tc>
      </w:tr>
      <w:tr w:rsidR="00241E99" w:rsidRPr="00EA04C9" w14:paraId="312458A8" w14:textId="77777777" w:rsidTr="00AB5D40">
        <w:tc>
          <w:tcPr>
            <w:tcW w:w="846" w:type="dxa"/>
          </w:tcPr>
          <w:p w14:paraId="03ACE19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693" w:type="dxa"/>
          </w:tcPr>
          <w:p w14:paraId="1A56949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0.0023</w:t>
            </w:r>
          </w:p>
        </w:tc>
        <w:tc>
          <w:tcPr>
            <w:tcW w:w="2835" w:type="dxa"/>
          </w:tcPr>
          <w:p w14:paraId="068EB2E2"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0.0016</w:t>
            </w:r>
          </w:p>
        </w:tc>
        <w:tc>
          <w:tcPr>
            <w:tcW w:w="2642" w:type="dxa"/>
          </w:tcPr>
          <w:p w14:paraId="2B7135A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0.0002</w:t>
            </w:r>
          </w:p>
        </w:tc>
      </w:tr>
    </w:tbl>
    <w:p w14:paraId="5A69EAB7" w14:textId="77777777" w:rsidR="00241E99" w:rsidRPr="00EA04C9" w:rsidRDefault="00241E99" w:rsidP="00241E99">
      <w:pPr>
        <w:rPr>
          <w:rFonts w:ascii="Times New Roman" w:hAnsi="Times New Roman" w:cs="Times New Roman"/>
          <w:sz w:val="24"/>
          <w:szCs w:val="24"/>
        </w:rPr>
      </w:pPr>
    </w:p>
    <w:p w14:paraId="2C5E4579"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xml:space="preserve">Marginal effects ICT training </w:t>
      </w:r>
    </w:p>
    <w:tbl>
      <w:tblPr>
        <w:tblStyle w:val="TableGrid"/>
        <w:tblW w:w="0" w:type="auto"/>
        <w:tblLook w:val="04A0" w:firstRow="1" w:lastRow="0" w:firstColumn="1" w:lastColumn="0" w:noHBand="0" w:noVBand="1"/>
      </w:tblPr>
      <w:tblGrid>
        <w:gridCol w:w="846"/>
        <w:gridCol w:w="2693"/>
        <w:gridCol w:w="2835"/>
        <w:gridCol w:w="2642"/>
      </w:tblGrid>
      <w:tr w:rsidR="00241E99" w:rsidRPr="00EA04C9" w14:paraId="6854F237" w14:textId="77777777" w:rsidTr="00AB5D40">
        <w:tc>
          <w:tcPr>
            <w:tcW w:w="846" w:type="dxa"/>
          </w:tcPr>
          <w:p w14:paraId="379C0860"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693" w:type="dxa"/>
          </w:tcPr>
          <w:p w14:paraId="77FA276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low ICT train</w:t>
            </w:r>
          </w:p>
        </w:tc>
        <w:tc>
          <w:tcPr>
            <w:tcW w:w="2835" w:type="dxa"/>
          </w:tcPr>
          <w:p w14:paraId="52C6CD7F"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med ICT train</w:t>
            </w:r>
          </w:p>
        </w:tc>
        <w:tc>
          <w:tcPr>
            <w:tcW w:w="2642" w:type="dxa"/>
          </w:tcPr>
          <w:p w14:paraId="2FC65FC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ME at high ICT train</w:t>
            </w:r>
          </w:p>
        </w:tc>
      </w:tr>
      <w:tr w:rsidR="00241E99" w:rsidRPr="00EA04C9" w14:paraId="412F148C" w14:textId="77777777" w:rsidTr="00AB5D40">
        <w:tc>
          <w:tcPr>
            <w:tcW w:w="846" w:type="dxa"/>
          </w:tcPr>
          <w:p w14:paraId="1DDD062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693" w:type="dxa"/>
          </w:tcPr>
          <w:p w14:paraId="43425F7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0.0082</w:t>
            </w:r>
          </w:p>
        </w:tc>
        <w:tc>
          <w:tcPr>
            <w:tcW w:w="2835" w:type="dxa"/>
          </w:tcPr>
          <w:p w14:paraId="6455026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0.0066</w:t>
            </w:r>
          </w:p>
        </w:tc>
        <w:tc>
          <w:tcPr>
            <w:tcW w:w="2642" w:type="dxa"/>
          </w:tcPr>
          <w:p w14:paraId="2C4A80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0.0036</w:t>
            </w:r>
          </w:p>
        </w:tc>
      </w:tr>
      <w:tr w:rsidR="00241E99" w:rsidRPr="00EA04C9" w14:paraId="4F6F3BCA" w14:textId="77777777" w:rsidTr="00AB5D40">
        <w:tc>
          <w:tcPr>
            <w:tcW w:w="846" w:type="dxa"/>
          </w:tcPr>
          <w:p w14:paraId="463404FE"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lastRenderedPageBreak/>
              <w:t>2022</w:t>
            </w:r>
          </w:p>
        </w:tc>
        <w:tc>
          <w:tcPr>
            <w:tcW w:w="2693" w:type="dxa"/>
          </w:tcPr>
          <w:p w14:paraId="54B05EB6"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0.0082</w:t>
            </w:r>
          </w:p>
        </w:tc>
        <w:tc>
          <w:tcPr>
            <w:tcW w:w="2835" w:type="dxa"/>
          </w:tcPr>
          <w:p w14:paraId="0D2E4F2D"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0.0062</w:t>
            </w:r>
          </w:p>
        </w:tc>
        <w:tc>
          <w:tcPr>
            <w:tcW w:w="2642" w:type="dxa"/>
          </w:tcPr>
          <w:p w14:paraId="44A029C5"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0.0032</w:t>
            </w:r>
          </w:p>
        </w:tc>
      </w:tr>
      <w:tr w:rsidR="00241E99" w:rsidRPr="00EA04C9" w14:paraId="5AE76ED3" w14:textId="77777777" w:rsidTr="00AB5D40">
        <w:tc>
          <w:tcPr>
            <w:tcW w:w="846" w:type="dxa"/>
          </w:tcPr>
          <w:p w14:paraId="79558A53"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2023</w:t>
            </w:r>
          </w:p>
        </w:tc>
        <w:tc>
          <w:tcPr>
            <w:tcW w:w="2693" w:type="dxa"/>
          </w:tcPr>
          <w:p w14:paraId="61A8791A"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0.0055</w:t>
            </w:r>
          </w:p>
        </w:tc>
        <w:tc>
          <w:tcPr>
            <w:tcW w:w="2835" w:type="dxa"/>
          </w:tcPr>
          <w:p w14:paraId="173ACA7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0.0037</w:t>
            </w:r>
          </w:p>
        </w:tc>
        <w:tc>
          <w:tcPr>
            <w:tcW w:w="2642" w:type="dxa"/>
          </w:tcPr>
          <w:p w14:paraId="4575FFE9"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0.0011</w:t>
            </w:r>
          </w:p>
        </w:tc>
      </w:tr>
      <w:tr w:rsidR="00241E99" w:rsidRPr="00EA04C9" w14:paraId="6D49D985" w14:textId="77777777" w:rsidTr="00AB5D40">
        <w:tc>
          <w:tcPr>
            <w:tcW w:w="846" w:type="dxa"/>
          </w:tcPr>
          <w:p w14:paraId="7B93850B"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2024</w:t>
            </w:r>
          </w:p>
        </w:tc>
        <w:tc>
          <w:tcPr>
            <w:tcW w:w="2693" w:type="dxa"/>
          </w:tcPr>
          <w:p w14:paraId="6563E284"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0.0039</w:t>
            </w:r>
          </w:p>
        </w:tc>
        <w:tc>
          <w:tcPr>
            <w:tcW w:w="2835" w:type="dxa"/>
          </w:tcPr>
          <w:p w14:paraId="43F5D4F8"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0.0029</w:t>
            </w:r>
          </w:p>
        </w:tc>
        <w:tc>
          <w:tcPr>
            <w:tcW w:w="2642" w:type="dxa"/>
          </w:tcPr>
          <w:p w14:paraId="48F800F7" w14:textId="77777777" w:rsidR="00241E99" w:rsidRPr="00EA04C9" w:rsidRDefault="00241E99" w:rsidP="00AB5D40">
            <w:pPr>
              <w:rPr>
                <w:rFonts w:ascii="Times New Roman" w:hAnsi="Times New Roman" w:cs="Times New Roman"/>
                <w:sz w:val="24"/>
                <w:szCs w:val="24"/>
              </w:rPr>
            </w:pPr>
            <w:r w:rsidRPr="00EA04C9">
              <w:rPr>
                <w:rFonts w:ascii="Times New Roman" w:hAnsi="Times New Roman" w:cs="Times New Roman"/>
                <w:sz w:val="24"/>
                <w:szCs w:val="24"/>
              </w:rPr>
              <w:t>0.0006</w:t>
            </w:r>
          </w:p>
        </w:tc>
      </w:tr>
    </w:tbl>
    <w:p w14:paraId="5847552E" w14:textId="77777777" w:rsidR="00E874A9" w:rsidRDefault="00E874A9" w:rsidP="001571E4">
      <w:pPr>
        <w:jc w:val="both"/>
      </w:pPr>
    </w:p>
    <w:p w14:paraId="75DA6DAA" w14:textId="1BEB8046" w:rsidR="00E874A9" w:rsidRPr="00EF7427" w:rsidRDefault="00E874A9" w:rsidP="00B756E1">
      <w:pPr>
        <w:pStyle w:val="Thesisbody"/>
      </w:pPr>
      <w:r w:rsidRPr="00EF7427">
        <w:t>Two findings emerge directly from marginal effects table. First, the marginal effect of AI adoption on wages is positive at low and median ICT levels but diminishes monotonically as ICT capacity increases. Looking at ICT training specification 2021 year as an example, the AI wage premium falls from +0.82% to +0.36% when moving from a low-training to a high-training environment</w:t>
      </w:r>
      <w:r w:rsidR="007D2F25" w:rsidRPr="00EF7427">
        <w:t>. B</w:t>
      </w:r>
      <w:r w:rsidRPr="00EF7427">
        <w:t>y 2024 this compression reaches its endpoint: in digitally mature sectors, the marginal wage premium associated with AI adoption converges toward zero</w:t>
      </w:r>
      <w:r w:rsidR="007D2F25" w:rsidRPr="00EF7427">
        <w:t xml:space="preserve">: </w:t>
      </w:r>
      <w:r w:rsidRPr="00EF7427">
        <w:t>specialists at +0.02% and training at +0.06%. Taken together, these results are consistent with the second component of H2 and with the task-based framework of Acemoglu and Restrepo, who show that the wage effect of automation reflects the balance between a productivity effect, which raises wages, and a displacement effect, which reduces them</w:t>
      </w:r>
      <w:r w:rsidR="007D2F25" w:rsidRPr="00EF7427">
        <w:t xml:space="preserve"> [16,18]</w:t>
      </w:r>
      <w:r w:rsidRPr="00EF7427">
        <w:t xml:space="preserve">. As sectoral ICT capacity rises, capital substitutes for labour across a progressively broader set of tasks, the </w:t>
      </w:r>
      <w:r w:rsidRPr="00B756E1">
        <w:t>displacement channel intensifies, and the net marginal wage premium is compresse</w:t>
      </w:r>
      <w:r w:rsidR="00A11828" w:rsidRPr="00B756E1">
        <w:t>d</w:t>
      </w:r>
      <w:r w:rsidR="00A11828" w:rsidRPr="00B756E1">
        <w:rPr>
          <w:i/>
          <w:iCs/>
        </w:rPr>
        <w:t xml:space="preserve"> </w:t>
      </w:r>
      <w:r w:rsidR="00A11828" w:rsidRPr="00B756E1">
        <w:t>going toward zero in digitally mature sectors, where the wage premium from AI adoption appears fully absorbed.</w:t>
      </w:r>
      <w:r w:rsidRPr="00B756E1">
        <w:t xml:space="preserve"> Whether this saturation marks a stable equilibrium or a transitional state preceding a new wave of task creation remains beyond the scope of the present study.</w:t>
      </w:r>
    </w:p>
    <w:p w14:paraId="47C86D6A" w14:textId="7366BBD3" w:rsidR="00E874A9" w:rsidRPr="00EF7427" w:rsidRDefault="00E874A9" w:rsidP="00B756E1">
      <w:pPr>
        <w:pStyle w:val="Thesisbody"/>
      </w:pPr>
      <w:r w:rsidRPr="00EF7427">
        <w:t>Second, the 2022 spike visible in the ICT specialists track, where the low-ICT marginal effect jumps to +0.87% before declining, is consistent with the nominal wage acceleration observed across the EU in 2022, during which AI-adopting sectors appear to have transmitted inflationary wage pressure more strongly [</w:t>
      </w:r>
      <w:r w:rsidR="00272AE7">
        <w:t>39</w:t>
      </w:r>
      <w:r w:rsidRPr="00EF7427">
        <w:t xml:space="preserve">]. The ICT training track is notably smoother, peaking at the same level as 2021, which reflects the slower, structural nature of workforce training investment compared to the faster labour-market signal </w:t>
      </w:r>
      <w:r w:rsidR="00B45B0D" w:rsidRPr="00EF7427">
        <w:t>included</w:t>
      </w:r>
      <w:r w:rsidRPr="00EF7427">
        <w:t xml:space="preserve"> in specialist hiring.</w:t>
      </w:r>
    </w:p>
    <w:p w14:paraId="671EC553" w14:textId="3A93686E" w:rsidR="003E61CC" w:rsidRPr="00AF129C" w:rsidRDefault="00860183" w:rsidP="00B756E1">
      <w:pPr>
        <w:pStyle w:val="Thesisbody"/>
      </w:pPr>
      <w:r w:rsidRPr="00EF7427">
        <w:rPr>
          <w:lang w:val="en"/>
        </w:rPr>
        <w:t>The cross-sectional evidence partially supports H2, with an important qualification. H2 predicted that sectors with structurally higher AI adoption would pay higher wages on average (reinstatement premium), with this premium diminishing at higher ICT capacity. The additive models show a negative AI coefficient, meaning that structurally high-AI sectors pay lower average wages</w:t>
      </w:r>
      <w:r w:rsidR="006C5EC2" w:rsidRPr="00EF7427">
        <w:rPr>
          <w:lang w:val="en"/>
        </w:rPr>
        <w:t xml:space="preserve">. Through that </w:t>
      </w:r>
      <w:r w:rsidRPr="00EF7427">
        <w:rPr>
          <w:lang w:val="en"/>
        </w:rPr>
        <w:t>the first component of H2 is not confirmed. This is consistent with the Acemoglu</w:t>
      </w:r>
      <w:r w:rsidR="006C5EC2" w:rsidRPr="00EF7427">
        <w:rPr>
          <w:lang w:val="en"/>
        </w:rPr>
        <w:t xml:space="preserve"> and </w:t>
      </w:r>
      <w:r w:rsidRPr="00EF7427">
        <w:rPr>
          <w:lang w:val="en"/>
        </w:rPr>
        <w:t>Restrepo</w:t>
      </w:r>
      <w:r w:rsidR="00C320A8" w:rsidRPr="00EF7427">
        <w:rPr>
          <w:lang w:val="en"/>
        </w:rPr>
        <w:t xml:space="preserve"> </w:t>
      </w:r>
      <w:r w:rsidRPr="00EF7427">
        <w:rPr>
          <w:lang w:val="en"/>
        </w:rPr>
        <w:t>displacement equilibrium: sectors that have automated the most intensively are the sectors that displaced the most routine-task workers, and this displacement is reflected in suppressed average wages rather than a reinstatement premium</w:t>
      </w:r>
      <w:r w:rsidR="00C320A8" w:rsidRPr="00EF7427">
        <w:rPr>
          <w:lang w:val="en"/>
        </w:rPr>
        <w:t xml:space="preserve"> [15,18]</w:t>
      </w:r>
      <w:r w:rsidRPr="00EF7427">
        <w:rPr>
          <w:lang w:val="en"/>
        </w:rPr>
        <w:t>. The second component of H2 that the AI</w:t>
      </w:r>
      <w:r w:rsidR="006C5EC2" w:rsidRPr="00EF7427">
        <w:rPr>
          <w:lang w:val="en"/>
        </w:rPr>
        <w:t>-</w:t>
      </w:r>
      <w:r w:rsidRPr="00EF7427">
        <w:rPr>
          <w:lang w:val="en"/>
        </w:rPr>
        <w:t xml:space="preserve">wage relationship is moderated by ICT capacity is directly </w:t>
      </w:r>
      <w:r w:rsidRPr="00EF7427">
        <w:rPr>
          <w:lang w:val="en"/>
        </w:rPr>
        <w:lastRenderedPageBreak/>
        <w:t xml:space="preserve">confirmed by the negative and significant interaction term and by the monotonically declining marginal effects across the ICT distribution. The between-sector structural wage hierarchy is therefore not primarily driven by AI intensity in isolation, but by the interaction between AI adoption and the sectoral ICT </w:t>
      </w:r>
      <w:r w:rsidR="00C82AB2" w:rsidRPr="00EF7427">
        <w:rPr>
          <w:lang w:val="en"/>
        </w:rPr>
        <w:t>condition</w:t>
      </w:r>
      <w:r w:rsidRPr="00EF7427">
        <w:rPr>
          <w:lang w:val="en"/>
        </w:rPr>
        <w:t>.</w:t>
      </w:r>
    </w:p>
    <w:p w14:paraId="5AE08F6A" w14:textId="14848117" w:rsidR="0002485C" w:rsidRDefault="00AD7069" w:rsidP="007651EB">
      <w:pPr>
        <w:jc w:val="both"/>
        <w:rPr>
          <w:rFonts w:ascii="Times New Roman" w:hAnsi="Times New Roman" w:cs="Times New Roman"/>
          <w:b/>
          <w:bCs/>
          <w:sz w:val="24"/>
          <w:szCs w:val="24"/>
        </w:rPr>
      </w:pPr>
      <w:r w:rsidRPr="00EA04C9">
        <w:rPr>
          <w:rFonts w:ascii="Times New Roman" w:hAnsi="Times New Roman" w:cs="Times New Roman"/>
          <w:b/>
          <w:bCs/>
          <w:sz w:val="24"/>
          <w:szCs w:val="24"/>
          <w:highlight w:val="yellow"/>
        </w:rPr>
        <w:t>Panel models</w:t>
      </w:r>
    </w:p>
    <w:p w14:paraId="3E2883E8" w14:textId="7DE49FA2" w:rsidR="002274BB" w:rsidRDefault="009C2743" w:rsidP="009F4123">
      <w:pPr>
        <w:pStyle w:val="Thesisbody"/>
      </w:pPr>
      <w:r w:rsidRPr="004A524F">
        <w:t>To test whether within-sector increases in AI adoption are associated with negative wage pressures (H1), which is explicitly about within</w:t>
      </w:r>
      <w:r w:rsidRPr="004A524F">
        <w:noBreakHyphen/>
        <w:t>sector wage dynamics over time, the preferred estimator is a two</w:t>
      </w:r>
      <w:r w:rsidRPr="004A524F">
        <w:noBreakHyphen/>
        <w:t>way Fixed Effects (FE) panel model with country–sector and year effects. This specification exploits only within</w:t>
      </w:r>
      <w:r w:rsidRPr="004A524F">
        <w:noBreakHyphen/>
        <w:t>entity variation and differences out all time</w:t>
      </w:r>
      <w:r w:rsidRPr="004A524F">
        <w:noBreakHyphen/>
        <w:t xml:space="preserve">invariant sectoral and country characteristics, while the year dummies absorb common macroeconomic shocks that affected all European labour markets between 2021 and 2024, such as the 2022 inflation spike and subsequent partial recovery </w:t>
      </w:r>
      <w:r w:rsidRPr="00332CEF">
        <w:t>[</w:t>
      </w:r>
      <w:r w:rsidR="00332CEF" w:rsidRPr="00332CEF">
        <w:t>26</w:t>
      </w:r>
      <w:r w:rsidRPr="00332CEF">
        <w:t>].</w:t>
      </w:r>
      <w:r w:rsidRPr="004A524F">
        <w:t> </w:t>
      </w:r>
    </w:p>
    <w:p w14:paraId="6B563469" w14:textId="07EEBB16" w:rsidR="00D04B23" w:rsidRPr="00EA04C9" w:rsidRDefault="00606790" w:rsidP="00D04B23">
      <w:pPr>
        <w:jc w:val="both"/>
        <w:rPr>
          <w:rFonts w:ascii="Times New Roman" w:hAnsi="Times New Roman" w:cs="Times New Roman"/>
          <w:sz w:val="24"/>
          <w:szCs w:val="24"/>
        </w:rPr>
      </w:pPr>
      <w:r>
        <w:rPr>
          <w:rFonts w:ascii="Times New Roman" w:hAnsi="Times New Roman" w:cs="Times New Roman"/>
          <w:sz w:val="24"/>
          <w:szCs w:val="24"/>
        </w:rPr>
        <w:t>Diagnostic tests for two-way Fixed Models</w:t>
      </w:r>
    </w:p>
    <w:tbl>
      <w:tblPr>
        <w:tblStyle w:val="TableGrid"/>
        <w:tblW w:w="0" w:type="auto"/>
        <w:tblLook w:val="04A0" w:firstRow="1" w:lastRow="0" w:firstColumn="1" w:lastColumn="0" w:noHBand="0" w:noVBand="1"/>
      </w:tblPr>
      <w:tblGrid>
        <w:gridCol w:w="2263"/>
        <w:gridCol w:w="3402"/>
        <w:gridCol w:w="3351"/>
      </w:tblGrid>
      <w:tr w:rsidR="00D04B23" w:rsidRPr="00EA04C9" w14:paraId="724F5267" w14:textId="77777777" w:rsidTr="00D04B23">
        <w:tc>
          <w:tcPr>
            <w:tcW w:w="2263" w:type="dxa"/>
          </w:tcPr>
          <w:p w14:paraId="5E7333E7" w14:textId="77777777" w:rsidR="00D04B23" w:rsidRPr="00EA04C9" w:rsidRDefault="00D04B23" w:rsidP="00AB5D40">
            <w:pPr>
              <w:rPr>
                <w:rFonts w:ascii="Times New Roman" w:hAnsi="Times New Roman" w:cs="Times New Roman"/>
                <w:sz w:val="24"/>
                <w:szCs w:val="24"/>
              </w:rPr>
            </w:pPr>
          </w:p>
        </w:tc>
        <w:tc>
          <w:tcPr>
            <w:tcW w:w="3402" w:type="dxa"/>
          </w:tcPr>
          <w:p w14:paraId="4BAA4D70" w14:textId="65312ABA" w:rsidR="00D04B23" w:rsidRPr="00EA04C9" w:rsidRDefault="00D04B23" w:rsidP="00AB5D40">
            <w:pPr>
              <w:rPr>
                <w:rFonts w:ascii="Times New Roman" w:hAnsi="Times New Roman" w:cs="Times New Roman"/>
                <w:sz w:val="24"/>
                <w:szCs w:val="24"/>
              </w:rPr>
            </w:pPr>
            <w:r>
              <w:rPr>
                <w:rFonts w:ascii="Times New Roman" w:hAnsi="Times New Roman" w:cs="Times New Roman"/>
                <w:sz w:val="24"/>
                <w:szCs w:val="24"/>
              </w:rPr>
              <w:t xml:space="preserve">Two-way FE model with ICT specialist variable </w:t>
            </w:r>
          </w:p>
        </w:tc>
        <w:tc>
          <w:tcPr>
            <w:tcW w:w="3351" w:type="dxa"/>
          </w:tcPr>
          <w:p w14:paraId="5F69A0EB" w14:textId="3B0E012F" w:rsidR="00D04B23" w:rsidRPr="00EA04C9" w:rsidRDefault="00606790" w:rsidP="00AB5D40">
            <w:pPr>
              <w:rPr>
                <w:rFonts w:ascii="Times New Roman" w:hAnsi="Times New Roman" w:cs="Times New Roman"/>
                <w:sz w:val="24"/>
                <w:szCs w:val="24"/>
              </w:rPr>
            </w:pPr>
            <w:r>
              <w:rPr>
                <w:rFonts w:ascii="Times New Roman" w:hAnsi="Times New Roman" w:cs="Times New Roman"/>
                <w:sz w:val="24"/>
                <w:szCs w:val="24"/>
              </w:rPr>
              <w:t>Two-way FE model with ICT training variable</w:t>
            </w:r>
          </w:p>
        </w:tc>
      </w:tr>
      <w:tr w:rsidR="00606790" w:rsidRPr="00EA04C9" w14:paraId="511A8A13" w14:textId="77777777" w:rsidTr="00A22A2F">
        <w:tc>
          <w:tcPr>
            <w:tcW w:w="2263" w:type="dxa"/>
          </w:tcPr>
          <w:p w14:paraId="65258452" w14:textId="3A6F773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F-Test for Entity Effects </w:t>
            </w:r>
          </w:p>
        </w:tc>
        <w:tc>
          <w:tcPr>
            <w:tcW w:w="3402" w:type="dxa"/>
          </w:tcPr>
          <w:p w14:paraId="7C9BE089" w14:textId="747BAEB1"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188.8057</w:t>
            </w:r>
            <w:r>
              <w:rPr>
                <w:rFonts w:ascii="Times New Roman" w:hAnsi="Times New Roman" w:cs="Times New Roman"/>
                <w:sz w:val="24"/>
                <w:szCs w:val="24"/>
              </w:rPr>
              <w:t xml:space="preserve"> </w:t>
            </w:r>
          </w:p>
          <w:p w14:paraId="3B81B28F" w14:textId="442939D1"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21580A92" w14:textId="2B1FC834"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9ABDBC2" w14:textId="499A486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01A161E0" w14:textId="77777777" w:rsidTr="006B0D20">
        <w:tc>
          <w:tcPr>
            <w:tcW w:w="2263" w:type="dxa"/>
          </w:tcPr>
          <w:p w14:paraId="022FEAA0" w14:textId="613D8E3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Breusch-Pagan LM Test </w:t>
            </w:r>
          </w:p>
        </w:tc>
        <w:tc>
          <w:tcPr>
            <w:tcW w:w="3402" w:type="dxa"/>
          </w:tcPr>
          <w:p w14:paraId="32F5286B"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468.6424</w:t>
            </w:r>
          </w:p>
          <w:p w14:paraId="1585A422" w14:textId="021C53D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3ED938B7" w14:textId="008ECDA0"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545.4818</w:t>
            </w:r>
          </w:p>
          <w:p w14:paraId="42F66584" w14:textId="2E61AA62"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598A137D" w14:textId="77777777" w:rsidTr="00672B2D">
        <w:tc>
          <w:tcPr>
            <w:tcW w:w="2263" w:type="dxa"/>
          </w:tcPr>
          <w:p w14:paraId="27348560" w14:textId="1186A46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Hausman Test </w:t>
            </w:r>
          </w:p>
        </w:tc>
        <w:tc>
          <w:tcPr>
            <w:tcW w:w="3402" w:type="dxa"/>
          </w:tcPr>
          <w:p w14:paraId="1AB051F7" w14:textId="47BD5772"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147.0239</w:t>
            </w:r>
          </w:p>
          <w:p w14:paraId="7B100A88" w14:textId="79452600"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73D24CA3" w14:textId="6AF32131"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7.2937</w:t>
            </w:r>
          </w:p>
          <w:p w14:paraId="31711046" w14:textId="5AA4BFE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0.2945</w:t>
            </w:r>
            <w:r>
              <w:rPr>
                <w:rFonts w:ascii="Times New Roman" w:hAnsi="Times New Roman" w:cs="Times New Roman"/>
                <w:sz w:val="24"/>
                <w:szCs w:val="24"/>
              </w:rPr>
              <w:t>)</w:t>
            </w:r>
          </w:p>
        </w:tc>
      </w:tr>
      <w:tr w:rsidR="00606790" w:rsidRPr="00EA04C9" w14:paraId="4389FC95" w14:textId="77777777" w:rsidTr="00662B9C">
        <w:tc>
          <w:tcPr>
            <w:tcW w:w="2263" w:type="dxa"/>
          </w:tcPr>
          <w:p w14:paraId="211A75E2" w14:textId="77777777"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Heteroskedasticity Tests</w:t>
            </w:r>
          </w:p>
        </w:tc>
        <w:tc>
          <w:tcPr>
            <w:tcW w:w="3402" w:type="dxa"/>
          </w:tcPr>
          <w:p w14:paraId="41840465"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0.0130</w:t>
            </w:r>
          </w:p>
          <w:p w14:paraId="37BA326B" w14:textId="00A9794D"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6A59D3FF" w14:textId="2A2AEC86"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0.0546</w:t>
            </w:r>
          </w:p>
          <w:p w14:paraId="7D2D079D" w14:textId="1326BFC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7DD9CA40" w14:textId="77777777" w:rsidTr="001C6EC6">
        <w:tc>
          <w:tcPr>
            <w:tcW w:w="2263" w:type="dxa"/>
          </w:tcPr>
          <w:p w14:paraId="1FABC55C" w14:textId="755E195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Chow Test </w:t>
            </w:r>
          </w:p>
        </w:tc>
        <w:tc>
          <w:tcPr>
            <w:tcW w:w="3402" w:type="dxa"/>
          </w:tcPr>
          <w:p w14:paraId="7C3ABBE1"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188.8057</w:t>
            </w:r>
          </w:p>
          <w:p w14:paraId="0DCC87FA" w14:textId="7446A18B"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5098A6A3" w14:textId="085F368B"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A893C43" w14:textId="0B3D9788"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245CECC4" w14:textId="77777777" w:rsidTr="00D15021">
        <w:tc>
          <w:tcPr>
            <w:tcW w:w="2263" w:type="dxa"/>
          </w:tcPr>
          <w:p w14:paraId="1CDEA8E4" w14:textId="35FF56EE"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Wald Test </w:t>
            </w:r>
          </w:p>
        </w:tc>
        <w:tc>
          <w:tcPr>
            <w:tcW w:w="3402" w:type="dxa"/>
          </w:tcPr>
          <w:p w14:paraId="3F7300D8" w14:textId="74ADEEA4"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t>χ²</w:t>
            </w:r>
            <w:r w:rsidR="00606790" w:rsidRPr="00EA04C9">
              <w:rPr>
                <w:rFonts w:ascii="Times New Roman" w:hAnsi="Times New Roman" w:cs="Times New Roman"/>
                <w:sz w:val="24"/>
                <w:szCs w:val="24"/>
              </w:rPr>
              <w:t>: 4.87</w:t>
            </w:r>
          </w:p>
          <w:p w14:paraId="55E724C1" w14:textId="39F4308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0.181</w:t>
            </w:r>
            <w:r>
              <w:rPr>
                <w:rFonts w:ascii="Times New Roman" w:hAnsi="Times New Roman" w:cs="Times New Roman"/>
                <w:sz w:val="24"/>
                <w:szCs w:val="24"/>
              </w:rPr>
              <w:t>)</w:t>
            </w:r>
          </w:p>
        </w:tc>
        <w:tc>
          <w:tcPr>
            <w:tcW w:w="3351" w:type="dxa"/>
          </w:tcPr>
          <w:p w14:paraId="54EAE77D" w14:textId="1F0EF44C"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t>χ²</w:t>
            </w:r>
            <w:r w:rsidR="00606790" w:rsidRPr="00EA04C9">
              <w:rPr>
                <w:rFonts w:ascii="Times New Roman" w:hAnsi="Times New Roman" w:cs="Times New Roman"/>
                <w:sz w:val="24"/>
                <w:szCs w:val="24"/>
              </w:rPr>
              <w:t>: 9.0651</w:t>
            </w:r>
          </w:p>
          <w:p w14:paraId="1F79F29B" w14:textId="6E12F62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0.0284</w:t>
            </w:r>
            <w:r>
              <w:rPr>
                <w:rFonts w:ascii="Times New Roman" w:hAnsi="Times New Roman" w:cs="Times New Roman"/>
                <w:sz w:val="24"/>
                <w:szCs w:val="24"/>
              </w:rPr>
              <w:t>)</w:t>
            </w:r>
          </w:p>
        </w:tc>
      </w:tr>
      <w:tr w:rsidR="00606790" w:rsidRPr="00EA04C9" w14:paraId="207DE81E" w14:textId="77777777" w:rsidTr="00D04B23">
        <w:tc>
          <w:tcPr>
            <w:tcW w:w="2263" w:type="dxa"/>
          </w:tcPr>
          <w:p w14:paraId="79167ECA" w14:textId="1FB6BC0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BETWEEN Sectors </w:t>
            </w:r>
          </w:p>
        </w:tc>
        <w:tc>
          <w:tcPr>
            <w:tcW w:w="3402" w:type="dxa"/>
          </w:tcPr>
          <w:p w14:paraId="16F10784" w14:textId="4F852814"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c>
          <w:tcPr>
            <w:tcW w:w="3351" w:type="dxa"/>
          </w:tcPr>
          <w:p w14:paraId="76B5334C" w14:textId="1A346B9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r>
      <w:tr w:rsidR="00606790" w:rsidRPr="00EA04C9" w14:paraId="2598EC89" w14:textId="77777777" w:rsidTr="00D04B23">
        <w:tc>
          <w:tcPr>
            <w:tcW w:w="2263" w:type="dxa"/>
          </w:tcPr>
          <w:p w14:paraId="1CE49DA3" w14:textId="62CE68E3"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WITHIN Sectors       </w:t>
            </w:r>
          </w:p>
        </w:tc>
        <w:tc>
          <w:tcPr>
            <w:tcW w:w="3402" w:type="dxa"/>
          </w:tcPr>
          <w:p w14:paraId="09802A98" w14:textId="574676D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c>
          <w:tcPr>
            <w:tcW w:w="3351" w:type="dxa"/>
          </w:tcPr>
          <w:p w14:paraId="14EEBB6C" w14:textId="680F644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r>
      <w:tr w:rsidR="00606790" w:rsidRPr="00EA04C9" w14:paraId="5B49817C" w14:textId="77777777" w:rsidTr="00D04B23">
        <w:tc>
          <w:tcPr>
            <w:tcW w:w="2263" w:type="dxa"/>
          </w:tcPr>
          <w:p w14:paraId="196063EB" w14:textId="338ECE1C"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Between / Within</w:t>
            </w:r>
            <w:r w:rsidR="00AF25DE">
              <w:rPr>
                <w:rFonts w:ascii="Times New Roman" w:hAnsi="Times New Roman" w:cs="Times New Roman"/>
                <w:sz w:val="24"/>
                <w:szCs w:val="24"/>
              </w:rPr>
              <w:t xml:space="preserve"> Ratio</w:t>
            </w:r>
            <w:r w:rsidRPr="00EA04C9">
              <w:rPr>
                <w:rFonts w:ascii="Times New Roman" w:hAnsi="Times New Roman" w:cs="Times New Roman"/>
                <w:sz w:val="24"/>
                <w:szCs w:val="24"/>
              </w:rPr>
              <w:t xml:space="preserve">               </w:t>
            </w:r>
          </w:p>
        </w:tc>
        <w:tc>
          <w:tcPr>
            <w:tcW w:w="3402" w:type="dxa"/>
          </w:tcPr>
          <w:p w14:paraId="21E5DD94" w14:textId="609EC7BA"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c>
          <w:tcPr>
            <w:tcW w:w="3351" w:type="dxa"/>
          </w:tcPr>
          <w:p w14:paraId="0A723AE1" w14:textId="3187DAE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r>
    </w:tbl>
    <w:p w14:paraId="785881FA" w14:textId="640C543C" w:rsidR="00AF2D53" w:rsidRDefault="00BC4D47" w:rsidP="005A6F53">
      <w:pPr>
        <w:pStyle w:val="Thesisbody"/>
      </w:pPr>
      <w:r w:rsidRPr="00BC4D47">
        <w:t>The panel dataset comprises 134 country–sector entities observed over four years (2021</w:t>
      </w:r>
      <w:r w:rsidR="005D7E81">
        <w:t>-</w:t>
      </w:r>
      <w:r w:rsidRPr="00BC4D47">
        <w:t>2024), yielding 536 observations. To select the appropriate estimator, a standard specification sequence was follow</w:t>
      </w:r>
      <w:r w:rsidRPr="00304D7C">
        <w:t>ed [</w:t>
      </w:r>
      <w:r w:rsidR="00304D7C" w:rsidRPr="00304D7C">
        <w:t>26</w:t>
      </w:r>
      <w:r w:rsidRPr="00304D7C">
        <w:t>].</w:t>
      </w:r>
      <w:r w:rsidRPr="00BC4D47">
        <w:t xml:space="preserve"> The Chow test for poolability (F = 188.8</w:t>
      </w:r>
      <w:r w:rsidR="005D7E81">
        <w:t>-</w:t>
      </w:r>
      <w:r w:rsidRPr="00BC4D47">
        <w:t xml:space="preserve">204.0, p &lt; 0.001) and the F-test for entity effects both rejected homogeneous intercepts across entities, </w:t>
      </w:r>
      <w:r w:rsidR="005D7E81">
        <w:t xml:space="preserve">making </w:t>
      </w:r>
      <w:r w:rsidRPr="00BC4D47">
        <w:t>Pooled OLS inappropriate. The Breusch-Pagan LM test (LM = 468.6</w:t>
      </w:r>
      <w:r w:rsidR="004A524F">
        <w:t>-</w:t>
      </w:r>
      <w:r w:rsidRPr="00BC4D47">
        <w:t xml:space="preserve">545.5, p &lt; 0.001) confirmed the presence of individual effects. The Hausman test strongly rejected the null in the ICT specialist </w:t>
      </w:r>
      <w:r w:rsidRPr="00BC4D47">
        <w:lastRenderedPageBreak/>
        <w:t>specification (χ² = 147.0, p &lt; 0.001), requiring Fixed Effects over Random Effects. In the ICT training specification, the Hausman test is not significant (χ² = 7.29, p = 0.295)</w:t>
      </w:r>
      <w:r w:rsidR="00E14846">
        <w:t>,</w:t>
      </w:r>
      <w:r w:rsidRPr="00BC4D47">
        <w:t xml:space="preserve"> however, Fixed Effects is retained for consistency</w:t>
      </w:r>
      <w:r w:rsidR="00E14846">
        <w:t>. A</w:t>
      </w:r>
      <w:r w:rsidRPr="00BC4D47">
        <w:t>s Clark and Linzer note, a non-significant Hausman test on a short panel (T = 4) typically reflects low statistical power rather than RE consistency and using FE is the safer choice, guaranteeing unbiasedness at a small cost in precision [</w:t>
      </w:r>
      <w:r w:rsidR="008D530C">
        <w:t>40</w:t>
      </w:r>
      <w:r w:rsidRPr="00BC4D47">
        <w:t>].</w:t>
      </w:r>
    </w:p>
    <w:p w14:paraId="7AD6DF30" w14:textId="7876C218" w:rsidR="00AF2D53" w:rsidRDefault="006005CD" w:rsidP="005A6F53">
      <w:pPr>
        <w:pStyle w:val="Thesisbody"/>
      </w:pPr>
      <w:r w:rsidRPr="006005CD">
        <w:t>The preferred specification is a </w:t>
      </w:r>
      <w:r w:rsidRPr="00D04B23">
        <w:t>two-way</w:t>
      </w:r>
      <w:r w:rsidRPr="006005CD">
        <w:t> Fixed Effects model, incorporating both entity (country–sector) and time (year) fixed effects. The addition of time fixed effects is motivated by the specific macroeconomic context of the 2021–2024 period. Real wages across EU sectors experienced a sharp nominal compression in 2022 driven by the inflation shock, followed by a partial recovery in 2023–2024. Without year dummies, this common time shock would be absorbed into the AI adoption coefficient, which itself trended upward monotonically over the same period, producing a spurious negative correlation between AI and wages at the aggregate level. Time fixed effects remove all common year-to-year shocks</w:t>
      </w:r>
      <w:r w:rsidR="005B70C6">
        <w:t xml:space="preserve">, </w:t>
      </w:r>
      <w:r w:rsidRPr="006005CD">
        <w:t>including inflation, business cycle fluctuations, and EU-wide policy changes</w:t>
      </w:r>
      <w:r w:rsidR="005B70C6">
        <w:t xml:space="preserve">, </w:t>
      </w:r>
      <w:r w:rsidRPr="006005CD">
        <w:t>ensuring that the estim</w:t>
      </w:r>
      <w:r w:rsidRPr="006306D4">
        <w:t xml:space="preserve">ated AI and ICT coefficients reflect </w:t>
      </w:r>
      <w:r w:rsidR="005B70C6" w:rsidRPr="006306D4">
        <w:t>actual</w:t>
      </w:r>
      <w:r w:rsidRPr="006306D4">
        <w:t xml:space="preserve"> within-sector variation rather than aggregate time trends [</w:t>
      </w:r>
      <w:r w:rsidR="006306D4" w:rsidRPr="006306D4">
        <w:t>26,41</w:t>
      </w:r>
      <w:r w:rsidRPr="006306D4">
        <w:t>].</w:t>
      </w:r>
    </w:p>
    <w:p w14:paraId="7FE978FB" w14:textId="462A9299" w:rsidR="007A1D91" w:rsidRPr="00EA04C9" w:rsidRDefault="00D04B23" w:rsidP="005A6F53">
      <w:pPr>
        <w:pStyle w:val="Thesisbody"/>
      </w:pPr>
      <w:r w:rsidRPr="005A6F53">
        <w:t>Heteroskedasticity is detected in both</w:t>
      </w:r>
      <w:r w:rsidRPr="00D04B23">
        <w:t xml:space="preserve"> specifications (White test p &lt; 0.001), and all models use entity-clustered standard errors. An important structural feature of the data is the high between/within variance ratio (115.2 / 20.6 = 5.58): wage variation across country–sector entities is roughly 5.6 times larger than variation within entities over time, consistent with the structural stability of European wage hierarchies</w:t>
      </w:r>
      <w:r w:rsidR="007A1D91">
        <w:t xml:space="preserve">. </w:t>
      </w:r>
      <w:r w:rsidRPr="00D04B23">
        <w:t xml:space="preserve"> </w:t>
      </w:r>
    </w:p>
    <w:tbl>
      <w:tblPr>
        <w:tblStyle w:val="TableGrid"/>
        <w:tblW w:w="4693" w:type="dxa"/>
        <w:tblInd w:w="2299" w:type="dxa"/>
        <w:tblLook w:val="04A0" w:firstRow="1" w:lastRow="0" w:firstColumn="1" w:lastColumn="0" w:noHBand="0" w:noVBand="1"/>
      </w:tblPr>
      <w:tblGrid>
        <w:gridCol w:w="1323"/>
        <w:gridCol w:w="1669"/>
        <w:gridCol w:w="1701"/>
      </w:tblGrid>
      <w:tr w:rsidR="007A1D91" w:rsidRPr="00EA04C9" w14:paraId="370E8D1A" w14:textId="77777777" w:rsidTr="00AB5D40">
        <w:tc>
          <w:tcPr>
            <w:tcW w:w="1323" w:type="dxa"/>
          </w:tcPr>
          <w:p w14:paraId="3AD34532" w14:textId="77777777" w:rsidR="007A1D91" w:rsidRPr="00EA04C9" w:rsidRDefault="007A1D91" w:rsidP="00AB5D40">
            <w:pPr>
              <w:tabs>
                <w:tab w:val="left" w:pos="148"/>
              </w:tabs>
              <w:jc w:val="both"/>
              <w:rPr>
                <w:rFonts w:ascii="Times New Roman" w:hAnsi="Times New Roman" w:cs="Times New Roman"/>
                <w:sz w:val="24"/>
                <w:szCs w:val="24"/>
              </w:rPr>
            </w:pPr>
          </w:p>
        </w:tc>
        <w:tc>
          <w:tcPr>
            <w:tcW w:w="1669" w:type="dxa"/>
          </w:tcPr>
          <w:p w14:paraId="56126D7F" w14:textId="77777777" w:rsidR="007A1D91" w:rsidRPr="00AF2D53" w:rsidRDefault="007A1D91" w:rsidP="00AB5D40">
            <w:pPr>
              <w:tabs>
                <w:tab w:val="left" w:pos="148"/>
              </w:tabs>
              <w:jc w:val="center"/>
              <w:rPr>
                <w:rFonts w:ascii="Times New Roman" w:hAnsi="Times New Roman" w:cs="Times New Roman"/>
                <w:b/>
                <w:bCs/>
                <w:sz w:val="24"/>
                <w:szCs w:val="24"/>
              </w:rPr>
            </w:pPr>
            <w:r w:rsidRPr="00AF2D53">
              <w:rPr>
                <w:rFonts w:ascii="Times New Roman" w:hAnsi="Times New Roman" w:cs="Times New Roman"/>
                <w:b/>
                <w:bCs/>
                <w:sz w:val="24"/>
                <w:szCs w:val="24"/>
              </w:rPr>
              <w:t>FE (2-way)</w:t>
            </w:r>
          </w:p>
        </w:tc>
        <w:tc>
          <w:tcPr>
            <w:tcW w:w="1701" w:type="dxa"/>
          </w:tcPr>
          <w:p w14:paraId="1BFF9547" w14:textId="77777777" w:rsidR="007A1D91" w:rsidRPr="00AF2D53" w:rsidRDefault="007A1D91" w:rsidP="00AB5D40">
            <w:pPr>
              <w:tabs>
                <w:tab w:val="left" w:pos="148"/>
              </w:tabs>
              <w:jc w:val="center"/>
              <w:rPr>
                <w:rFonts w:ascii="Times New Roman" w:hAnsi="Times New Roman" w:cs="Times New Roman"/>
                <w:b/>
                <w:bCs/>
                <w:sz w:val="24"/>
                <w:szCs w:val="24"/>
              </w:rPr>
            </w:pPr>
            <w:r w:rsidRPr="00AF2D53">
              <w:rPr>
                <w:rFonts w:ascii="Times New Roman" w:hAnsi="Times New Roman" w:cs="Times New Roman"/>
                <w:b/>
                <w:bCs/>
                <w:sz w:val="24"/>
                <w:szCs w:val="24"/>
              </w:rPr>
              <w:t>FE (2-way)</w:t>
            </w:r>
          </w:p>
        </w:tc>
      </w:tr>
      <w:tr w:rsidR="007A1D91" w:rsidRPr="00EA04C9" w14:paraId="5906A0DF" w14:textId="77777777" w:rsidTr="00AB5D40">
        <w:tc>
          <w:tcPr>
            <w:tcW w:w="1323" w:type="dxa"/>
          </w:tcPr>
          <w:p w14:paraId="4447DCC9"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ai_adopt</w:t>
            </w:r>
          </w:p>
        </w:tc>
        <w:tc>
          <w:tcPr>
            <w:tcW w:w="1669" w:type="dxa"/>
          </w:tcPr>
          <w:p w14:paraId="13EDE9A8"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-0.0030</w:t>
            </w:r>
            <w:r>
              <w:rPr>
                <w:rFonts w:ascii="Times New Roman" w:hAnsi="Times New Roman" w:cs="Times New Roman"/>
                <w:sz w:val="24"/>
                <w:szCs w:val="24"/>
              </w:rPr>
              <w:t>**</w:t>
            </w:r>
            <w:r w:rsidRPr="00EA04C9">
              <w:rPr>
                <w:rFonts w:ascii="Times New Roman" w:hAnsi="Times New Roman" w:cs="Times New Roman"/>
                <w:sz w:val="24"/>
                <w:szCs w:val="24"/>
              </w:rPr>
              <w:t xml:space="preserve"> (0.0014)</w:t>
            </w:r>
          </w:p>
        </w:tc>
        <w:tc>
          <w:tcPr>
            <w:tcW w:w="1701" w:type="dxa"/>
          </w:tcPr>
          <w:p w14:paraId="29299552" w14:textId="77777777" w:rsidR="007A1D91" w:rsidRPr="00EA04C9" w:rsidRDefault="007A1D91" w:rsidP="00AB5D40">
            <w:pPr>
              <w:rPr>
                <w:rFonts w:ascii="Times New Roman" w:hAnsi="Times New Roman" w:cs="Times New Roman"/>
                <w:sz w:val="24"/>
                <w:szCs w:val="24"/>
              </w:rPr>
            </w:pPr>
            <w:r w:rsidRPr="00EA04C9">
              <w:rPr>
                <w:rFonts w:ascii="Times New Roman" w:hAnsi="Times New Roman" w:cs="Times New Roman"/>
                <w:sz w:val="24"/>
                <w:szCs w:val="24"/>
              </w:rPr>
              <w:t>-0.0006</w:t>
            </w:r>
          </w:p>
          <w:p w14:paraId="3B52229C"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(0.0016)</w:t>
            </w:r>
          </w:p>
        </w:tc>
      </w:tr>
      <w:tr w:rsidR="007A1D91" w:rsidRPr="00EA04C9" w14:paraId="5404D246" w14:textId="77777777" w:rsidTr="00AB5D40">
        <w:tc>
          <w:tcPr>
            <w:tcW w:w="1323" w:type="dxa"/>
          </w:tcPr>
          <w:p w14:paraId="6E5681EC"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spec_ict</w:t>
            </w:r>
          </w:p>
        </w:tc>
        <w:tc>
          <w:tcPr>
            <w:tcW w:w="1669" w:type="dxa"/>
          </w:tcPr>
          <w:p w14:paraId="07C31EB1"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-0.0011 (0.0019)</w:t>
            </w:r>
          </w:p>
        </w:tc>
        <w:tc>
          <w:tcPr>
            <w:tcW w:w="1701" w:type="dxa"/>
          </w:tcPr>
          <w:p w14:paraId="637D2BC3"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r>
      <w:tr w:rsidR="007A1D91" w:rsidRPr="00EA04C9" w14:paraId="3BB45544" w14:textId="77777777" w:rsidTr="00AB5D40">
        <w:tc>
          <w:tcPr>
            <w:tcW w:w="1323" w:type="dxa"/>
          </w:tcPr>
          <w:p w14:paraId="580399A0"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ai_x_ict</w:t>
            </w:r>
          </w:p>
        </w:tc>
        <w:tc>
          <w:tcPr>
            <w:tcW w:w="1669" w:type="dxa"/>
          </w:tcPr>
          <w:p w14:paraId="1D2972EF"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2.864e-05 (1.922e-05)</w:t>
            </w:r>
          </w:p>
        </w:tc>
        <w:tc>
          <w:tcPr>
            <w:tcW w:w="1701" w:type="dxa"/>
          </w:tcPr>
          <w:p w14:paraId="5A2AEC33"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r>
      <w:tr w:rsidR="007A1D91" w:rsidRPr="00EA04C9" w14:paraId="7841CCE8" w14:textId="77777777" w:rsidTr="00AB5D40">
        <w:tc>
          <w:tcPr>
            <w:tcW w:w="1323" w:type="dxa"/>
          </w:tcPr>
          <w:p w14:paraId="1037EB65"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training_ict</w:t>
            </w:r>
          </w:p>
        </w:tc>
        <w:tc>
          <w:tcPr>
            <w:tcW w:w="1669" w:type="dxa"/>
          </w:tcPr>
          <w:p w14:paraId="4C4E456D"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c>
          <w:tcPr>
            <w:tcW w:w="1701" w:type="dxa"/>
          </w:tcPr>
          <w:p w14:paraId="71CA483A"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0.0040</w:t>
            </w:r>
            <w:r>
              <w:rPr>
                <w:rFonts w:ascii="Times New Roman" w:hAnsi="Times New Roman" w:cs="Times New Roman"/>
                <w:sz w:val="24"/>
                <w:szCs w:val="24"/>
              </w:rPr>
              <w:t>***</w:t>
            </w:r>
            <w:r w:rsidRPr="00EA04C9">
              <w:rPr>
                <w:rFonts w:ascii="Times New Roman" w:hAnsi="Times New Roman" w:cs="Times New Roman"/>
                <w:sz w:val="24"/>
                <w:szCs w:val="24"/>
              </w:rPr>
              <w:t xml:space="preserve"> (0.0015)</w:t>
            </w:r>
          </w:p>
        </w:tc>
      </w:tr>
      <w:tr w:rsidR="007A1D91" w:rsidRPr="00E124E8" w14:paraId="681A622F" w14:textId="77777777" w:rsidTr="00AB5D40">
        <w:tc>
          <w:tcPr>
            <w:tcW w:w="1323" w:type="dxa"/>
          </w:tcPr>
          <w:p w14:paraId="0F5ED998"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ai_x_ict_tr</w:t>
            </w:r>
          </w:p>
        </w:tc>
        <w:tc>
          <w:tcPr>
            <w:tcW w:w="1669" w:type="dxa"/>
          </w:tcPr>
          <w:p w14:paraId="44CE52B1"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c>
          <w:tcPr>
            <w:tcW w:w="1701" w:type="dxa"/>
          </w:tcPr>
          <w:p w14:paraId="3A472C2A" w14:textId="77777777" w:rsidR="007A1D91" w:rsidRPr="00EA04C9" w:rsidRDefault="007A1D91" w:rsidP="00AB5D40">
            <w:pPr>
              <w:rPr>
                <w:rFonts w:ascii="Times New Roman" w:hAnsi="Times New Roman" w:cs="Times New Roman"/>
                <w:sz w:val="24"/>
                <w:szCs w:val="24"/>
              </w:rPr>
            </w:pPr>
            <w:r w:rsidRPr="00EA04C9">
              <w:rPr>
                <w:rFonts w:ascii="Times New Roman" w:hAnsi="Times New Roman" w:cs="Times New Roman"/>
                <w:sz w:val="24"/>
                <w:szCs w:val="24"/>
              </w:rPr>
              <w:t>-7.282e-06</w:t>
            </w:r>
          </w:p>
          <w:p w14:paraId="57761542"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(2.647e-05)</w:t>
            </w:r>
          </w:p>
        </w:tc>
      </w:tr>
    </w:tbl>
    <w:p w14:paraId="4F796A22" w14:textId="172A26BE" w:rsidR="007A1D91" w:rsidRDefault="007A1D91" w:rsidP="00AF6287">
      <w:pPr>
        <w:jc w:val="both"/>
        <w:rPr>
          <w:rFonts w:ascii="Times New Roman" w:hAnsi="Times New Roman" w:cs="Times New Roman"/>
          <w:sz w:val="24"/>
          <w:szCs w:val="24"/>
        </w:rPr>
      </w:pPr>
      <w:r>
        <w:rPr>
          <w:rFonts w:ascii="Times New Roman" w:hAnsi="Times New Roman" w:cs="Times New Roman"/>
          <w:sz w:val="24"/>
          <w:szCs w:val="24"/>
        </w:rPr>
        <w:t xml:space="preserve">                                      </w:t>
      </w:r>
      <w:r w:rsidRPr="00EA04C9">
        <w:rPr>
          <w:rFonts w:ascii="Times New Roman" w:hAnsi="Times New Roman" w:cs="Times New Roman"/>
          <w:sz w:val="24"/>
          <w:szCs w:val="24"/>
        </w:rPr>
        <w:t xml:space="preserve">Standard error in the brackets </w:t>
      </w:r>
    </w:p>
    <w:p w14:paraId="38C61A74" w14:textId="6492FA87" w:rsidR="00465A69" w:rsidRDefault="00AF25DE" w:rsidP="00125443">
      <w:pPr>
        <w:pStyle w:val="Thesisbody"/>
      </w:pPr>
      <w:r w:rsidRPr="00AF25DE">
        <w:t>In the two-way Fixed Effects model</w:t>
      </w:r>
      <w:r w:rsidR="00F508A7">
        <w:t xml:space="preserve"> with ICT specialist variable</w:t>
      </w:r>
      <w:r w:rsidRPr="00AF25DE">
        <w:t xml:space="preserve">, a one percentage point within-sector increase in AI adoption is associated with a 0.3% reduction in real wages (−0.0030, p = 0.035). This finding is consistent with the displacement mechanism formalised by Acemoglu and Restrepo, who documented a comparable within-unit negative wage effect in </w:t>
      </w:r>
      <w:r w:rsidRPr="00AF25DE">
        <w:lastRenderedPageBreak/>
        <w:t>their robots analysis (−0.42% per robot per thousand workers across US commuting zones) [</w:t>
      </w:r>
      <w:r w:rsidR="00F508A7">
        <w:t>16</w:t>
      </w:r>
      <w:r w:rsidRPr="00AF25DE">
        <w:t xml:space="preserve">]. The interaction term AI × ICT specialists is positive but not statistically significant in the two-way FE model (2.86e-05, p = 0.136). The joint Wald test for the technology block also fails to reject the null of joint insignificance (χ² = 4.87, p = 0.181), indicating that within-sector variation in the AI–ICT channel does not explain short-run wage dynamics over 2021–2024. This is consistent with the finding </w:t>
      </w:r>
      <w:r w:rsidRPr="007F14B4">
        <w:t>of Ghodsi, Stehrer, and Barišić, who documented that technology effects on wages are persistent in cross-sectional specifications</w:t>
      </w:r>
      <w:r w:rsidRPr="00AF25DE">
        <w:t xml:space="preserve"> but largely disappear in within-unit or growth estimations</w:t>
      </w:r>
      <w:r w:rsidR="009874D2">
        <w:t xml:space="preserve"> [</w:t>
      </w:r>
      <w:r w:rsidR="007F14B4">
        <w:t>38</w:t>
      </w:r>
      <w:r w:rsidR="009874D2">
        <w:t>]</w:t>
      </w:r>
      <w:r w:rsidRPr="00AF25DE">
        <w:t xml:space="preserve">. The ICT specialist coefficient is itself </w:t>
      </w:r>
      <w:r w:rsidR="009874D2">
        <w:t xml:space="preserve">insignificant. </w:t>
      </w:r>
    </w:p>
    <w:p w14:paraId="2A1BD562" w14:textId="076BD0BA" w:rsidR="009874D2" w:rsidRDefault="009874D2" w:rsidP="00125443">
      <w:pPr>
        <w:pStyle w:val="Thesisbody"/>
      </w:pPr>
      <w:r>
        <w:t>Comparing</w:t>
      </w:r>
      <w:r w:rsidRPr="00AF25DE">
        <w:t xml:space="preserve"> the two-way </w:t>
      </w:r>
      <w:r w:rsidR="00D67EE9">
        <w:t>FE</w:t>
      </w:r>
      <w:r w:rsidRPr="00AF25DE">
        <w:t xml:space="preserve"> model</w:t>
      </w:r>
      <w:r>
        <w:t xml:space="preserve"> with ICT training variable</w:t>
      </w:r>
      <w:r w:rsidRPr="00AF25DE">
        <w:t xml:space="preserve">, </w:t>
      </w:r>
      <w:r>
        <w:t xml:space="preserve">the </w:t>
      </w:r>
      <w:r w:rsidRPr="009874D2">
        <w:t>two-way FE results for the training track are notably different. A one percentage point within-sector increase in the share of the workforce receiving ICT training is associated with a 0.4% increase in real wages (+0.0040, p = 0.009). The joint Wald test rejects the null of joint insignificance for the training technology block (χ² = 9.07, p = 0.028), unlike the specialist specification. This training wage premium is consistent with the literature</w:t>
      </w:r>
      <w:r w:rsidR="00502336">
        <w:t xml:space="preserve">: </w:t>
      </w:r>
      <w:r w:rsidRPr="00502336">
        <w:t xml:space="preserve"> Dearden, Reed, and Van Reenen find that a one percentage point increase in workforce training is associated with a 0.3% increase in hourly wages in British industries [</w:t>
      </w:r>
      <w:r w:rsidR="00502336">
        <w:t>42</w:t>
      </w:r>
      <w:r w:rsidRPr="00502336">
        <w:t>].</w:t>
      </w:r>
      <w:r>
        <w:t xml:space="preserve"> </w:t>
      </w:r>
      <w:r w:rsidRPr="009874D2">
        <w:t xml:space="preserve"> </w:t>
      </w:r>
      <w:r>
        <w:t>T</w:t>
      </w:r>
      <w:r w:rsidRPr="009874D2">
        <w:t>he 0.4% estimate here falls within the same range. The AI coefficient (−0.0006, p = 0.703) and the interaction term (−7.28e-06, p = 0.783) are both insignificant in the two-way specification, because AI adoption followed a smooth upward trend over 2021–2024, making it highly collinear with the time fixed effects, which absorb the variance the AI variable captured in one-way specifications [</w:t>
      </w:r>
      <w:r w:rsidR="00C83436">
        <w:t>41</w:t>
      </w:r>
      <w:r w:rsidRPr="009874D2">
        <w:t xml:space="preserve">]. </w:t>
      </w:r>
    </w:p>
    <w:p w14:paraId="419B4CFD" w14:textId="57ABCF06" w:rsidR="003D32EE" w:rsidRDefault="003D32EE" w:rsidP="00125443">
      <w:pPr>
        <w:pStyle w:val="Thesisbody"/>
        <w:rPr>
          <w:lang w:val="en"/>
        </w:rPr>
      </w:pPr>
      <w:r w:rsidRPr="003D32EE">
        <w:rPr>
          <w:lang w:val="en"/>
        </w:rPr>
        <w:t xml:space="preserve">The contrast between the two ICT tracks can be interpreted through the lens of task-based and human capital theory. Hiring ICT specialists mainly changes the composition of the workforce, bringing in new employees whose entry wages may differ from the </w:t>
      </w:r>
      <w:r w:rsidR="0054124C">
        <w:rPr>
          <w:lang w:val="en"/>
        </w:rPr>
        <w:t xml:space="preserve">current salaries </w:t>
      </w:r>
      <w:r w:rsidRPr="003D32EE">
        <w:rPr>
          <w:lang w:val="en"/>
        </w:rPr>
        <w:t xml:space="preserve">average but without necessarily changing the task content or productivity of existing workers. ICT training, by contrast, represents investment in the skills of the current workforce. In the context of Acemoglu and Restrepo’s task-based framework, such training can be viewed as a channel that helps </w:t>
      </w:r>
      <w:r w:rsidR="00312EE7">
        <w:rPr>
          <w:lang w:val="en"/>
        </w:rPr>
        <w:t>current</w:t>
      </w:r>
      <w:r w:rsidRPr="003D32EE">
        <w:rPr>
          <w:lang w:val="en"/>
        </w:rPr>
        <w:t xml:space="preserve"> </w:t>
      </w:r>
      <w:r w:rsidR="009701F5">
        <w:rPr>
          <w:lang w:val="en"/>
        </w:rPr>
        <w:t>employees</w:t>
      </w:r>
      <w:r w:rsidRPr="003D32EE">
        <w:rPr>
          <w:lang w:val="en"/>
        </w:rPr>
        <w:t xml:space="preserve"> shift toward AI</w:t>
      </w:r>
      <w:r w:rsidRPr="003D32EE">
        <w:rPr>
          <w:lang w:val="en"/>
        </w:rPr>
        <w:noBreakHyphen/>
        <w:t>complementary, non</w:t>
      </w:r>
      <w:r w:rsidRPr="003D32EE">
        <w:rPr>
          <w:lang w:val="en"/>
        </w:rPr>
        <w:noBreakHyphen/>
        <w:t>automated tasks, which is the mechanism through which new technologies raise wages and the labour share</w:t>
      </w:r>
      <w:r>
        <w:rPr>
          <w:lang w:val="en"/>
        </w:rPr>
        <w:t xml:space="preserve"> [15, 18]</w:t>
      </w:r>
      <w:r w:rsidRPr="003D32EE">
        <w:rPr>
          <w:lang w:val="en"/>
        </w:rPr>
        <w:t xml:space="preserve">. </w:t>
      </w:r>
    </w:p>
    <w:p w14:paraId="251B43E4" w14:textId="60BD513E" w:rsidR="009A5FC4" w:rsidRPr="00EA04C9" w:rsidRDefault="009A5FC4" w:rsidP="00125443">
      <w:pPr>
        <w:pStyle w:val="Thesisbody"/>
      </w:pPr>
      <w:r w:rsidRPr="009A5FC4">
        <w:t xml:space="preserve">H1 </w:t>
      </w:r>
      <w:r w:rsidR="00922787">
        <w:t>states</w:t>
      </w:r>
      <w:r w:rsidRPr="009A5FC4">
        <w:t xml:space="preserve"> two within</w:t>
      </w:r>
      <w:r w:rsidRPr="009A5FC4">
        <w:noBreakHyphen/>
        <w:t>sector mechanisms: (</w:t>
      </w:r>
      <w:r w:rsidR="00922787">
        <w:t>a</w:t>
      </w:r>
      <w:r w:rsidRPr="009A5FC4">
        <w:t>) increases in AI adoption generate negative wage pressures (displacement effect), and (</w:t>
      </w:r>
      <w:r w:rsidR="00922787">
        <w:t>b</w:t>
      </w:r>
      <w:r w:rsidRPr="009A5FC4">
        <w:t xml:space="preserve">) this displacement is reduced in sectors with higher ICT training investment. </w:t>
      </w:r>
      <w:r w:rsidR="00DE683A">
        <w:t>Based on the described panel models results, i</w:t>
      </w:r>
      <w:r w:rsidRPr="009A5FC4">
        <w:t>n the two</w:t>
      </w:r>
      <w:r w:rsidRPr="009A5FC4">
        <w:noBreakHyphen/>
        <w:t xml:space="preserve">way Fixed </w:t>
      </w:r>
      <w:r w:rsidRPr="009A5FC4">
        <w:lastRenderedPageBreak/>
        <w:t>Effects model with ICT specialists, a one</w:t>
      </w:r>
      <w:r w:rsidRPr="009A5FC4">
        <w:noBreakHyphen/>
        <w:t>percentage</w:t>
      </w:r>
      <w:r w:rsidRPr="009A5FC4">
        <w:noBreakHyphen/>
        <w:t>point rise in AI adoption is associated with a 0.3% decline in real wages (−0.0030, p = 0.035), which supports the first part of H1 and is consistent with a displacement interpretation. In the ICT</w:t>
      </w:r>
      <w:r w:rsidRPr="009A5FC4">
        <w:noBreakHyphen/>
        <w:t>training specification, however, the AI coefficient is small and insignificant, and in both specifications the interaction terms AI × ICT are insignificant, so there is no evidence that higher ICT training weakens the negative wage effect of AI within sectors. At the same time, ICT training itself has a positive and significant within</w:t>
      </w:r>
      <w:r w:rsidRPr="009A5FC4">
        <w:noBreakHyphen/>
        <w:t>sector effect on wages (+0.0040, p = 0.009), indicating that training operates as an independent wage</w:t>
      </w:r>
      <w:r w:rsidRPr="009A5FC4">
        <w:noBreakHyphen/>
        <w:t>enhancing channel rather than as a detected moderator of AI</w:t>
      </w:r>
      <w:r w:rsidRPr="009A5FC4">
        <w:noBreakHyphen/>
      </w:r>
      <w:r w:rsidR="002C4BE9">
        <w:t xml:space="preserve">caused </w:t>
      </w:r>
      <w:r w:rsidRPr="009A5FC4">
        <w:t>displacement. Taken together, these results mean that H1, as stated, is only partially supported: the data provide some evidence for within</w:t>
      </w:r>
      <w:r w:rsidRPr="009A5FC4">
        <w:noBreakHyphen/>
        <w:t>sector negative wage effects of AI adoption, but do not support the claim that this displacement is systematically reduced in sectors with higher ICT training. Formally, the full H1 cannot be accepted</w:t>
      </w:r>
      <w:r>
        <w:t xml:space="preserve">. </w:t>
      </w:r>
      <w:r w:rsidRPr="009A5FC4">
        <w:t xml:space="preserve"> </w:t>
      </w:r>
      <w:r>
        <w:t>W</w:t>
      </w:r>
      <w:r w:rsidRPr="009A5FC4">
        <w:t>e reject it in its strong form and retain only the first component as weakly supported by the FE estimates.</w:t>
      </w:r>
    </w:p>
    <w:p w14:paraId="16FD76BE" w14:textId="69145648" w:rsidR="00B64946" w:rsidRDefault="00877DCD" w:rsidP="007651EB">
      <w:pPr>
        <w:jc w:val="both"/>
        <w:rPr>
          <w:rFonts w:ascii="Times New Roman" w:hAnsi="Times New Roman" w:cs="Times New Roman"/>
          <w:sz w:val="24"/>
          <w:szCs w:val="24"/>
        </w:rPr>
      </w:pPr>
      <w:r w:rsidRPr="00877DCD">
        <w:rPr>
          <w:rFonts w:ascii="Times New Roman" w:hAnsi="Times New Roman" w:cs="Times New Roman"/>
          <w:sz w:val="24"/>
          <w:szCs w:val="24"/>
          <w:highlight w:val="yellow"/>
        </w:rPr>
        <w:t>CRE</w:t>
      </w:r>
    </w:p>
    <w:p w14:paraId="3342539B" w14:textId="56F36C88" w:rsidR="00BC5A2B" w:rsidRDefault="005B2E33" w:rsidP="00023AAF">
      <w:pPr>
        <w:pStyle w:val="Thesisbody"/>
      </w:pPr>
      <w:r w:rsidRPr="005B2E33">
        <w:t>To test the second hypothesis, Correlated Random Effects (Mundlak) models with year and sector fixed effects for both ICT specifications</w:t>
      </w:r>
      <w:r w:rsidR="00763807">
        <w:t xml:space="preserve"> are used</w:t>
      </w:r>
      <w:r w:rsidRPr="005B2E33">
        <w:t>. Before interpreting coefficients, the Mundlak–Hausman test is applied to assess whether the entity means of AI, ICT, and their interaction add explanatory power. The null of jointly zero means (H₀: entity means jointly equal to zero) is strongly rejected in both specifications (χ²(3) = 47.4, p &lt; 0.001 for ICT specialists; χ²(3) = 42.4, p &lt; 0.001 for ICT training), indicating that unobserved country–sector effects are correlated with the regressors and that a standard Random Effects model without Mundlak terms would be inconsistent. This justifies using the CRE + year FE specification as the main model for H2, with the θ coefficients on the entity means interpreted as structural between</w:t>
      </w:r>
      <w:r w:rsidRPr="005B2E33">
        <w:noBreakHyphen/>
        <w:t>sector effects. Country dummies are omitted because the country–sector means already absorb country-level structural variation and including both would induce perfect collinearity. All CRE models are estimated with entity</w:t>
      </w:r>
      <w:r w:rsidRPr="005B2E33">
        <w:noBreakHyphen/>
        <w:t>clustered standard errors and include year and sector fixed effects.</w:t>
      </w:r>
    </w:p>
    <w:tbl>
      <w:tblPr>
        <w:tblStyle w:val="TableGrid"/>
        <w:tblW w:w="0" w:type="auto"/>
        <w:tblLook w:val="04A0" w:firstRow="1" w:lastRow="0" w:firstColumn="1" w:lastColumn="0" w:noHBand="0" w:noVBand="1"/>
      </w:tblPr>
      <w:tblGrid>
        <w:gridCol w:w="3020"/>
        <w:gridCol w:w="3020"/>
        <w:gridCol w:w="3020"/>
      </w:tblGrid>
      <w:tr w:rsidR="00800C1E" w:rsidRPr="00F14EA9" w14:paraId="4395806C" w14:textId="77777777" w:rsidTr="00800C1E">
        <w:tc>
          <w:tcPr>
            <w:tcW w:w="3020" w:type="dxa"/>
          </w:tcPr>
          <w:p w14:paraId="28FB2E33" w14:textId="77777777" w:rsidR="00800C1E" w:rsidRPr="00F14EA9" w:rsidRDefault="00800C1E" w:rsidP="007651EB">
            <w:pPr>
              <w:jc w:val="both"/>
              <w:rPr>
                <w:rFonts w:ascii="Times New Roman" w:hAnsi="Times New Roman" w:cs="Times New Roman"/>
                <w:sz w:val="20"/>
                <w:szCs w:val="20"/>
              </w:rPr>
            </w:pPr>
          </w:p>
        </w:tc>
        <w:tc>
          <w:tcPr>
            <w:tcW w:w="3020" w:type="dxa"/>
          </w:tcPr>
          <w:p w14:paraId="47282994" w14:textId="714E933D" w:rsidR="00800C1E" w:rsidRPr="007A61E1" w:rsidRDefault="00800C1E" w:rsidP="007651EB">
            <w:pPr>
              <w:jc w:val="both"/>
              <w:rPr>
                <w:rFonts w:ascii="Times New Roman" w:hAnsi="Times New Roman" w:cs="Times New Roman"/>
                <w:b/>
                <w:bCs/>
                <w:sz w:val="20"/>
                <w:szCs w:val="20"/>
              </w:rPr>
            </w:pPr>
            <w:commentRangeStart w:id="41"/>
            <w:r w:rsidRPr="007A61E1">
              <w:rPr>
                <w:rFonts w:ascii="Times New Roman" w:hAnsi="Times New Roman" w:cs="Times New Roman"/>
                <w:b/>
                <w:bCs/>
                <w:sz w:val="20"/>
                <w:szCs w:val="20"/>
              </w:rPr>
              <w:t xml:space="preserve">ICT Specialist </w:t>
            </w:r>
          </w:p>
        </w:tc>
        <w:tc>
          <w:tcPr>
            <w:tcW w:w="3020" w:type="dxa"/>
          </w:tcPr>
          <w:p w14:paraId="6ACFDE71" w14:textId="74046FD2" w:rsidR="00800C1E" w:rsidRPr="007A61E1" w:rsidRDefault="00800C1E" w:rsidP="007651EB">
            <w:pPr>
              <w:jc w:val="both"/>
              <w:rPr>
                <w:rFonts w:ascii="Times New Roman" w:hAnsi="Times New Roman" w:cs="Times New Roman"/>
                <w:b/>
                <w:bCs/>
                <w:sz w:val="20"/>
                <w:szCs w:val="20"/>
              </w:rPr>
            </w:pPr>
            <w:r w:rsidRPr="007A61E1">
              <w:rPr>
                <w:rFonts w:ascii="Times New Roman" w:hAnsi="Times New Roman" w:cs="Times New Roman"/>
                <w:b/>
                <w:bCs/>
                <w:sz w:val="20"/>
                <w:szCs w:val="20"/>
              </w:rPr>
              <w:t>ICT Training</w:t>
            </w:r>
            <w:commentRangeEnd w:id="41"/>
            <w:r w:rsidR="00607520" w:rsidRPr="007A61E1">
              <w:rPr>
                <w:rStyle w:val="CommentReference"/>
                <w:rFonts w:ascii="Times New Roman" w:hAnsi="Times New Roman" w:cs="Times New Roman"/>
                <w:b/>
                <w:bCs/>
                <w:sz w:val="20"/>
                <w:szCs w:val="20"/>
              </w:rPr>
              <w:commentReference w:id="41"/>
            </w:r>
          </w:p>
        </w:tc>
      </w:tr>
      <w:tr w:rsidR="00800C1E" w:rsidRPr="00F14EA9" w14:paraId="2DC2BF63" w14:textId="77777777" w:rsidTr="00800C1E">
        <w:tc>
          <w:tcPr>
            <w:tcW w:w="3020" w:type="dxa"/>
          </w:tcPr>
          <w:p w14:paraId="596C9450" w14:textId="5500793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ai_adoption                       </w:t>
            </w:r>
          </w:p>
        </w:tc>
        <w:tc>
          <w:tcPr>
            <w:tcW w:w="3020" w:type="dxa"/>
          </w:tcPr>
          <w:p w14:paraId="35829C2D" w14:textId="2445330F"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-0.00186       </w:t>
            </w:r>
          </w:p>
        </w:tc>
        <w:tc>
          <w:tcPr>
            <w:tcW w:w="3020" w:type="dxa"/>
          </w:tcPr>
          <w:p w14:paraId="6EAE3F64" w14:textId="21964BC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-0.00093       </w:t>
            </w:r>
          </w:p>
        </w:tc>
      </w:tr>
      <w:tr w:rsidR="00800C1E" w:rsidRPr="00F14EA9" w14:paraId="446C3BD6" w14:textId="77777777" w:rsidTr="00800C1E">
        <w:tc>
          <w:tcPr>
            <w:tcW w:w="3020" w:type="dxa"/>
          </w:tcPr>
          <w:p w14:paraId="23350DB6" w14:textId="64EE174A"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spec_ict                           </w:t>
            </w:r>
          </w:p>
        </w:tc>
        <w:tc>
          <w:tcPr>
            <w:tcW w:w="3020" w:type="dxa"/>
          </w:tcPr>
          <w:p w14:paraId="455BC34D" w14:textId="39FF9D12"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0.00110        </w:t>
            </w:r>
          </w:p>
        </w:tc>
        <w:tc>
          <w:tcPr>
            <w:tcW w:w="3020" w:type="dxa"/>
          </w:tcPr>
          <w:p w14:paraId="6C60460C" w14:textId="654A7CE1"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0.00192       </w:t>
            </w:r>
          </w:p>
        </w:tc>
      </w:tr>
      <w:tr w:rsidR="00800C1E" w:rsidRPr="00F14EA9" w14:paraId="12EE5B89" w14:textId="77777777" w:rsidTr="00800C1E">
        <w:tc>
          <w:tcPr>
            <w:tcW w:w="3020" w:type="dxa"/>
          </w:tcPr>
          <w:p w14:paraId="074055CA" w14:textId="60A86091"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ai_x_spec_ict                      </w:t>
            </w:r>
          </w:p>
        </w:tc>
        <w:tc>
          <w:tcPr>
            <w:tcW w:w="3020" w:type="dxa"/>
          </w:tcPr>
          <w:p w14:paraId="4A27E014" w14:textId="05D0D8E2"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0.00002        </w:t>
            </w:r>
          </w:p>
        </w:tc>
        <w:tc>
          <w:tcPr>
            <w:tcW w:w="3020" w:type="dxa"/>
          </w:tcPr>
          <w:p w14:paraId="76CC33DB" w14:textId="295C0029"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0.00001        </w:t>
            </w:r>
          </w:p>
        </w:tc>
      </w:tr>
      <w:tr w:rsidR="00800C1E" w:rsidRPr="00F14EA9" w14:paraId="31C05B8D" w14:textId="77777777" w:rsidTr="00800C1E">
        <w:tc>
          <w:tcPr>
            <w:tcW w:w="3020" w:type="dxa"/>
          </w:tcPr>
          <w:p w14:paraId="5D3A5DBA" w14:textId="11263E9C"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Mundlak means</w:t>
            </w:r>
            <w:r w:rsidR="00B43065">
              <w:rPr>
                <w:rFonts w:ascii="Times New Roman" w:eastAsia="Times New Roman" w:hAnsi="Times New Roman" w:cs="Times New Roman"/>
                <w:kern w:val="0"/>
                <w:sz w:val="20"/>
                <w:szCs w:val="20"/>
                <w:lang w:eastAsia="en-GB"/>
                <w14:ligatures w14:val="none"/>
              </w:rPr>
              <w:t xml:space="preserve"> (between)</w:t>
            </w:r>
          </w:p>
        </w:tc>
        <w:tc>
          <w:tcPr>
            <w:tcW w:w="3020" w:type="dxa"/>
          </w:tcPr>
          <w:p w14:paraId="232A82F0" w14:textId="77777777" w:rsidR="00800C1E" w:rsidRPr="00F14EA9" w:rsidRDefault="00800C1E" w:rsidP="007651EB">
            <w:pPr>
              <w:jc w:val="both"/>
              <w:rPr>
                <w:rFonts w:ascii="Times New Roman" w:hAnsi="Times New Roman" w:cs="Times New Roman"/>
                <w:sz w:val="20"/>
                <w:szCs w:val="20"/>
              </w:rPr>
            </w:pPr>
          </w:p>
        </w:tc>
        <w:tc>
          <w:tcPr>
            <w:tcW w:w="3020" w:type="dxa"/>
          </w:tcPr>
          <w:p w14:paraId="30EDE6EA" w14:textId="77777777" w:rsidR="00800C1E" w:rsidRPr="00F14EA9" w:rsidRDefault="00800C1E" w:rsidP="007651EB">
            <w:pPr>
              <w:jc w:val="both"/>
              <w:rPr>
                <w:rFonts w:ascii="Times New Roman" w:hAnsi="Times New Roman" w:cs="Times New Roman"/>
                <w:sz w:val="20"/>
                <w:szCs w:val="20"/>
              </w:rPr>
            </w:pPr>
          </w:p>
        </w:tc>
      </w:tr>
      <w:tr w:rsidR="00800C1E" w:rsidRPr="00F14EA9" w14:paraId="6F0D55A7" w14:textId="77777777" w:rsidTr="00800C1E">
        <w:tc>
          <w:tcPr>
            <w:tcW w:w="3020" w:type="dxa"/>
          </w:tcPr>
          <w:p w14:paraId="3B850112" w14:textId="6A88717B"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ai_adoption_mean                   </w:t>
            </w:r>
          </w:p>
        </w:tc>
        <w:tc>
          <w:tcPr>
            <w:tcW w:w="3020" w:type="dxa"/>
          </w:tcPr>
          <w:p w14:paraId="7886E900" w14:textId="01C725CA"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0.06418***     </w:t>
            </w:r>
          </w:p>
        </w:tc>
        <w:tc>
          <w:tcPr>
            <w:tcW w:w="3020" w:type="dxa"/>
          </w:tcPr>
          <w:p w14:paraId="6AA5A08E" w14:textId="77B10F63"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0.05944***     </w:t>
            </w:r>
          </w:p>
        </w:tc>
      </w:tr>
      <w:tr w:rsidR="00800C1E" w:rsidRPr="00F14EA9" w14:paraId="5EE23A41" w14:textId="77777777" w:rsidTr="00800C1E">
        <w:tc>
          <w:tcPr>
            <w:tcW w:w="3020" w:type="dxa"/>
          </w:tcPr>
          <w:p w14:paraId="158CA80A" w14:textId="43D87242" w:rsidR="00800C1E"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spec_ict_mean                     </w:t>
            </w:r>
          </w:p>
        </w:tc>
        <w:tc>
          <w:tcPr>
            <w:tcW w:w="3020" w:type="dxa"/>
          </w:tcPr>
          <w:p w14:paraId="5017472C" w14:textId="1022F273"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-0.00309       </w:t>
            </w:r>
          </w:p>
        </w:tc>
        <w:tc>
          <w:tcPr>
            <w:tcW w:w="3020" w:type="dxa"/>
          </w:tcPr>
          <w:p w14:paraId="28123E06" w14:textId="33449D4C" w:rsidR="00800C1E" w:rsidRPr="00F14EA9" w:rsidRDefault="00800C1E" w:rsidP="007651EB">
            <w:pPr>
              <w:jc w:val="both"/>
              <w:rPr>
                <w:rFonts w:ascii="Times New Roman" w:hAnsi="Times New Roman" w:cs="Times New Roman"/>
                <w:sz w:val="20"/>
                <w:szCs w:val="20"/>
              </w:rPr>
            </w:pPr>
          </w:p>
        </w:tc>
      </w:tr>
      <w:tr w:rsidR="00800C1E" w:rsidRPr="00F14EA9" w14:paraId="4BB766D9" w14:textId="77777777" w:rsidTr="00800C1E">
        <w:tc>
          <w:tcPr>
            <w:tcW w:w="3020" w:type="dxa"/>
          </w:tcPr>
          <w:p w14:paraId="27E1B3CB" w14:textId="39361829" w:rsidR="00800C1E"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ai_x_spec_ict_mean                </w:t>
            </w:r>
          </w:p>
        </w:tc>
        <w:tc>
          <w:tcPr>
            <w:tcW w:w="3020" w:type="dxa"/>
          </w:tcPr>
          <w:p w14:paraId="18BB46F8" w14:textId="5B703FEC" w:rsidR="00800C1E" w:rsidRPr="00F14EA9"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-0.00046***    </w:t>
            </w:r>
          </w:p>
        </w:tc>
        <w:tc>
          <w:tcPr>
            <w:tcW w:w="3020" w:type="dxa"/>
          </w:tcPr>
          <w:p w14:paraId="639E51DD" w14:textId="6A534313" w:rsidR="00800C1E" w:rsidRPr="00F14EA9" w:rsidRDefault="00800C1E" w:rsidP="007651EB">
            <w:pPr>
              <w:jc w:val="both"/>
              <w:rPr>
                <w:rFonts w:ascii="Times New Roman" w:hAnsi="Times New Roman" w:cs="Times New Roman"/>
                <w:sz w:val="20"/>
                <w:szCs w:val="20"/>
              </w:rPr>
            </w:pPr>
          </w:p>
        </w:tc>
      </w:tr>
      <w:tr w:rsidR="00800C1E" w:rsidRPr="00F14EA9" w14:paraId="4E424EB3" w14:textId="77777777" w:rsidTr="00800C1E">
        <w:tc>
          <w:tcPr>
            <w:tcW w:w="3020" w:type="dxa"/>
          </w:tcPr>
          <w:p w14:paraId="17E8E039" w14:textId="00DEB37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training_ict_mean                  </w:t>
            </w:r>
          </w:p>
        </w:tc>
        <w:tc>
          <w:tcPr>
            <w:tcW w:w="3020" w:type="dxa"/>
          </w:tcPr>
          <w:p w14:paraId="5BEE9F9B" w14:textId="77777777"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p>
        </w:tc>
        <w:tc>
          <w:tcPr>
            <w:tcW w:w="3020" w:type="dxa"/>
          </w:tcPr>
          <w:p w14:paraId="6C6DE049" w14:textId="352A117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0.00563        </w:t>
            </w:r>
          </w:p>
        </w:tc>
      </w:tr>
      <w:tr w:rsidR="00800C1E" w:rsidRPr="00F14EA9" w14:paraId="4B9BEDD8" w14:textId="77777777" w:rsidTr="00800C1E">
        <w:tc>
          <w:tcPr>
            <w:tcW w:w="3020" w:type="dxa"/>
          </w:tcPr>
          <w:p w14:paraId="60D1FE5E" w14:textId="0E1B7EEE"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ai_x_training_ict_mean            </w:t>
            </w:r>
          </w:p>
        </w:tc>
        <w:tc>
          <w:tcPr>
            <w:tcW w:w="3020" w:type="dxa"/>
          </w:tcPr>
          <w:p w14:paraId="73185814" w14:textId="77777777"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p>
        </w:tc>
        <w:tc>
          <w:tcPr>
            <w:tcW w:w="3020" w:type="dxa"/>
          </w:tcPr>
          <w:p w14:paraId="07F7E1BE" w14:textId="29EBB3BB"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-0.00050***    </w:t>
            </w:r>
          </w:p>
        </w:tc>
      </w:tr>
      <w:tr w:rsidR="00800C1E" w:rsidRPr="00F14EA9" w14:paraId="07311750" w14:textId="77777777" w:rsidTr="00800C1E">
        <w:tc>
          <w:tcPr>
            <w:tcW w:w="3020" w:type="dxa"/>
          </w:tcPr>
          <w:p w14:paraId="55F16B52" w14:textId="05C67903"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lastRenderedPageBreak/>
              <w:t xml:space="preserve">log_prod                           </w:t>
            </w:r>
          </w:p>
        </w:tc>
        <w:tc>
          <w:tcPr>
            <w:tcW w:w="3020" w:type="dxa"/>
          </w:tcPr>
          <w:p w14:paraId="29AF167C" w14:textId="39403615"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0.57011***     </w:t>
            </w:r>
          </w:p>
        </w:tc>
        <w:tc>
          <w:tcPr>
            <w:tcW w:w="3020" w:type="dxa"/>
          </w:tcPr>
          <w:p w14:paraId="3CFE69E4" w14:textId="20FC112F"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0.54386***     </w:t>
            </w:r>
          </w:p>
        </w:tc>
      </w:tr>
      <w:tr w:rsidR="00800C1E" w:rsidRPr="00F14EA9" w14:paraId="022D0E68" w14:textId="77777777" w:rsidTr="00800C1E">
        <w:tc>
          <w:tcPr>
            <w:tcW w:w="3020" w:type="dxa"/>
          </w:tcPr>
          <w:p w14:paraId="0158167B" w14:textId="126B4D00" w:rsidR="00800C1E" w:rsidRPr="00F14EA9" w:rsidRDefault="00800C1E" w:rsidP="00800C1E">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xml:space="preserve">FSI  </w:t>
            </w:r>
          </w:p>
        </w:tc>
        <w:tc>
          <w:tcPr>
            <w:tcW w:w="3020" w:type="dxa"/>
          </w:tcPr>
          <w:p w14:paraId="2B632BED" w14:textId="658A2B33"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0.00680***     </w:t>
            </w:r>
          </w:p>
        </w:tc>
        <w:tc>
          <w:tcPr>
            <w:tcW w:w="3020" w:type="dxa"/>
          </w:tcPr>
          <w:p w14:paraId="1698E244" w14:textId="512DCDFA" w:rsidR="00800C1E" w:rsidRPr="00F14EA9" w:rsidRDefault="00800C1E" w:rsidP="00800C1E">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 xml:space="preserve">0.00775***     </w:t>
            </w:r>
          </w:p>
        </w:tc>
      </w:tr>
    </w:tbl>
    <w:p w14:paraId="1CE19197" w14:textId="7EC86A57" w:rsidR="00F46FB2" w:rsidRPr="00F14EA9" w:rsidRDefault="00800C1E" w:rsidP="007651EB">
      <w:pPr>
        <w:jc w:val="both"/>
        <w:rPr>
          <w:rFonts w:ascii="Times New Roman" w:eastAsia="Times New Roman" w:hAnsi="Times New Roman" w:cs="Times New Roman"/>
          <w:kern w:val="0"/>
          <w:sz w:val="20"/>
          <w:szCs w:val="20"/>
          <w:lang w:eastAsia="en-GB"/>
          <w14:ligatures w14:val="none"/>
        </w:rPr>
      </w:pPr>
      <w:r w:rsidRPr="00F14EA9">
        <w:rPr>
          <w:rFonts w:ascii="Times New Roman" w:eastAsia="Times New Roman" w:hAnsi="Times New Roman" w:cs="Times New Roman"/>
          <w:kern w:val="0"/>
          <w:sz w:val="20"/>
          <w:szCs w:val="20"/>
          <w:lang w:eastAsia="en-GB"/>
          <w14:ligatures w14:val="none"/>
        </w:rPr>
        <w:t>* p&lt;0.1  ** p&lt;0.05  *** p&lt;0.01</w:t>
      </w:r>
    </w:p>
    <w:p w14:paraId="1BC53213" w14:textId="32D2C798" w:rsidR="00F46FB2" w:rsidRPr="007A61E1" w:rsidRDefault="00800C1E" w:rsidP="007651EB">
      <w:pPr>
        <w:jc w:val="both"/>
        <w:rPr>
          <w:rFonts w:ascii="Times New Roman" w:hAnsi="Times New Roman" w:cs="Times New Roman"/>
          <w:sz w:val="20"/>
          <w:szCs w:val="20"/>
        </w:rPr>
      </w:pPr>
      <w:r w:rsidRPr="00F14EA9">
        <w:rPr>
          <w:rFonts w:ascii="Times New Roman" w:eastAsia="Times New Roman" w:hAnsi="Times New Roman" w:cs="Times New Roman"/>
          <w:kern w:val="0"/>
          <w:sz w:val="20"/>
          <w:szCs w:val="20"/>
          <w:lang w:eastAsia="en-GB"/>
          <w14:ligatures w14:val="none"/>
        </w:rPr>
        <w:t>Clustered SE at entity (geo×nace_r2) level throughout</w:t>
      </w:r>
    </w:p>
    <w:p w14:paraId="4F5324A2" w14:textId="36335528" w:rsidR="00F46FB2" w:rsidRDefault="008B6C77" w:rsidP="0094533E">
      <w:pPr>
        <w:pStyle w:val="Thesisbody"/>
      </w:pPr>
      <w:r w:rsidRPr="008B6C77">
        <w:rPr>
          <w:b/>
          <w:bCs/>
          <w:highlight w:val="yellow"/>
        </w:rPr>
        <w:t>Table 1 shows that</w:t>
      </w:r>
      <w:r>
        <w:rPr>
          <w:b/>
          <w:bCs/>
        </w:rPr>
        <w:t xml:space="preserve"> </w:t>
      </w:r>
      <w:r>
        <w:t>a</w:t>
      </w:r>
      <w:r w:rsidR="00F46FB2" w:rsidRPr="00F46FB2">
        <w:t xml:space="preserve">cross both the ICT specialist and ICT training specifications, all within-entity </w:t>
      </w:r>
      <w:r w:rsidR="007A61E1" w:rsidRPr="00F46FB2">
        <w:t xml:space="preserve">β </w:t>
      </w:r>
      <w:r w:rsidR="00F46FB2" w:rsidRPr="00F46FB2">
        <w:t>coefficients</w:t>
      </w:r>
      <w:r w:rsidR="007A61E1">
        <w:t xml:space="preserve"> </w:t>
      </w:r>
      <w:r w:rsidR="00F46FB2" w:rsidRPr="00F46FB2">
        <w:t xml:space="preserve">on AI adoption, ICT variables, and their interactions are statistically insignificant. This is consistent with the two-way FE results reported </w:t>
      </w:r>
      <w:r w:rsidR="00157A5E">
        <w:t>for the H1</w:t>
      </w:r>
      <w:r w:rsidR="00F46FB2" w:rsidRPr="00F46FB2">
        <w:t xml:space="preserve">: short-run within-sector changes in AI and ICT do not robustly explain wage movements over the 2021–2024 </w:t>
      </w:r>
      <w:r w:rsidR="006F6C4D">
        <w:t>period</w:t>
      </w:r>
      <w:r w:rsidR="00F46FB2" w:rsidRPr="00F46FB2">
        <w:t>, once common time shocks and entity heterogeneity are removed.</w:t>
      </w:r>
    </w:p>
    <w:p w14:paraId="105B1351" w14:textId="3BF54F45" w:rsidR="00091CB5" w:rsidRPr="00F46FB2" w:rsidRDefault="00091CB5" w:rsidP="0094533E">
      <w:pPr>
        <w:pStyle w:val="Thesisbody"/>
      </w:pPr>
      <w:r w:rsidRPr="00091CB5">
        <w:t>The between</w:t>
      </w:r>
      <w:r w:rsidRPr="00091CB5">
        <w:noBreakHyphen/>
        <w:t>entity coefficient on AI adoption mean is positive and highly significant in both specifications: 0.064 (SE = 0.011, p &lt; 0.001) in the ICT specialist model and 0.059 (SE = 0.012, p &lt; 0.001) in the ICT training model. In the log</w:t>
      </w:r>
      <w:r w:rsidRPr="00091CB5">
        <w:noBreakHyphen/>
        <w:t>level specification, this implies that country–sector entities with structurally higher AI adoption over 2021–2024 have higher wages on average: a 10</w:t>
      </w:r>
      <w:r w:rsidRPr="00091CB5">
        <w:noBreakHyphen/>
        <w:t>percentage</w:t>
      </w:r>
      <w:r w:rsidRPr="00091CB5">
        <w:noBreakHyphen/>
        <w:t>point increase in average AI adoption is associated with roughly a 0.6–0.7% increase in wages, conditional on productivity, firm size, sector and year effects. The structural ICT capacity variables (spec_ict_mean and training_ict_mean) are not independently significant in the baseline CRE models, indicating that the between</w:t>
      </w:r>
      <w:r w:rsidRPr="00091CB5">
        <w:noBreakHyphen/>
        <w:t xml:space="preserve">sector wage hierarchy is more closely aligned with AI intensity than with ICT capacity taken in isolation. </w:t>
      </w:r>
      <w:r w:rsidR="007D31FE" w:rsidRPr="007D31FE">
        <w:t>The between</w:t>
      </w:r>
      <w:r w:rsidR="007D31FE" w:rsidRPr="007D31FE">
        <w:noBreakHyphen/>
        <w:t>entity interaction term is negative and highly significant in both specifications: −0.00046 (SE = 0.00012, p = 0.0002) for ICT specialists and −0.00050 (SE = 0.00014, p = 0.0002) for ICT training, implying that the structural AI wage premium is largest in sectors with low or moderate ICT capacity and decreases monotonically as ICT intensity rises. In digitally mature sectors, where ICT specialisation or training intensity is already high, the additional structural wage advantage of being a high</w:t>
      </w:r>
      <w:r w:rsidR="007D31FE" w:rsidRPr="007D31FE">
        <w:noBreakHyphen/>
        <w:t xml:space="preserve">AI sector is substantially compressed toward zero. </w:t>
      </w:r>
    </w:p>
    <w:p w14:paraId="7950F935" w14:textId="4153CCF3" w:rsidR="00F46FB2" w:rsidRDefault="00F46FB2" w:rsidP="0094533E">
      <w:pPr>
        <w:pStyle w:val="Thesisbody"/>
      </w:pPr>
      <w:r w:rsidRPr="00F46FB2">
        <w:t>The key between-effects are robust to the choice of time controls. When year dummies are replaced by macro-level controls (unemployment rate, inflation rate), the between AI coefficient rises slightly to 0.074 (ICT specialist) and 0.071 (ICT training), and the between interaction term becomes more negative (−0.00054 and −0.00065, respectively), both remaining highly significant. This confirms that the structural AI wage premium and its moderation by ICT capacity are not artefacts of how common time variation is controlled. Labour productivity is consistently positive and significant across all specifications (+0.54–0.57, p &lt; 0.001), and firm size index (FSI) carries a small but significant positive effect (+0.007, p &lt; 0.01), both expected on standard economic grounds.</w:t>
      </w:r>
    </w:p>
    <w:p w14:paraId="6B0E121F" w14:textId="319B970E" w:rsidR="00E10B09" w:rsidRPr="004733DD" w:rsidRDefault="006A00F0" w:rsidP="0094533E">
      <w:pPr>
        <w:pStyle w:val="Thesisbody"/>
      </w:pPr>
      <w:r w:rsidRPr="006A00F0">
        <w:lastRenderedPageBreak/>
        <w:t xml:space="preserve">The CRE (Mundlak) models provide support for both components of H2. </w:t>
      </w:r>
      <w:r w:rsidR="00070972" w:rsidRPr="00070972">
        <w:t xml:space="preserve">Second hypothesis predicted that sectors structurally more advanced in AI adoption pay higher wages on average, reflecting a reinstatement premium, and that this structural premium diminishes at higher levels of sectoral ICT capacity, consistent with diminishing complementarity. </w:t>
      </w:r>
      <w:r w:rsidR="0068586B" w:rsidRPr="0068586B">
        <w:t>The second component of H2</w:t>
      </w:r>
      <w:r w:rsidR="00FF2169">
        <w:t>,</w:t>
      </w:r>
      <w:r w:rsidR="0068586B" w:rsidRPr="0068586B">
        <w:t xml:space="preserve"> that the AI–wage relationship is moderated by ICT capacity</w:t>
      </w:r>
      <w:r w:rsidR="00FF2169">
        <w:t>,</w:t>
      </w:r>
      <w:r w:rsidR="0068586B" w:rsidRPr="0068586B">
        <w:t xml:space="preserve"> is confirmed in both the CRE and the yearly cross</w:t>
      </w:r>
      <w:r w:rsidR="0068586B" w:rsidRPr="0068586B">
        <w:noBreakHyphen/>
        <w:t>sectional models. In the cross</w:t>
      </w:r>
      <w:r w:rsidR="0068586B" w:rsidRPr="0068586B">
        <w:noBreakHyphen/>
        <w:t xml:space="preserve">sectional specifications, the interaction term AI × ICT is consistently negative and significant, and the marginal effects of AI adoption decline monotonically across the ICT distribution. This result is fully aligned with the CRE between interaction. </w:t>
      </w:r>
    </w:p>
    <w:p w14:paraId="480654EE" w14:textId="1C5A3086" w:rsidR="00B5416C" w:rsidRDefault="00D37EE9" w:rsidP="0094533E">
      <w:pPr>
        <w:pStyle w:val="Thesisbody"/>
      </w:pPr>
      <w:r w:rsidRPr="00D37EE9">
        <w:t>The first component of H2, however, yields mixed evidence across model families. The CRE model shows a positive association between average AI adoption and wages at the structural between</w:t>
      </w:r>
      <w:r w:rsidRPr="00D37EE9">
        <w:noBreakHyphen/>
        <w:t>sector level, while the yearly cross</w:t>
      </w:r>
      <w:r w:rsidRPr="00D37EE9">
        <w:noBreakHyphen/>
        <w:t xml:space="preserve">sectional additive models produce a negative AI coefficient within each year conditional on country, sector, and ICT controls. These opposite signs are not contradictory </w:t>
      </w:r>
      <w:r w:rsidR="00897217">
        <w:t xml:space="preserve">since </w:t>
      </w:r>
      <w:r w:rsidRPr="00D37EE9">
        <w:t>they reflect the fact that the two models answer different questions. The CRE between coefficient describes which country–sector entities occupy a structurally higher position in the wage hierarchy on average across 2021–2024, identifying a long</w:t>
      </w:r>
      <w:r w:rsidRPr="00D37EE9">
        <w:noBreakHyphen/>
        <w:t>run level comparison across entities. The yearly cross</w:t>
      </w:r>
      <w:r w:rsidRPr="00D37EE9">
        <w:noBreakHyphen/>
        <w:t>sectional coefficient, by contrast, describes whether, within a given year and holding country, sector, and ICT fixed, a sector that adopted more AI than another in that year pays more or less</w:t>
      </w:r>
      <w:r w:rsidR="00897217">
        <w:t>. It indicates</w:t>
      </w:r>
      <w:r w:rsidRPr="00D37EE9">
        <w:t xml:space="preserve"> a short</w:t>
      </w:r>
      <w:r w:rsidRPr="00D37EE9">
        <w:noBreakHyphen/>
        <w:t>run conditional slope within a single year. This tension between cross</w:t>
      </w:r>
      <w:r w:rsidRPr="00D37EE9">
        <w:noBreakHyphen/>
        <w:t>sectional level effects and within</w:t>
      </w:r>
      <w:r w:rsidRPr="00D37EE9">
        <w:noBreakHyphen/>
        <w:t xml:space="preserve">period marginal effects is well established in panel labour econometrics, where between and within estimators are understood to capture different quantities and can legitimately produce divergent </w:t>
      </w:r>
      <w:r w:rsidRPr="005E63FC">
        <w:t>coefficients [</w:t>
      </w:r>
      <w:r w:rsidR="005E63FC" w:rsidRPr="005E63FC">
        <w:t>26, 43</w:t>
      </w:r>
      <w:r w:rsidRPr="005E63FC">
        <w:t>]. Both</w:t>
      </w:r>
      <w:r w:rsidRPr="00D37EE9">
        <w:t xml:space="preserve"> patterns </w:t>
      </w:r>
      <w:r w:rsidRPr="00E57321">
        <w:t>are consistent with the Acemoglu and Restrepo framework</w:t>
      </w:r>
      <w:r w:rsidRPr="00D37EE9">
        <w:t>: sectors that have been AI</w:t>
      </w:r>
      <w:r w:rsidRPr="00D37EE9">
        <w:noBreakHyphen/>
        <w:t xml:space="preserve">intensive for longer tend to have accumulated more reinstatement gains and therefore sit at a higher structural wage level (positive between), while within a single year the marginal effect of additional AI </w:t>
      </w:r>
      <w:r w:rsidRPr="0026461C">
        <w:t>adoption is still dominated by labour displacement, pushing wages down (negative cross</w:t>
      </w:r>
      <w:r w:rsidRPr="0026461C">
        <w:noBreakHyphen/>
        <w:t>sectional slope) [</w:t>
      </w:r>
      <w:r w:rsidR="0026461C" w:rsidRPr="0026461C">
        <w:t>3</w:t>
      </w:r>
      <w:r w:rsidRPr="0026461C">
        <w:t>]. Formally</w:t>
      </w:r>
      <w:r w:rsidRPr="00D37EE9">
        <w:t>, H2 is partially supported: its second component</w:t>
      </w:r>
      <w:r w:rsidR="00452A39">
        <w:t>,</w:t>
      </w:r>
      <w:r w:rsidRPr="00D37EE9">
        <w:t xml:space="preserve"> </w:t>
      </w:r>
      <w:r w:rsidR="00452A39">
        <w:t>about</w:t>
      </w:r>
      <w:r w:rsidRPr="00D37EE9">
        <w:t xml:space="preserve"> moderating role of ICT capacity</w:t>
      </w:r>
      <w:r w:rsidR="00452A39">
        <w:t xml:space="preserve">, </w:t>
      </w:r>
      <w:r w:rsidRPr="00D37EE9">
        <w:t xml:space="preserve">holds robustly across all specifications, while its first component </w:t>
      </w:r>
      <w:r w:rsidR="00452A39">
        <w:t xml:space="preserve">related to </w:t>
      </w:r>
      <w:r w:rsidRPr="00D37EE9">
        <w:t>the positive structural AI wage premium holds in the long</w:t>
      </w:r>
      <w:r w:rsidRPr="00D37EE9">
        <w:noBreakHyphen/>
        <w:t>run structural perspective identified by the CRE estimator</w:t>
      </w:r>
      <w:r w:rsidR="00E10B09">
        <w:t>,</w:t>
      </w:r>
      <w:r w:rsidRPr="00D37EE9">
        <w:t xml:space="preserve"> but not in the yearly cross</w:t>
      </w:r>
      <w:r w:rsidRPr="00D37EE9">
        <w:noBreakHyphen/>
        <w:t>sectional models, making it model</w:t>
      </w:r>
      <w:r w:rsidRPr="00D37EE9">
        <w:noBreakHyphen/>
        <w:t>dependent.</w:t>
      </w:r>
    </w:p>
    <w:p w14:paraId="69D8E4EA" w14:textId="6C9504F4" w:rsidR="00FB66FB" w:rsidRDefault="00FB66FB" w:rsidP="0094533E">
      <w:pPr>
        <w:pStyle w:val="Thesisbody"/>
      </w:pPr>
      <w:r w:rsidRPr="00FB66FB">
        <w:t xml:space="preserve">The empirical analysis yields a differentiated picture that is consistent across all three model families when the between- and within-sector dimensions are kept analytically distinct. </w:t>
      </w:r>
      <w:r w:rsidRPr="00FB66FB">
        <w:lastRenderedPageBreak/>
        <w:t>The within-sector evidence (two-way FE) provides weak support for the displacement component of H1: a one-percentage-point increase in AI adoption is associated with a 0.3% decline in real wages in the ICT-specialists specification, while ICT training itself operates as an independent positive wage channel rather than as a moderator of AI-driven displacement, leaving the full H1 unconfirmed in its strong form. The between-sector structural evidence (CRE and cross-sectional OLS) robustly confirms the moderating role of ICT capacity proposed in H2: the marginal wage effect of AI adoption declines monotonically as sectoral ICT intensity rises, and the interaction term AI × ICT is consistently negative and significant across all yearly specifications and in the CRE between-estimator. The sign of the unconditional AI–wage association, however, is model-dependent: the CRE between-estimator yields a positive structural premium consistent with long-run reinstatement, while the yearly cross-sectional slope is negative within each period, reflecting the dominance of short-run displacement effects. This pattern aligns with the Acemoglu and Restrepo framework and is not a contradiction</w:t>
      </w:r>
      <w:r w:rsidR="00AB1C3D">
        <w:t xml:space="preserve"> [3]</w:t>
      </w:r>
      <w:r w:rsidRPr="00FB66FB">
        <w:t>: it implies that the reinstatement premium accumulates over longer horizons than a four-year panel can fully capture, and that ICT capacity is the key conditioning variable that determines on which side of the displacement–reinstatement boundary a sector sits.</w:t>
      </w:r>
    </w:p>
    <w:p w14:paraId="55FC5632" w14:textId="697E62E5" w:rsidR="00FC79F0" w:rsidRPr="00807552" w:rsidRDefault="00FC79F0" w:rsidP="00807552">
      <w:pPr>
        <w:pStyle w:val="Heading1"/>
      </w:pPr>
      <w:bookmarkStart w:id="42" w:name="_Toc230044146"/>
      <w:r w:rsidRPr="00807552">
        <w:t>Conclusion</w:t>
      </w:r>
      <w:bookmarkEnd w:id="42"/>
    </w:p>
    <w:p w14:paraId="7940E8DA" w14:textId="5626CDA0" w:rsidR="00807552" w:rsidRPr="00807552" w:rsidRDefault="00807552" w:rsidP="00807552">
      <w:pPr>
        <w:pStyle w:val="Heading2"/>
      </w:pPr>
      <w:bookmarkStart w:id="43" w:name="_Toc230044147"/>
      <w:r w:rsidRPr="00807552">
        <w:t>Limitations and future enhancements</w:t>
      </w:r>
      <w:bookmarkEnd w:id="43"/>
      <w:r w:rsidRPr="00807552">
        <w:t xml:space="preserve"> </w:t>
      </w:r>
    </w:p>
    <w:p w14:paraId="10F1947D" w14:textId="00CB0DCC" w:rsidR="00807552" w:rsidRPr="00807552" w:rsidRDefault="00807552" w:rsidP="00B34642">
      <w:pPr>
        <w:pStyle w:val="Thesisbody"/>
      </w:pPr>
      <w:r w:rsidRPr="00807552">
        <w:t>The empirical analysis rests on a short four-year panel (2021–2024), which limits the within-entity identification of dynamic wage effects and prevents the detection of long-run reinstatement gains that theory suggests accumulate over decades rather than years. The unbalanced structure further reduces the effective sample, particularly in the Accommodation &amp; Food and Administrative &amp; Support sectors, and the non-random concentration of missing observations in less digitally advanced economies implies that the observed sample may slightly oversample frontier AI adopters, introducing a degree of selection that cannot be fully corrected without additional data. The Eurostat AI adoption variable also carries a measurement caveat. As AI use spread rapidly after 2022, the survey indicator began capturing a much wider range of tools under the same label</w:t>
      </w:r>
      <w:r>
        <w:t xml:space="preserve">: </w:t>
      </w:r>
      <w:r w:rsidRPr="00807552">
        <w:t xml:space="preserve">from sophisticated generative AI systems to simple automated reporting software. This means that a firm </w:t>
      </w:r>
      <w:r>
        <w:t xml:space="preserve">selected AI adoption </w:t>
      </w:r>
      <w:r w:rsidRPr="00807552">
        <w:t xml:space="preserve">in 2024 may be doing something very different from a firm that </w:t>
      </w:r>
      <w:r>
        <w:t>selected AI adoption</w:t>
      </w:r>
      <w:r w:rsidRPr="00807552">
        <w:t xml:space="preserve"> in 2021, making the two figures not fully comparable. </w:t>
      </w:r>
      <w:r w:rsidR="004203E2" w:rsidRPr="004203E2">
        <w:t xml:space="preserve">As a result, the decline in the estimated wage effect of AI adoption </w:t>
      </w:r>
      <w:r w:rsidR="004203E2" w:rsidRPr="004203E2">
        <w:lastRenderedPageBreak/>
        <w:t>by 2024 may partly reflect this widening of the variable's definition rather than a true economic change. For this reason, the 2024 estimates should be interpreted with caution.</w:t>
      </w:r>
    </w:p>
    <w:p w14:paraId="37431915" w14:textId="39D7F34F" w:rsidR="00807552" w:rsidRPr="00541A3A" w:rsidRDefault="00F907EA" w:rsidP="00B34642">
      <w:pPr>
        <w:pStyle w:val="Thesisbody"/>
      </w:pPr>
      <w:r w:rsidRPr="00541A3A">
        <w:t>The Ramsey RESET test rejects the null of correct functional form across all wage-level specifications, indicating that the true AI–wage relationship likely involves non-linearities that the current linear interaction model cannot fully capture. Coefficient estimates remain consistent but may understate the curve of the moderating relationship at extreme ICT values. In interaction specifications, variance inflation factors for AI adoption reach 39–82, a level that does not bias point estimates but substantially inflates standard errors for the individual constitutive terms</w:t>
      </w:r>
      <w:r w:rsidR="009939A1" w:rsidRPr="00541A3A">
        <w:t>.</w:t>
      </w:r>
      <w:r w:rsidRPr="00541A3A">
        <w:t xml:space="preserve"> </w:t>
      </w:r>
      <w:r w:rsidR="009939A1" w:rsidRPr="00541A3A">
        <w:t>I</w:t>
      </w:r>
      <w:r w:rsidRPr="00541A3A">
        <w:t>nference is therefore conducted on marginal effects evaluated at meaningful ICT values following Brambor, Clark, and Golder, rather than on main-term significance in isolation</w:t>
      </w:r>
      <w:r w:rsidR="003F64E5" w:rsidRPr="00541A3A">
        <w:t xml:space="preserve"> [</w:t>
      </w:r>
      <w:r w:rsidR="006864D7">
        <w:t>35</w:t>
      </w:r>
      <w:r w:rsidR="003F64E5" w:rsidRPr="00541A3A">
        <w:t>]</w:t>
      </w:r>
      <w:r w:rsidRPr="00541A3A">
        <w:t>. Heteroskedasticity is present across specifications as expected given the structural differences in wage levels and adoption rates across sectors and countries</w:t>
      </w:r>
      <w:r w:rsidR="009939A1" w:rsidRPr="00541A3A">
        <w:t>.</w:t>
      </w:r>
      <w:r w:rsidRPr="00541A3A">
        <w:t xml:space="preserve"> </w:t>
      </w:r>
      <w:r w:rsidR="009939A1" w:rsidRPr="00541A3A">
        <w:t>I</w:t>
      </w:r>
      <w:r w:rsidRPr="00541A3A">
        <w:t>t is addressed throughout by country-clustered robust standard errors, which simultaneously provide valid inference under heteroskedasticity and limit the influence of high-leverage country–sector cells.</w:t>
      </w:r>
    </w:p>
    <w:p w14:paraId="72530790" w14:textId="3C9E02E2" w:rsidR="00F907EA" w:rsidRPr="00541A3A" w:rsidRDefault="00F907EA" w:rsidP="00B34642">
      <w:pPr>
        <w:pStyle w:val="Thesisbody"/>
      </w:pPr>
      <w:r w:rsidRPr="00541A3A">
        <w:t xml:space="preserve">The framework operates at the sector–country level and does not observe the underlying task composition of employment within sectors. The Acemoglu and Restrepo model </w:t>
      </w:r>
      <w:r w:rsidR="008C5FFF" w:rsidRPr="00541A3A">
        <w:t xml:space="preserve">is a task-based  and </w:t>
      </w:r>
      <w:r w:rsidRPr="00541A3A">
        <w:t xml:space="preserve">generates wage predictions through the balance between the displacement of routine tasks and the reinstatement of new ones, but the present data cannot separately identify how much of the observed wage compression reflects task displacement versus the absence of new task creation. Occupation- or firm-level data linking AI tool usage to task-level employment changes would be required to test this mechanism directly, and this remains an </w:t>
      </w:r>
      <w:r w:rsidR="001C0EFF" w:rsidRPr="00541A3A">
        <w:t>opportunity</w:t>
      </w:r>
      <w:r w:rsidRPr="00541A3A">
        <w:t xml:space="preserve"> for future research as more granular administrative or matched employer–employee datasets covering AI adoption become available.</w:t>
      </w:r>
    </w:p>
    <w:p w14:paraId="71F67B36" w14:textId="1EDA4984" w:rsidR="00BC5A2B" w:rsidRDefault="00807552" w:rsidP="00807552">
      <w:pPr>
        <w:rPr>
          <w:highlight w:val="yellow"/>
        </w:rPr>
      </w:pPr>
      <w:r>
        <w:rPr>
          <w:highlight w:val="yellow"/>
        </w:rPr>
        <w:t>Application (role of regulations)</w:t>
      </w:r>
    </w:p>
    <w:p w14:paraId="4DC5B200" w14:textId="77777777" w:rsidR="00807552" w:rsidRDefault="00807552" w:rsidP="00807552">
      <w:pPr>
        <w:rPr>
          <w:highlight w:val="yellow"/>
        </w:rPr>
      </w:pPr>
    </w:p>
    <w:p w14:paraId="0841BABE" w14:textId="77777777" w:rsidR="00807552" w:rsidRPr="00807552" w:rsidRDefault="00807552" w:rsidP="00807552">
      <w:pPr>
        <w:rPr>
          <w:highlight w:val="yellow"/>
        </w:rPr>
      </w:pPr>
    </w:p>
    <w:p w14:paraId="5FB511EB" w14:textId="33D98550" w:rsidR="00CE2656" w:rsidRPr="00FC79F0" w:rsidRDefault="00E538D4" w:rsidP="00A83C80">
      <w:pPr>
        <w:pStyle w:val="Heading2"/>
        <w:rPr>
          <w:rFonts w:ascii="Times New Roman" w:hAnsi="Times New Roman" w:cs="Times New Roman"/>
        </w:rPr>
      </w:pPr>
      <w:bookmarkStart w:id="44" w:name="_Toc230044148"/>
      <w:r w:rsidRPr="00FC79F0">
        <w:rPr>
          <w:rFonts w:ascii="Times New Roman" w:hAnsi="Times New Roman" w:cs="Times New Roman"/>
        </w:rPr>
        <w:t>References</w:t>
      </w:r>
      <w:bookmarkEnd w:id="44"/>
    </w:p>
    <w:p w14:paraId="347DBB15" w14:textId="6CAC122E" w:rsidR="00EA04C9" w:rsidRPr="00EA04C9" w:rsidRDefault="0085663C">
      <w:pPr>
        <w:pStyle w:val="ListParagraph"/>
        <w:numPr>
          <w:ilvl w:val="0"/>
          <w:numId w:val="3"/>
        </w:numPr>
        <w:jc w:val="both"/>
        <w:rPr>
          <w:rFonts w:ascii="Times New Roman" w:hAnsi="Times New Roman" w:cs="Times New Roman"/>
          <w:sz w:val="24"/>
          <w:szCs w:val="24"/>
        </w:rPr>
      </w:pPr>
      <w:bookmarkStart w:id="45" w:name="_Ref226388854"/>
      <w:r w:rsidRPr="00831124">
        <w:rPr>
          <w:rFonts w:ascii="Times New Roman" w:hAnsi="Times New Roman" w:cs="Times New Roman"/>
          <w:sz w:val="24"/>
          <w:szCs w:val="24"/>
        </w:rPr>
        <w:t>Hollander</w:t>
      </w:r>
      <w:r w:rsidR="00E70DD2" w:rsidRPr="00831124">
        <w:rPr>
          <w:rFonts w:ascii="Times New Roman" w:hAnsi="Times New Roman" w:cs="Times New Roman"/>
          <w:sz w:val="24"/>
          <w:szCs w:val="24"/>
        </w:rPr>
        <w:t xml:space="preserve"> S</w:t>
      </w:r>
      <w:r w:rsidRPr="00831124">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Retrospectives Ricardo on Machinery. </w:t>
      </w:r>
      <w:r w:rsidRPr="00831124">
        <w:rPr>
          <w:rFonts w:ascii="Times New Roman" w:hAnsi="Times New Roman" w:cs="Times New Roman"/>
          <w:sz w:val="24"/>
          <w:szCs w:val="24"/>
        </w:rPr>
        <w:t>Journal of Economic Perspectives</w:t>
      </w:r>
      <w:r w:rsidR="00EA04C9" w:rsidRPr="00EA04C9">
        <w:rPr>
          <w:rFonts w:ascii="Times New Roman" w:hAnsi="Times New Roman" w:cs="Times New Roman"/>
          <w:sz w:val="24"/>
          <w:szCs w:val="24"/>
        </w:rPr>
        <w:t>,</w:t>
      </w:r>
      <w:r w:rsidR="003C143B" w:rsidRPr="00831124">
        <w:rPr>
          <w:rFonts w:ascii="Times New Roman" w:hAnsi="Times New Roman" w:cs="Times New Roman"/>
          <w:sz w:val="24"/>
          <w:szCs w:val="24"/>
        </w:rPr>
        <w:t xml:space="preserve"> Volume 33, </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Spring 2019</w:t>
      </w:r>
      <w:r w:rsidR="00EA04C9" w:rsidRPr="00EA04C9">
        <w:rPr>
          <w:rFonts w:ascii="Times New Roman" w:hAnsi="Times New Roman" w:cs="Times New Roman"/>
          <w:sz w:val="24"/>
          <w:szCs w:val="24"/>
        </w:rPr>
        <w:t xml:space="preserve">. On line. </w:t>
      </w:r>
      <w:r w:rsidR="003C143B" w:rsidRPr="00831124">
        <w:rPr>
          <w:rFonts w:ascii="Times New Roman" w:hAnsi="Times New Roman" w:cs="Times New Roman"/>
          <w:sz w:val="24"/>
          <w:szCs w:val="24"/>
        </w:rPr>
        <w:t>Assess</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January 19 </w:t>
      </w:r>
      <w:r w:rsidR="00EA04C9" w:rsidRPr="00EA04C9">
        <w:rPr>
          <w:rFonts w:ascii="Times New Roman" w:hAnsi="Times New Roman" w:cs="Times New Roman"/>
          <w:sz w:val="24"/>
          <w:szCs w:val="24"/>
        </w:rPr>
        <w:t>2</w:t>
      </w:r>
      <w:r w:rsidR="003C143B" w:rsidRPr="00831124">
        <w:rPr>
          <w:rFonts w:ascii="Times New Roman" w:hAnsi="Times New Roman" w:cs="Times New Roman"/>
          <w:sz w:val="24"/>
          <w:szCs w:val="24"/>
        </w:rPr>
        <w:t>026</w:t>
      </w:r>
      <w:r w:rsidR="00EA04C9" w:rsidRPr="00EA04C9">
        <w:rPr>
          <w:rFonts w:ascii="Times New Roman" w:hAnsi="Times New Roman" w:cs="Times New Roman"/>
          <w:sz w:val="24"/>
          <w:szCs w:val="24"/>
        </w:rPr>
        <w:t>.</w:t>
      </w:r>
      <w:bookmarkEnd w:id="45"/>
      <w:r w:rsidR="00EA04C9" w:rsidRPr="00EA04C9">
        <w:rPr>
          <w:rFonts w:ascii="Times New Roman" w:hAnsi="Times New Roman" w:cs="Times New Roman"/>
          <w:sz w:val="24"/>
          <w:szCs w:val="24"/>
        </w:rPr>
        <w:t xml:space="preserve"> </w:t>
      </w:r>
    </w:p>
    <w:p w14:paraId="0E8F4B42" w14:textId="19EEB482" w:rsidR="00EA04C9" w:rsidRPr="00831124" w:rsidRDefault="0085663C" w:rsidP="002C2E74">
      <w:pPr>
        <w:pStyle w:val="ListParagraph"/>
        <w:jc w:val="both"/>
        <w:rPr>
          <w:rFonts w:ascii="Times New Roman" w:hAnsi="Times New Roman" w:cs="Times New Roman"/>
          <w:sz w:val="24"/>
          <w:szCs w:val="24"/>
        </w:rPr>
      </w:pPr>
      <w:hyperlink r:id="rId18" w:history="1">
        <w:r w:rsidRPr="00831124">
          <w:rPr>
            <w:rStyle w:val="Hyperlink"/>
            <w:rFonts w:ascii="Times New Roman" w:hAnsi="Times New Roman" w:cs="Times New Roman"/>
            <w:sz w:val="24"/>
            <w:szCs w:val="24"/>
            <w:u w:val="none"/>
          </w:rPr>
          <w:t>https://pubs.aeaweb.org/doi/pdfplus/10.1257/jep.33.2.229</w:t>
        </w:r>
      </w:hyperlink>
    </w:p>
    <w:p w14:paraId="41A9606C" w14:textId="7240098A" w:rsidR="0085663C" w:rsidRPr="00831124" w:rsidRDefault="00122515">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Keynes, </w:t>
      </w:r>
      <w:r w:rsidR="00E70DD2" w:rsidRPr="00831124">
        <w:rPr>
          <w:rFonts w:ascii="Times New Roman" w:hAnsi="Times New Roman" w:cs="Times New Roman"/>
          <w:sz w:val="24"/>
          <w:szCs w:val="24"/>
        </w:rPr>
        <w:t>J. M</w:t>
      </w:r>
      <w:r w:rsidRPr="00831124">
        <w:rPr>
          <w:rFonts w:ascii="Times New Roman" w:hAnsi="Times New Roman" w:cs="Times New Roman"/>
          <w:sz w:val="24"/>
          <w:szCs w:val="24"/>
        </w:rPr>
        <w:t xml:space="preserve">. Essays in Persuasion. Project Gutenberg Canada ebook </w:t>
      </w:r>
      <w:r w:rsidR="000653BE" w:rsidRPr="00831124">
        <w:rPr>
          <w:rFonts w:ascii="Times New Roman" w:hAnsi="Times New Roman" w:cs="Times New Roman"/>
          <w:sz w:val="24"/>
          <w:szCs w:val="24"/>
        </w:rPr>
        <w:t xml:space="preserve">No. </w:t>
      </w:r>
      <w:r w:rsidRPr="00831124">
        <w:rPr>
          <w:rFonts w:ascii="Times New Roman" w:hAnsi="Times New Roman" w:cs="Times New Roman"/>
          <w:sz w:val="24"/>
          <w:szCs w:val="24"/>
        </w:rPr>
        <w:t xml:space="preserve"> 833, 1931, last updated 7 August 2011.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0906AE85" w14:textId="3EA408A6" w:rsidR="00122515" w:rsidRPr="00831124" w:rsidRDefault="00122515" w:rsidP="00965410">
      <w:pPr>
        <w:pStyle w:val="ListParagraph"/>
        <w:jc w:val="both"/>
        <w:rPr>
          <w:rFonts w:ascii="Times New Roman" w:hAnsi="Times New Roman" w:cs="Times New Roman"/>
          <w:sz w:val="24"/>
          <w:szCs w:val="24"/>
        </w:rPr>
      </w:pPr>
      <w:hyperlink r:id="rId19" w:anchor="Economic_Possibilities" w:history="1">
        <w:r w:rsidRPr="00831124">
          <w:rPr>
            <w:rStyle w:val="Hyperlink"/>
            <w:rFonts w:ascii="Times New Roman" w:hAnsi="Times New Roman" w:cs="Times New Roman"/>
            <w:sz w:val="24"/>
            <w:szCs w:val="24"/>
            <w:u w:val="none"/>
          </w:rPr>
          <w:t>https://gutenberg.ca/ebooks/keynes-essaysinpersuasion/keynes-essaysinpersuasion-00-h.html#Economic_Possibilities</w:t>
        </w:r>
      </w:hyperlink>
      <w:r w:rsidRPr="00831124">
        <w:rPr>
          <w:rFonts w:ascii="Times New Roman" w:hAnsi="Times New Roman" w:cs="Times New Roman"/>
          <w:sz w:val="24"/>
          <w:szCs w:val="24"/>
        </w:rPr>
        <w:t xml:space="preserve"> </w:t>
      </w:r>
    </w:p>
    <w:p w14:paraId="15F2D8B2" w14:textId="63D496B6" w:rsidR="001F3F60" w:rsidRPr="00831124" w:rsidRDefault="00BC7F08">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sidR="00E70DD2" w:rsidRPr="00831124">
        <w:rPr>
          <w:rFonts w:ascii="Times New Roman" w:hAnsi="Times New Roman" w:cs="Times New Roman"/>
          <w:sz w:val="24"/>
          <w:szCs w:val="24"/>
        </w:rPr>
        <w:t xml:space="preserve"> </w:t>
      </w:r>
      <w:r w:rsidRPr="00831124">
        <w:rPr>
          <w:rFonts w:ascii="Times New Roman" w:hAnsi="Times New Roman" w:cs="Times New Roman"/>
          <w:sz w:val="24"/>
          <w:szCs w:val="24"/>
        </w:rPr>
        <w:t>Automation and New Tasks: How Technology Displaces and Reinstates Labor. Journal of Economic Perspectives</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Volume 33, </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Spring 2019</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558ABA79" w14:textId="0A5977F6" w:rsidR="00465F13" w:rsidRPr="00831124" w:rsidRDefault="00465F13" w:rsidP="00965410">
      <w:pPr>
        <w:pStyle w:val="ListParagraph"/>
        <w:jc w:val="both"/>
        <w:rPr>
          <w:rFonts w:ascii="Times New Roman" w:hAnsi="Times New Roman" w:cs="Times New Roman"/>
          <w:sz w:val="24"/>
          <w:szCs w:val="24"/>
        </w:rPr>
      </w:pPr>
      <w:hyperlink r:id="rId20" w:history="1">
        <w:r w:rsidRPr="00831124">
          <w:rPr>
            <w:rStyle w:val="Hyperlink"/>
            <w:rFonts w:ascii="Times New Roman" w:hAnsi="Times New Roman" w:cs="Times New Roman"/>
            <w:sz w:val="24"/>
            <w:szCs w:val="24"/>
            <w:u w:val="none"/>
          </w:rPr>
          <w:t>https://pubs.aeaweb.org/doi/pdfplus/10.1257/jep.33.2.3</w:t>
        </w:r>
      </w:hyperlink>
      <w:r w:rsidRPr="00831124">
        <w:rPr>
          <w:rFonts w:ascii="Times New Roman" w:hAnsi="Times New Roman" w:cs="Times New Roman"/>
          <w:sz w:val="24"/>
          <w:szCs w:val="24"/>
        </w:rPr>
        <w:t xml:space="preserve"> </w:t>
      </w:r>
    </w:p>
    <w:p w14:paraId="38F4A859" w14:textId="22D4E3A7" w:rsidR="008A6478" w:rsidRPr="00831124" w:rsidRDefault="008A6478">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U.S. Department of Labor Bureau of Labor Statistics. Assessing the Impact of New Technologies on the Labor Market: Key Constructs, Gaps, and Data Collection Strategies for the Bureau of Labor Statistics. GULLUP,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7B4BD539" w14:textId="42633F26" w:rsidR="00122515" w:rsidRPr="00831124" w:rsidRDefault="008A6478" w:rsidP="00965410">
      <w:pPr>
        <w:pStyle w:val="ListParagraph"/>
        <w:jc w:val="both"/>
        <w:rPr>
          <w:rFonts w:ascii="Times New Roman" w:hAnsi="Times New Roman" w:cs="Times New Roman"/>
          <w:sz w:val="24"/>
          <w:szCs w:val="24"/>
        </w:rPr>
      </w:pPr>
      <w:hyperlink r:id="rId21" w:history="1">
        <w:r w:rsidRPr="00831124">
          <w:rPr>
            <w:rStyle w:val="Hyperlink"/>
            <w:rFonts w:ascii="Times New Roman" w:hAnsi="Times New Roman" w:cs="Times New Roman"/>
            <w:sz w:val="24"/>
            <w:szCs w:val="24"/>
            <w:u w:val="none"/>
          </w:rPr>
          <w:t>https://www.bls.gov/bls/congressional-reports/assessing-the-impact-of-new-technologies-on-the-labor-market.pdf</w:t>
        </w:r>
      </w:hyperlink>
      <w:r w:rsidRPr="00831124">
        <w:rPr>
          <w:rFonts w:ascii="Times New Roman" w:hAnsi="Times New Roman" w:cs="Times New Roman"/>
          <w:sz w:val="24"/>
          <w:szCs w:val="24"/>
        </w:rPr>
        <w:t xml:space="preserve"> </w:t>
      </w:r>
    </w:p>
    <w:p w14:paraId="4E66DBA7" w14:textId="46482B45" w:rsidR="007A5AA5" w:rsidRPr="00831124" w:rsidRDefault="0070518E">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Bresnahan T. F., Trajtenberg M. General purpose technologies 'Engines of growth'?. Journal of Econometrics, Volume 65, January 1995.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7D5A87D1" w14:textId="2FBE4BA3" w:rsidR="0070518E" w:rsidRPr="00831124" w:rsidRDefault="0070518E" w:rsidP="00965410">
      <w:pPr>
        <w:pStyle w:val="ListParagraph"/>
        <w:jc w:val="both"/>
        <w:rPr>
          <w:rFonts w:ascii="Times New Roman" w:hAnsi="Times New Roman" w:cs="Times New Roman"/>
          <w:sz w:val="24"/>
          <w:szCs w:val="24"/>
        </w:rPr>
      </w:pPr>
      <w:hyperlink r:id="rId22" w:history="1">
        <w:r w:rsidRPr="00831124">
          <w:rPr>
            <w:rStyle w:val="Hyperlink"/>
            <w:rFonts w:ascii="Times New Roman" w:hAnsi="Times New Roman" w:cs="Times New Roman"/>
            <w:sz w:val="24"/>
            <w:szCs w:val="24"/>
            <w:u w:val="none"/>
          </w:rPr>
          <w:t>https://www.sciencedirect.com/science/article/pii/030440769401598T</w:t>
        </w:r>
      </w:hyperlink>
      <w:r w:rsidRPr="00831124">
        <w:rPr>
          <w:rFonts w:ascii="Times New Roman" w:hAnsi="Times New Roman" w:cs="Times New Roman"/>
          <w:sz w:val="24"/>
          <w:szCs w:val="24"/>
        </w:rPr>
        <w:t xml:space="preserve"> </w:t>
      </w:r>
    </w:p>
    <w:p w14:paraId="08BAD16D" w14:textId="77777777" w:rsidR="00B969AE" w:rsidRDefault="00876FA7" w:rsidP="00876FA7">
      <w:pPr>
        <w:pStyle w:val="ListParagraph"/>
        <w:numPr>
          <w:ilvl w:val="0"/>
          <w:numId w:val="3"/>
        </w:numPr>
        <w:jc w:val="both"/>
        <w:rPr>
          <w:rFonts w:ascii="Times New Roman" w:hAnsi="Times New Roman" w:cs="Times New Roman"/>
          <w:sz w:val="24"/>
          <w:szCs w:val="24"/>
        </w:rPr>
      </w:pPr>
      <w:r w:rsidRPr="00B969AE">
        <w:rPr>
          <w:rFonts w:ascii="Times New Roman" w:hAnsi="Times New Roman" w:cs="Times New Roman"/>
          <w:sz w:val="24"/>
          <w:szCs w:val="24"/>
        </w:rPr>
        <w:t>Crafts N.</w:t>
      </w:r>
      <w:r w:rsidR="00F2348E" w:rsidRPr="00B969AE">
        <w:rPr>
          <w:rFonts w:ascii="Times New Roman" w:hAnsi="Times New Roman" w:cs="Times New Roman"/>
          <w:sz w:val="24"/>
          <w:szCs w:val="24"/>
        </w:rPr>
        <w:t xml:space="preserve"> </w:t>
      </w:r>
      <w:r w:rsidRPr="00B969AE">
        <w:rPr>
          <w:rFonts w:ascii="Times New Roman" w:hAnsi="Times New Roman" w:cs="Times New Roman"/>
          <w:sz w:val="24"/>
          <w:szCs w:val="24"/>
        </w:rPr>
        <w:t xml:space="preserve">Steam as a General Purpose Technology: A Growth Accounting Perspective. The Economic Journal, </w:t>
      </w:r>
      <w:r w:rsidR="00C360E8" w:rsidRPr="00B969AE">
        <w:rPr>
          <w:rFonts w:ascii="Times New Roman" w:hAnsi="Times New Roman" w:cs="Times New Roman"/>
          <w:sz w:val="24"/>
          <w:szCs w:val="24"/>
        </w:rPr>
        <w:t xml:space="preserve">Volume </w:t>
      </w:r>
      <w:r w:rsidRPr="00B969AE">
        <w:rPr>
          <w:rFonts w:ascii="Times New Roman" w:hAnsi="Times New Roman" w:cs="Times New Roman"/>
          <w:sz w:val="24"/>
          <w:szCs w:val="24"/>
        </w:rPr>
        <w:t>114(495)</w:t>
      </w:r>
      <w:r w:rsidR="00C360E8" w:rsidRPr="00B969AE">
        <w:rPr>
          <w:rFonts w:ascii="Times New Roman" w:hAnsi="Times New Roman" w:cs="Times New Roman"/>
          <w:sz w:val="24"/>
          <w:szCs w:val="24"/>
        </w:rPr>
        <w:t>, May 2003</w:t>
      </w:r>
      <w:r w:rsidRPr="00B969AE">
        <w:rPr>
          <w:rFonts w:ascii="Times New Roman" w:hAnsi="Times New Roman" w:cs="Times New Roman"/>
          <w:sz w:val="24"/>
          <w:szCs w:val="24"/>
        </w:rPr>
        <w:t>.</w:t>
      </w:r>
      <w:r w:rsidR="00C360E8" w:rsidRPr="00B969AE">
        <w:rPr>
          <w:rFonts w:ascii="Times New Roman" w:hAnsi="Times New Roman" w:cs="Times New Roman"/>
          <w:sz w:val="24"/>
          <w:szCs w:val="24"/>
        </w:rPr>
        <w:t xml:space="preserve"> On line. Assess January 19 2026.</w:t>
      </w:r>
      <w:r w:rsidRPr="00B969AE">
        <w:rPr>
          <w:rFonts w:ascii="Times New Roman" w:hAnsi="Times New Roman" w:cs="Times New Roman"/>
          <w:sz w:val="24"/>
          <w:szCs w:val="24"/>
        </w:rPr>
        <w:t xml:space="preserve"> </w:t>
      </w:r>
    </w:p>
    <w:p w14:paraId="0558560C" w14:textId="270BBF68" w:rsidR="00876FA7" w:rsidRPr="00B969AE" w:rsidRDefault="00876FA7" w:rsidP="00B969AE">
      <w:pPr>
        <w:pStyle w:val="ListParagraph"/>
        <w:jc w:val="both"/>
        <w:rPr>
          <w:rFonts w:ascii="Times New Roman" w:hAnsi="Times New Roman" w:cs="Times New Roman"/>
          <w:sz w:val="24"/>
          <w:szCs w:val="24"/>
        </w:rPr>
      </w:pPr>
      <w:hyperlink r:id="rId23" w:history="1">
        <w:r w:rsidRPr="00B969AE">
          <w:rPr>
            <w:rStyle w:val="Hyperlink"/>
            <w:rFonts w:ascii="Times New Roman" w:hAnsi="Times New Roman" w:cs="Times New Roman"/>
            <w:sz w:val="24"/>
            <w:szCs w:val="24"/>
            <w:u w:val="none"/>
          </w:rPr>
          <w:t>https://researchonline.lse.ac.uk/id/eprint/22354/1/wp75.pdf</w:t>
        </w:r>
      </w:hyperlink>
      <w:r w:rsidRPr="00B969AE">
        <w:rPr>
          <w:rFonts w:ascii="Times New Roman" w:hAnsi="Times New Roman" w:cs="Times New Roman"/>
          <w:sz w:val="24"/>
          <w:szCs w:val="24"/>
        </w:rPr>
        <w:t xml:space="preserve"> </w:t>
      </w:r>
    </w:p>
    <w:p w14:paraId="18709C9B" w14:textId="6D320FB0" w:rsidR="00876FA7"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Jovanovic B., Rousseau P. L. General Purpose Technologies</w:t>
      </w:r>
      <w:r w:rsidR="00F2348E" w:rsidRPr="00831124">
        <w:rPr>
          <w:rFonts w:ascii="Times New Roman" w:hAnsi="Times New Roman" w:cs="Times New Roman"/>
          <w:sz w:val="24"/>
          <w:szCs w:val="24"/>
        </w:rPr>
        <w:t>.</w:t>
      </w:r>
      <w:r w:rsidRPr="00831124">
        <w:rPr>
          <w:rFonts w:ascii="Times New Roman" w:hAnsi="Times New Roman" w:cs="Times New Roman"/>
          <w:sz w:val="24"/>
          <w:szCs w:val="24"/>
        </w:rPr>
        <w:t xml:space="preserve"> NBER Working Paper No. 11093</w:t>
      </w:r>
      <w:r w:rsidR="000653BE" w:rsidRPr="00831124">
        <w:rPr>
          <w:rFonts w:ascii="Times New Roman" w:hAnsi="Times New Roman" w:cs="Times New Roman"/>
          <w:sz w:val="24"/>
          <w:szCs w:val="24"/>
        </w:rPr>
        <w:t xml:space="preserve">, January 2005.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19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r w:rsidR="000653BE" w:rsidRPr="00EA04C9">
        <w:rPr>
          <w:rFonts w:ascii="Times New Roman" w:hAnsi="Times New Roman" w:cs="Times New Roman"/>
          <w:sz w:val="24"/>
          <w:szCs w:val="24"/>
        </w:rPr>
        <w:t>.</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 </w:t>
      </w:r>
    </w:p>
    <w:p w14:paraId="261CF574" w14:textId="1F2AC2C1" w:rsidR="00876FA7" w:rsidRPr="00831124" w:rsidRDefault="00876FA7" w:rsidP="00876FA7">
      <w:pPr>
        <w:pStyle w:val="ListParagraph"/>
        <w:jc w:val="both"/>
        <w:rPr>
          <w:rFonts w:ascii="Times New Roman" w:hAnsi="Times New Roman" w:cs="Times New Roman"/>
          <w:sz w:val="24"/>
          <w:szCs w:val="24"/>
        </w:rPr>
      </w:pPr>
      <w:hyperlink r:id="rId24" w:history="1">
        <w:r w:rsidRPr="00831124">
          <w:rPr>
            <w:rStyle w:val="Hyperlink"/>
            <w:rFonts w:ascii="Times New Roman" w:hAnsi="Times New Roman" w:cs="Times New Roman"/>
            <w:sz w:val="24"/>
            <w:szCs w:val="24"/>
            <w:u w:val="none"/>
          </w:rPr>
          <w:t>https://www.nber.org/system/files/working_papers/w11093/w11093.pdf</w:t>
        </w:r>
      </w:hyperlink>
      <w:r w:rsidRPr="00831124">
        <w:rPr>
          <w:rFonts w:ascii="Times New Roman" w:hAnsi="Times New Roman" w:cs="Times New Roman"/>
          <w:sz w:val="24"/>
          <w:szCs w:val="24"/>
        </w:rPr>
        <w:t xml:space="preserve"> </w:t>
      </w:r>
    </w:p>
    <w:p w14:paraId="7390C603" w14:textId="4ED218F4" w:rsidR="00876FA7"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Fiszbein M., Ihne S.,</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Palacios M. From Steam Power to Artificial Intelligence: What the Past Can Teach Us About the Future of Work. Rockwool Foundation Berlin Institute for the Economy and the Future of Work</w:t>
      </w:r>
      <w:r w:rsidR="000653BE" w:rsidRPr="00831124">
        <w:rPr>
          <w:rFonts w:ascii="Times New Roman" w:hAnsi="Times New Roman" w:cs="Times New Roman"/>
          <w:sz w:val="24"/>
          <w:szCs w:val="24"/>
        </w:rPr>
        <w:t xml:space="preserve">, January 2026.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24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p>
    <w:p w14:paraId="73B6510B" w14:textId="06364472" w:rsidR="00E512CC" w:rsidRPr="00831124" w:rsidRDefault="00876FA7" w:rsidP="00F73CB6">
      <w:pPr>
        <w:pStyle w:val="ListParagraph"/>
        <w:jc w:val="both"/>
        <w:rPr>
          <w:rFonts w:ascii="Times New Roman" w:hAnsi="Times New Roman" w:cs="Times New Roman"/>
          <w:sz w:val="24"/>
          <w:szCs w:val="24"/>
        </w:rPr>
      </w:pPr>
      <w:hyperlink r:id="rId25" w:history="1">
        <w:r w:rsidRPr="00831124">
          <w:rPr>
            <w:rStyle w:val="Hyperlink"/>
            <w:rFonts w:ascii="Times New Roman" w:hAnsi="Times New Roman" w:cs="Times New Roman"/>
            <w:sz w:val="24"/>
            <w:szCs w:val="24"/>
            <w:u w:val="none"/>
          </w:rPr>
          <w:t>https://www.rfberlin.com/research-insights/from-steam-power-to-artificial-intelligence/</w:t>
        </w:r>
      </w:hyperlink>
      <w:r w:rsidRPr="00831124">
        <w:rPr>
          <w:rFonts w:ascii="Times New Roman" w:hAnsi="Times New Roman" w:cs="Times New Roman"/>
          <w:sz w:val="24"/>
          <w:szCs w:val="24"/>
        </w:rPr>
        <w:t xml:space="preserve"> </w:t>
      </w:r>
    </w:p>
    <w:p w14:paraId="4EB4CBCD" w14:textId="179813F0" w:rsidR="00F73CB6" w:rsidRPr="00831124" w:rsidRDefault="00F73CB6">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The Productivity J-Curve: How Intangibles complement General Purpose Technologies. NBER Working Paper No. 25148, January 2020.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66D4344C" w14:textId="5B8FF1B1" w:rsidR="00D01307" w:rsidRPr="00831124" w:rsidRDefault="00F73CB6" w:rsidP="00D01307">
      <w:pPr>
        <w:pStyle w:val="ListParagraph"/>
        <w:jc w:val="both"/>
        <w:rPr>
          <w:rFonts w:ascii="Times New Roman" w:hAnsi="Times New Roman" w:cs="Times New Roman"/>
          <w:sz w:val="24"/>
          <w:szCs w:val="24"/>
        </w:rPr>
      </w:pPr>
      <w:hyperlink r:id="rId26" w:history="1">
        <w:r w:rsidRPr="00831124">
          <w:rPr>
            <w:rStyle w:val="Hyperlink"/>
            <w:rFonts w:ascii="Times New Roman" w:hAnsi="Times New Roman" w:cs="Times New Roman"/>
            <w:sz w:val="24"/>
            <w:szCs w:val="24"/>
            <w:u w:val="none"/>
          </w:rPr>
          <w:t>https://www.nber.org/system/files/working_papers/w25148/w25148.pdf</w:t>
        </w:r>
      </w:hyperlink>
      <w:r w:rsidRPr="00831124">
        <w:rPr>
          <w:rFonts w:ascii="Times New Roman" w:hAnsi="Times New Roman" w:cs="Times New Roman"/>
          <w:sz w:val="24"/>
          <w:szCs w:val="24"/>
        </w:rPr>
        <w:t xml:space="preserve"> </w:t>
      </w:r>
    </w:p>
    <w:p w14:paraId="2D43D815" w14:textId="6CCEA2E1" w:rsidR="00D01307" w:rsidRPr="00831124" w:rsidRDefault="00D0130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Powering Up Productivity: the Effects of Electrification on U.S. Manufacturing. NBER Working Paper No. 28076, April 2024.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1914C1CD" w14:textId="1CAAD349" w:rsidR="00D01307" w:rsidRPr="00831124" w:rsidRDefault="00D01307" w:rsidP="00D01307">
      <w:pPr>
        <w:pStyle w:val="ListParagraph"/>
        <w:jc w:val="both"/>
        <w:rPr>
          <w:rFonts w:ascii="Times New Roman" w:hAnsi="Times New Roman" w:cs="Times New Roman"/>
          <w:sz w:val="24"/>
          <w:szCs w:val="24"/>
        </w:rPr>
      </w:pPr>
      <w:hyperlink r:id="rId27" w:history="1">
        <w:r w:rsidRPr="00831124">
          <w:rPr>
            <w:rStyle w:val="Hyperlink"/>
            <w:rFonts w:ascii="Times New Roman" w:hAnsi="Times New Roman" w:cs="Times New Roman"/>
            <w:sz w:val="24"/>
            <w:szCs w:val="24"/>
            <w:u w:val="none"/>
          </w:rPr>
          <w:t>https://www.nber.org/system/files/working_papers/w28076/w28076.pdf</w:t>
        </w:r>
      </w:hyperlink>
      <w:r w:rsidRPr="00831124">
        <w:rPr>
          <w:rFonts w:ascii="Times New Roman" w:hAnsi="Times New Roman" w:cs="Times New Roman"/>
          <w:sz w:val="24"/>
          <w:szCs w:val="24"/>
        </w:rPr>
        <w:t xml:space="preserve"> </w:t>
      </w:r>
    </w:p>
    <w:p w14:paraId="4B1F0ED7" w14:textId="464FB120" w:rsidR="001E1C33" w:rsidRPr="00831124" w:rsidRDefault="001E1C33">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Goldin C., Katz L. F. The Race Between Education and Technology: the Evolution of U.S. Educational Wage Differentials</w:t>
      </w:r>
      <w:r w:rsidR="00831124" w:rsidRPr="00831124">
        <w:rPr>
          <w:rFonts w:ascii="Times New Roman" w:hAnsi="Times New Roman" w:cs="Times New Roman"/>
          <w:sz w:val="24"/>
          <w:szCs w:val="24"/>
        </w:rPr>
        <w:t>:</w:t>
      </w:r>
      <w:r w:rsidRPr="00831124">
        <w:rPr>
          <w:rFonts w:ascii="Times New Roman" w:hAnsi="Times New Roman" w:cs="Times New Roman"/>
          <w:sz w:val="24"/>
          <w:szCs w:val="24"/>
        </w:rPr>
        <w:t xml:space="preserve"> 1890 to 2005. NBER Working Paper No. 12984, March 2007.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5D5174F" w14:textId="2D2E0E63" w:rsidR="001E1C33" w:rsidRPr="00831124" w:rsidRDefault="001E1C33" w:rsidP="001E1C33">
      <w:pPr>
        <w:pStyle w:val="ListParagraph"/>
        <w:jc w:val="both"/>
        <w:rPr>
          <w:rFonts w:ascii="Times New Roman" w:hAnsi="Times New Roman" w:cs="Times New Roman"/>
          <w:sz w:val="24"/>
          <w:szCs w:val="24"/>
        </w:rPr>
      </w:pPr>
      <w:hyperlink r:id="rId28" w:history="1">
        <w:r w:rsidRPr="00831124">
          <w:rPr>
            <w:rStyle w:val="Hyperlink"/>
            <w:rFonts w:ascii="Times New Roman" w:hAnsi="Times New Roman" w:cs="Times New Roman"/>
            <w:sz w:val="24"/>
            <w:szCs w:val="24"/>
            <w:u w:val="none"/>
          </w:rPr>
          <w:t>https://www.nber.org/system/files/working_papers/w12984/w12984.pdf</w:t>
        </w:r>
      </w:hyperlink>
      <w:r w:rsidRPr="00831124">
        <w:rPr>
          <w:rFonts w:ascii="Times New Roman" w:hAnsi="Times New Roman" w:cs="Times New Roman"/>
          <w:sz w:val="24"/>
          <w:szCs w:val="24"/>
        </w:rPr>
        <w:t xml:space="preserve">   </w:t>
      </w:r>
    </w:p>
    <w:p w14:paraId="0D88375E" w14:textId="14A4C794" w:rsidR="00831124" w:rsidRPr="00831124" w:rsidRDefault="00831124">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Krueger A.B. Computing inequality: have computers changed the labor market? </w:t>
      </w:r>
      <w:r w:rsidR="00673E46" w:rsidRPr="000A7A0D">
        <w:rPr>
          <w:rFonts w:ascii="Times New Roman" w:hAnsi="Times New Roman" w:cs="Times New Roman"/>
          <w:sz w:val="24"/>
          <w:szCs w:val="24"/>
        </w:rPr>
        <w:t xml:space="preserve">Massachusetts Institute of Technology, </w:t>
      </w:r>
      <w:r w:rsidRPr="000A7A0D">
        <w:rPr>
          <w:rFonts w:ascii="Times New Roman" w:hAnsi="Times New Roman" w:cs="Times New Roman"/>
          <w:sz w:val="24"/>
          <w:szCs w:val="24"/>
        </w:rPr>
        <w:t>The Quarterly Journal of Economics, November 1998. On line. Assess January 25 2026.</w:t>
      </w:r>
    </w:p>
    <w:p w14:paraId="41DA246B" w14:textId="14D6CE39" w:rsidR="00831124" w:rsidRPr="00831124" w:rsidRDefault="00831124" w:rsidP="00831124">
      <w:pPr>
        <w:pStyle w:val="ListParagraph"/>
        <w:jc w:val="both"/>
        <w:rPr>
          <w:rFonts w:ascii="Times New Roman" w:hAnsi="Times New Roman" w:cs="Times New Roman"/>
          <w:sz w:val="24"/>
          <w:szCs w:val="24"/>
        </w:rPr>
      </w:pPr>
      <w:hyperlink r:id="rId29" w:history="1">
        <w:r w:rsidRPr="00831124">
          <w:rPr>
            <w:rStyle w:val="Hyperlink"/>
            <w:rFonts w:ascii="Times New Roman" w:hAnsi="Times New Roman" w:cs="Times New Roman"/>
            <w:sz w:val="24"/>
            <w:szCs w:val="24"/>
            <w:u w:val="none"/>
          </w:rPr>
          <w:t>https://economics.mit.edu/sites/default/files/publications/computing%20inequality%201998.pdf</w:t>
        </w:r>
      </w:hyperlink>
      <w:r w:rsidRPr="00831124">
        <w:rPr>
          <w:rFonts w:ascii="Times New Roman" w:hAnsi="Times New Roman" w:cs="Times New Roman"/>
          <w:sz w:val="24"/>
          <w:szCs w:val="24"/>
        </w:rPr>
        <w:t xml:space="preserve"> </w:t>
      </w:r>
    </w:p>
    <w:p w14:paraId="440C418C" w14:textId="6BF43E8D" w:rsidR="00C934F9" w:rsidRPr="00C934F9" w:rsidRDefault="00C934F9">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w:t>
      </w:r>
      <w:r>
        <w:rPr>
          <w:rFonts w:ascii="Times New Roman" w:hAnsi="Times New Roman" w:cs="Times New Roman"/>
          <w:sz w:val="24"/>
          <w:szCs w:val="24"/>
        </w:rPr>
        <w:t>Goldin</w:t>
      </w:r>
      <w:r w:rsidRPr="00831124">
        <w:rPr>
          <w:rFonts w:ascii="Times New Roman" w:hAnsi="Times New Roman" w:cs="Times New Roman"/>
          <w:sz w:val="24"/>
          <w:szCs w:val="24"/>
        </w:rPr>
        <w:t xml:space="preserve"> </w:t>
      </w:r>
      <w:r>
        <w:rPr>
          <w:rFonts w:ascii="Times New Roman" w:hAnsi="Times New Roman" w:cs="Times New Roman"/>
          <w:sz w:val="24"/>
          <w:szCs w:val="24"/>
        </w:rPr>
        <w:t xml:space="preserve">C. Extending the Race Between Education and Technology. </w:t>
      </w:r>
      <w:r w:rsidRPr="00831124">
        <w:rPr>
          <w:rFonts w:ascii="Times New Roman" w:hAnsi="Times New Roman" w:cs="Times New Roman"/>
          <w:sz w:val="24"/>
          <w:szCs w:val="24"/>
        </w:rPr>
        <w:t>NBER Working Paper No. 1</w:t>
      </w:r>
      <w:r>
        <w:rPr>
          <w:rFonts w:ascii="Times New Roman" w:hAnsi="Times New Roman" w:cs="Times New Roman"/>
          <w:sz w:val="24"/>
          <w:szCs w:val="24"/>
        </w:rPr>
        <w:t>26705</w:t>
      </w:r>
      <w:r w:rsidRPr="00831124">
        <w:rPr>
          <w:rFonts w:ascii="Times New Roman" w:hAnsi="Times New Roman" w:cs="Times New Roman"/>
          <w:sz w:val="24"/>
          <w:szCs w:val="24"/>
        </w:rPr>
        <w:t xml:space="preserve">, </w:t>
      </w:r>
      <w:r>
        <w:rPr>
          <w:rFonts w:ascii="Times New Roman" w:hAnsi="Times New Roman" w:cs="Times New Roman"/>
          <w:sz w:val="24"/>
          <w:szCs w:val="24"/>
        </w:rPr>
        <w:t>January</w:t>
      </w:r>
      <w:r w:rsidRPr="00831124">
        <w:rPr>
          <w:rFonts w:ascii="Times New Roman" w:hAnsi="Times New Roman" w:cs="Times New Roman"/>
          <w:sz w:val="24"/>
          <w:szCs w:val="24"/>
        </w:rPr>
        <w:t xml:space="preserve"> 20</w:t>
      </w:r>
      <w:r>
        <w:rPr>
          <w:rFonts w:ascii="Times New Roman" w:hAnsi="Times New Roman" w:cs="Times New Roman"/>
          <w:sz w:val="24"/>
          <w:szCs w:val="24"/>
        </w:rPr>
        <w:t>20</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3C7E059" w14:textId="7D177E08" w:rsidR="00D06206" w:rsidRDefault="00C934F9" w:rsidP="00D06206">
      <w:pPr>
        <w:pStyle w:val="ListParagraph"/>
        <w:jc w:val="both"/>
        <w:rPr>
          <w:rFonts w:ascii="Times New Roman" w:hAnsi="Times New Roman" w:cs="Times New Roman"/>
          <w:sz w:val="24"/>
          <w:szCs w:val="24"/>
        </w:rPr>
      </w:pPr>
      <w:hyperlink r:id="rId30" w:history="1">
        <w:r w:rsidRPr="00B5519B">
          <w:rPr>
            <w:rStyle w:val="Hyperlink"/>
            <w:rFonts w:ascii="Times New Roman" w:hAnsi="Times New Roman" w:cs="Times New Roman"/>
            <w:sz w:val="24"/>
            <w:szCs w:val="24"/>
          </w:rPr>
          <w:t>https://www.nber.org/system/files/working_papers/w26705/w26705.pdf</w:t>
        </w:r>
      </w:hyperlink>
      <w:r>
        <w:rPr>
          <w:rFonts w:ascii="Times New Roman" w:hAnsi="Times New Roman" w:cs="Times New Roman"/>
          <w:sz w:val="24"/>
          <w:szCs w:val="24"/>
        </w:rPr>
        <w:t xml:space="preserve"> </w:t>
      </w:r>
    </w:p>
    <w:p w14:paraId="6A2EC6D7" w14:textId="39A9F8A5" w:rsidR="00D06206" w:rsidRDefault="00D06206">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w:t>
      </w:r>
      <w:r>
        <w:rPr>
          <w:rFonts w:ascii="Times New Roman" w:hAnsi="Times New Roman" w:cs="Times New Roman"/>
          <w:sz w:val="24"/>
          <w:szCs w:val="24"/>
        </w:rPr>
        <w:t xml:space="preserve">Levy </w:t>
      </w:r>
      <w:r w:rsidRPr="00831124">
        <w:rPr>
          <w:rFonts w:ascii="Times New Roman" w:hAnsi="Times New Roman" w:cs="Times New Roman"/>
          <w:sz w:val="24"/>
          <w:szCs w:val="24"/>
        </w:rPr>
        <w:t xml:space="preserve">.F., </w:t>
      </w:r>
      <w:r>
        <w:rPr>
          <w:rFonts w:ascii="Times New Roman" w:hAnsi="Times New Roman" w:cs="Times New Roman"/>
          <w:sz w:val="24"/>
          <w:szCs w:val="24"/>
        </w:rPr>
        <w:t xml:space="preserve">Murnane R.J. The skill content of recent technological change: the empirical exploration. </w:t>
      </w:r>
      <w:r w:rsidRPr="00831124">
        <w:rPr>
          <w:rFonts w:ascii="Times New Roman" w:hAnsi="Times New Roman" w:cs="Times New Roman"/>
          <w:sz w:val="24"/>
          <w:szCs w:val="24"/>
        </w:rPr>
        <w:t xml:space="preserve">NBER Working Paper No. </w:t>
      </w:r>
      <w:r>
        <w:rPr>
          <w:rFonts w:ascii="Times New Roman" w:hAnsi="Times New Roman" w:cs="Times New Roman"/>
          <w:sz w:val="24"/>
          <w:szCs w:val="24"/>
        </w:rPr>
        <w:t>8337</w:t>
      </w:r>
      <w:r w:rsidRPr="00831124">
        <w:rPr>
          <w:rFonts w:ascii="Times New Roman" w:hAnsi="Times New Roman" w:cs="Times New Roman"/>
          <w:sz w:val="24"/>
          <w:szCs w:val="24"/>
        </w:rPr>
        <w:t xml:space="preserve">, </w:t>
      </w:r>
      <w:r>
        <w:rPr>
          <w:rFonts w:ascii="Times New Roman" w:hAnsi="Times New Roman" w:cs="Times New Roman"/>
          <w:sz w:val="24"/>
          <w:szCs w:val="24"/>
        </w:rPr>
        <w:t>June</w:t>
      </w:r>
      <w:r w:rsidRPr="00831124">
        <w:rPr>
          <w:rFonts w:ascii="Times New Roman" w:hAnsi="Times New Roman" w:cs="Times New Roman"/>
          <w:sz w:val="24"/>
          <w:szCs w:val="24"/>
        </w:rPr>
        <w:t xml:space="preserve"> 20</w:t>
      </w:r>
      <w:r>
        <w:rPr>
          <w:rFonts w:ascii="Times New Roman" w:hAnsi="Times New Roman" w:cs="Times New Roman"/>
          <w:sz w:val="24"/>
          <w:szCs w:val="24"/>
        </w:rPr>
        <w:t>01</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Pr>
          <w:rFonts w:ascii="Times New Roman" w:hAnsi="Times New Roman" w:cs="Times New Roman"/>
          <w:sz w:val="24"/>
          <w:szCs w:val="24"/>
        </w:rPr>
        <w:t>.</w:t>
      </w:r>
    </w:p>
    <w:p w14:paraId="2F00687E" w14:textId="052D03EF" w:rsidR="00D06206" w:rsidRPr="00C934F9" w:rsidRDefault="00D06206" w:rsidP="00D06206">
      <w:pPr>
        <w:pStyle w:val="ListParagraph"/>
        <w:jc w:val="both"/>
        <w:rPr>
          <w:rFonts w:ascii="Times New Roman" w:hAnsi="Times New Roman" w:cs="Times New Roman"/>
          <w:sz w:val="24"/>
          <w:szCs w:val="24"/>
        </w:rPr>
      </w:pPr>
      <w:hyperlink r:id="rId31" w:history="1">
        <w:r w:rsidRPr="00490194">
          <w:rPr>
            <w:rStyle w:val="Hyperlink"/>
            <w:rFonts w:ascii="Times New Roman" w:hAnsi="Times New Roman" w:cs="Times New Roman"/>
            <w:sz w:val="24"/>
            <w:szCs w:val="24"/>
          </w:rPr>
          <w:t>https://www.nber.org/system/files/working_papers/w8337/w8337.pdf</w:t>
        </w:r>
      </w:hyperlink>
      <w:r>
        <w:rPr>
          <w:rFonts w:ascii="Times New Roman" w:hAnsi="Times New Roman" w:cs="Times New Roman"/>
          <w:sz w:val="24"/>
          <w:szCs w:val="24"/>
        </w:rPr>
        <w:t xml:space="preserve"> </w:t>
      </w:r>
    </w:p>
    <w:p w14:paraId="6CD0DF83" w14:textId="564B244B" w:rsidR="00F47255" w:rsidRDefault="00F47255">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Pr>
          <w:rFonts w:ascii="Times New Roman" w:hAnsi="Times New Roman" w:cs="Times New Roman"/>
          <w:sz w:val="24"/>
          <w:szCs w:val="24"/>
        </w:rPr>
        <w:t xml:space="preserve"> Task, Automation, and the Rise in US Wage Inequality</w:t>
      </w:r>
      <w:r w:rsidRPr="00831124">
        <w:rPr>
          <w:rFonts w:ascii="Times New Roman" w:hAnsi="Times New Roman" w:cs="Times New Roman"/>
          <w:sz w:val="24"/>
          <w:szCs w:val="24"/>
        </w:rPr>
        <w:t xml:space="preserve">. </w:t>
      </w:r>
      <w:r>
        <w:rPr>
          <w:rFonts w:ascii="Times New Roman" w:hAnsi="Times New Roman" w:cs="Times New Roman"/>
          <w:sz w:val="24"/>
          <w:szCs w:val="24"/>
        </w:rPr>
        <w:t>Econometrica</w:t>
      </w:r>
      <w:r w:rsidRPr="00EA04C9">
        <w:rPr>
          <w:rFonts w:ascii="Times New Roman" w:hAnsi="Times New Roman" w:cs="Times New Roman"/>
          <w:sz w:val="24"/>
          <w:szCs w:val="24"/>
        </w:rPr>
        <w:t>,</w:t>
      </w:r>
      <w:r>
        <w:rPr>
          <w:rFonts w:ascii="Times New Roman" w:hAnsi="Times New Roman" w:cs="Times New Roman"/>
          <w:sz w:val="24"/>
          <w:szCs w:val="24"/>
        </w:rPr>
        <w:t xml:space="preserve"> Econometric Society</w:t>
      </w:r>
      <w:r w:rsidRPr="00831124">
        <w:rPr>
          <w:rFonts w:ascii="Times New Roman" w:hAnsi="Times New Roman" w:cs="Times New Roman"/>
          <w:sz w:val="24"/>
          <w:szCs w:val="24"/>
        </w:rPr>
        <w:t xml:space="preserve"> Volume </w:t>
      </w:r>
      <w:r>
        <w:rPr>
          <w:rFonts w:ascii="Times New Roman" w:hAnsi="Times New Roman" w:cs="Times New Roman"/>
          <w:sz w:val="24"/>
          <w:szCs w:val="24"/>
        </w:rPr>
        <w:t>90(5)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Pr>
          <w:rFonts w:ascii="Times New Roman" w:hAnsi="Times New Roman" w:cs="Times New Roman"/>
          <w:sz w:val="24"/>
          <w:szCs w:val="24"/>
        </w:rPr>
        <w:t>September</w:t>
      </w:r>
      <w:r w:rsidRPr="00831124">
        <w:rPr>
          <w:rFonts w:ascii="Times New Roman" w:hAnsi="Times New Roman" w:cs="Times New Roman"/>
          <w:sz w:val="24"/>
          <w:szCs w:val="24"/>
        </w:rPr>
        <w:t xml:space="preserve"> 20</w:t>
      </w:r>
      <w:r>
        <w:rPr>
          <w:rFonts w:ascii="Times New Roman" w:hAnsi="Times New Roman" w:cs="Times New Roman"/>
          <w:sz w:val="24"/>
          <w:szCs w:val="24"/>
        </w:rPr>
        <w:t>22</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0C3E44E" w14:textId="70A24387" w:rsidR="00F47255" w:rsidRPr="00831124" w:rsidRDefault="00F47255" w:rsidP="00F47255">
      <w:pPr>
        <w:pStyle w:val="ListParagraph"/>
        <w:jc w:val="both"/>
        <w:rPr>
          <w:rFonts w:ascii="Times New Roman" w:hAnsi="Times New Roman" w:cs="Times New Roman"/>
          <w:sz w:val="24"/>
          <w:szCs w:val="24"/>
        </w:rPr>
      </w:pPr>
      <w:hyperlink r:id="rId32" w:history="1">
        <w:r w:rsidRPr="00EF2746">
          <w:rPr>
            <w:rStyle w:val="Hyperlink"/>
            <w:rFonts w:ascii="Times New Roman" w:hAnsi="Times New Roman" w:cs="Times New Roman"/>
            <w:sz w:val="24"/>
            <w:szCs w:val="24"/>
          </w:rPr>
          <w:t>https://economics.mit.edu/sites/default/files/2022-10/Tasks%20Automation%20and%20the%20Rise%20in%20US%20Wage%20Inequality.pdf</w:t>
        </w:r>
      </w:hyperlink>
      <w:r>
        <w:rPr>
          <w:rFonts w:ascii="Times New Roman" w:hAnsi="Times New Roman" w:cs="Times New Roman"/>
          <w:sz w:val="24"/>
          <w:szCs w:val="24"/>
        </w:rPr>
        <w:t xml:space="preserve"> </w:t>
      </w:r>
    </w:p>
    <w:p w14:paraId="01186F0A" w14:textId="77777777" w:rsidR="009964B4" w:rsidRDefault="009964B4" w:rsidP="009964B4">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Pr>
          <w:rFonts w:ascii="Times New Roman" w:hAnsi="Times New Roman" w:cs="Times New Roman"/>
          <w:sz w:val="24"/>
          <w:szCs w:val="24"/>
        </w:rPr>
        <w:t xml:space="preserve"> Robots and Jobs: Evidence from US Labour Market</w:t>
      </w:r>
      <w:r w:rsidRPr="00831124">
        <w:rPr>
          <w:rFonts w:ascii="Times New Roman" w:hAnsi="Times New Roman" w:cs="Times New Roman"/>
          <w:sz w:val="24"/>
          <w:szCs w:val="24"/>
        </w:rPr>
        <w:t xml:space="preserve">. </w:t>
      </w:r>
      <w:r>
        <w:rPr>
          <w:rFonts w:ascii="Times New Roman" w:hAnsi="Times New Roman" w:cs="Times New Roman"/>
          <w:sz w:val="24"/>
          <w:szCs w:val="24"/>
        </w:rPr>
        <w:t>Journal of Political Economy,</w:t>
      </w:r>
      <w:r w:rsidRPr="00831124">
        <w:rPr>
          <w:rFonts w:ascii="Times New Roman" w:hAnsi="Times New Roman" w:cs="Times New Roman"/>
          <w:sz w:val="24"/>
          <w:szCs w:val="24"/>
        </w:rPr>
        <w:t xml:space="preserve"> Volume </w:t>
      </w:r>
      <w:r>
        <w:rPr>
          <w:rFonts w:ascii="Times New Roman" w:hAnsi="Times New Roman" w:cs="Times New Roman"/>
          <w:sz w:val="24"/>
          <w:szCs w:val="24"/>
        </w:rPr>
        <w:t>128(6)</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Pr>
          <w:rFonts w:ascii="Times New Roman" w:hAnsi="Times New Roman" w:cs="Times New Roman"/>
          <w:sz w:val="24"/>
          <w:szCs w:val="24"/>
        </w:rPr>
        <w:t>April</w:t>
      </w:r>
      <w:r w:rsidRPr="00831124">
        <w:rPr>
          <w:rFonts w:ascii="Times New Roman" w:hAnsi="Times New Roman" w:cs="Times New Roman"/>
          <w:sz w:val="24"/>
          <w:szCs w:val="24"/>
        </w:rPr>
        <w:t xml:space="preserve"> 20</w:t>
      </w:r>
      <w:r>
        <w:rPr>
          <w:rFonts w:ascii="Times New Roman" w:hAnsi="Times New Roman" w:cs="Times New Roman"/>
          <w:sz w:val="24"/>
          <w:szCs w:val="24"/>
        </w:rPr>
        <w:t>20</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168709B" w14:textId="77777777" w:rsidR="009964B4" w:rsidRDefault="009964B4" w:rsidP="009964B4">
      <w:pPr>
        <w:pStyle w:val="ListParagraph"/>
        <w:jc w:val="both"/>
        <w:rPr>
          <w:rFonts w:ascii="Times New Roman" w:hAnsi="Times New Roman" w:cs="Times New Roman"/>
          <w:sz w:val="24"/>
          <w:szCs w:val="24"/>
        </w:rPr>
      </w:pPr>
      <w:hyperlink r:id="rId33" w:history="1">
        <w:r w:rsidRPr="00834113">
          <w:rPr>
            <w:rStyle w:val="Hyperlink"/>
            <w:rFonts w:ascii="Times New Roman" w:hAnsi="Times New Roman" w:cs="Times New Roman"/>
            <w:sz w:val="24"/>
            <w:szCs w:val="24"/>
          </w:rPr>
          <w:t>https://shapingwork.mit.edu/wp-content/uploads/2023/10/Robots-and-Jobs-Evidence-from-US-Labor-Markets.p.pdf</w:t>
        </w:r>
      </w:hyperlink>
      <w:r>
        <w:rPr>
          <w:rFonts w:ascii="Times New Roman" w:hAnsi="Times New Roman" w:cs="Times New Roman"/>
          <w:sz w:val="24"/>
          <w:szCs w:val="24"/>
        </w:rPr>
        <w:t xml:space="preserve"> </w:t>
      </w:r>
    </w:p>
    <w:p w14:paraId="4533C4CA" w14:textId="77777777" w:rsidR="009860D3" w:rsidRPr="00513439" w:rsidRDefault="00E009F0" w:rsidP="009860D3">
      <w:pPr>
        <w:pStyle w:val="ListParagraph"/>
        <w:numPr>
          <w:ilvl w:val="0"/>
          <w:numId w:val="3"/>
        </w:numPr>
        <w:jc w:val="both"/>
        <w:rPr>
          <w:rFonts w:ascii="Times New Roman" w:hAnsi="Times New Roman" w:cs="Times New Roman"/>
          <w:sz w:val="24"/>
          <w:szCs w:val="24"/>
        </w:rPr>
      </w:pPr>
      <w:r w:rsidRPr="00E009F0">
        <w:rPr>
          <w:rFonts w:ascii="Times New Roman" w:hAnsi="Times New Roman" w:cs="Times New Roman"/>
          <w:sz w:val="24"/>
          <w:szCs w:val="24"/>
        </w:rPr>
        <w:t xml:space="preserve">Misch F., Park B., Pizzinelli C., Sher G. Artificial Intelligence and Productivity in Europe. International Monetary Fund WP/25/67, April 2025. </w:t>
      </w:r>
      <w:r w:rsidR="009860D3" w:rsidRPr="00513439">
        <w:rPr>
          <w:rFonts w:ascii="Times New Roman" w:hAnsi="Times New Roman" w:cs="Times New Roman"/>
          <w:sz w:val="24"/>
          <w:szCs w:val="24"/>
        </w:rPr>
        <w:t>. On line. Assess February 21 2026.</w:t>
      </w:r>
    </w:p>
    <w:p w14:paraId="3671D909" w14:textId="093B49AA" w:rsidR="00653CC6" w:rsidRPr="00E009F0" w:rsidRDefault="009860D3" w:rsidP="009860D3">
      <w:pPr>
        <w:pStyle w:val="ListParagraph"/>
        <w:jc w:val="both"/>
        <w:rPr>
          <w:rFonts w:ascii="Times New Roman" w:hAnsi="Times New Roman" w:cs="Times New Roman"/>
          <w:sz w:val="24"/>
          <w:szCs w:val="24"/>
        </w:rPr>
      </w:pPr>
      <w:hyperlink r:id="rId34" w:history="1">
        <w:r w:rsidRPr="002E3933">
          <w:rPr>
            <w:rStyle w:val="Hyperlink"/>
            <w:rFonts w:ascii="Times New Roman" w:hAnsi="Times New Roman" w:cs="Times New Roman"/>
            <w:sz w:val="24"/>
            <w:szCs w:val="24"/>
          </w:rPr>
          <w:t>https://www.imf.org/-/media/files/publications/wp/2025/english/wpiea2025067-print-pdf.pdf</w:t>
        </w:r>
      </w:hyperlink>
    </w:p>
    <w:p w14:paraId="1EC90BCB" w14:textId="77777777" w:rsidR="009964B4" w:rsidRPr="00513439" w:rsidRDefault="009964B4" w:rsidP="009964B4">
      <w:pPr>
        <w:pStyle w:val="ListParagraph"/>
        <w:numPr>
          <w:ilvl w:val="0"/>
          <w:numId w:val="3"/>
        </w:numPr>
        <w:jc w:val="both"/>
        <w:rPr>
          <w:rFonts w:ascii="Times New Roman" w:hAnsi="Times New Roman" w:cs="Times New Roman"/>
          <w:sz w:val="24"/>
          <w:szCs w:val="24"/>
        </w:rPr>
      </w:pPr>
      <w:r w:rsidRPr="00513439">
        <w:rPr>
          <w:rFonts w:ascii="Times New Roman" w:hAnsi="Times New Roman" w:cs="Times New Roman"/>
          <w:sz w:val="24"/>
          <w:szCs w:val="24"/>
        </w:rPr>
        <w:t>Acemoglu D. The Simple Macroeconomics of AI. Economic Policy,  2024. On line. Assess February 21 2026.</w:t>
      </w:r>
    </w:p>
    <w:p w14:paraId="21D61AA1" w14:textId="77777777" w:rsidR="009964B4" w:rsidRPr="00513439" w:rsidRDefault="009964B4" w:rsidP="009964B4">
      <w:pPr>
        <w:pStyle w:val="ListParagraph"/>
        <w:jc w:val="both"/>
        <w:rPr>
          <w:rFonts w:ascii="Times New Roman" w:hAnsi="Times New Roman" w:cs="Times New Roman"/>
          <w:sz w:val="24"/>
          <w:szCs w:val="24"/>
        </w:rPr>
      </w:pPr>
      <w:hyperlink r:id="rId35" w:history="1">
        <w:r w:rsidRPr="00513439">
          <w:rPr>
            <w:rStyle w:val="Hyperlink"/>
            <w:rFonts w:ascii="Times New Roman" w:hAnsi="Times New Roman" w:cs="Times New Roman"/>
            <w:sz w:val="24"/>
            <w:szCs w:val="24"/>
          </w:rPr>
          <w:t>https://economics.mit.edu/sites/default/files/2024-10/The%20Simple%20Macroeconomics%20of%20AI.pdf</w:t>
        </w:r>
      </w:hyperlink>
    </w:p>
    <w:p w14:paraId="08BF1468" w14:textId="77777777" w:rsidR="009860D3" w:rsidRPr="00513439" w:rsidRDefault="009860D3" w:rsidP="009860D3">
      <w:pPr>
        <w:pStyle w:val="ListParagraph"/>
        <w:numPr>
          <w:ilvl w:val="0"/>
          <w:numId w:val="3"/>
        </w:numPr>
        <w:jc w:val="both"/>
        <w:rPr>
          <w:rFonts w:ascii="Times New Roman" w:hAnsi="Times New Roman" w:cs="Times New Roman"/>
          <w:sz w:val="24"/>
          <w:szCs w:val="24"/>
        </w:rPr>
      </w:pPr>
      <w:r w:rsidRPr="00513439">
        <w:rPr>
          <w:rFonts w:ascii="Times New Roman" w:hAnsi="Times New Roman" w:cs="Times New Roman"/>
          <w:sz w:val="24"/>
          <w:szCs w:val="24"/>
        </w:rPr>
        <w:t>Cazzaniga M., Jaumotte F., Li l., Melina G., Panton A.J.,  Pizzinelli C., Rockall E., Tavares M. M. Gen-AI: Artificial Intelligence and the Future of Work. International Monetary Fund SDN/2024/001, January 2024.  On line. Accessed March 5, 2026.</w:t>
      </w:r>
    </w:p>
    <w:p w14:paraId="257E7F2C" w14:textId="77777777" w:rsidR="009860D3" w:rsidRPr="00513439" w:rsidRDefault="009860D3" w:rsidP="009860D3">
      <w:pPr>
        <w:pStyle w:val="ListParagraph"/>
        <w:jc w:val="both"/>
        <w:rPr>
          <w:rFonts w:ascii="Times New Roman" w:hAnsi="Times New Roman" w:cs="Times New Roman"/>
          <w:sz w:val="24"/>
          <w:szCs w:val="24"/>
        </w:rPr>
      </w:pPr>
      <w:r w:rsidRPr="00513439">
        <w:rPr>
          <w:rFonts w:ascii="Times New Roman" w:hAnsi="Times New Roman" w:cs="Times New Roman"/>
          <w:sz w:val="24"/>
          <w:szCs w:val="24"/>
        </w:rPr>
        <w:t>https://www.jvi.org/fileadmin/jvi_files/News/2024/24WR04_Mar25/SLIDES_JVI_Webinar_24WR04_Artificial_Intelligence_Implications_for_the_Future_of_Work.pdf</w:t>
      </w:r>
    </w:p>
    <w:p w14:paraId="0250E394" w14:textId="3469CE81" w:rsidR="00000370" w:rsidRPr="00000370" w:rsidRDefault="0000037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Borgonovi F., Calvino F., Criscuolo C., Nania J., Nitschke J., O’Kane L., Samek L., Seitz H. Emerging Trends in AI skill Demand Across  14 OECD  Countries. OECD Artificial Intelligence Papers No.2. October 2023.</w:t>
      </w:r>
      <w:r w:rsidRPr="00000370">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4D3170FC" w14:textId="3F30E914" w:rsidR="00000370" w:rsidRDefault="00000370" w:rsidP="00000370">
      <w:pPr>
        <w:pStyle w:val="ListParagraph"/>
        <w:jc w:val="both"/>
        <w:rPr>
          <w:rFonts w:ascii="Times New Roman" w:hAnsi="Times New Roman" w:cs="Times New Roman"/>
          <w:sz w:val="24"/>
          <w:szCs w:val="24"/>
        </w:rPr>
      </w:pPr>
      <w:hyperlink r:id="rId36" w:history="1">
        <w:r w:rsidRPr="00C039A9">
          <w:rPr>
            <w:rStyle w:val="Hyperlink"/>
            <w:rFonts w:ascii="Times New Roman" w:hAnsi="Times New Roman" w:cs="Times New Roman"/>
            <w:sz w:val="24"/>
            <w:szCs w:val="24"/>
          </w:rPr>
          <w:t>https://www.oecd.org/content/dam/oecd/en/publications/reports/2023/10/emerging-trends-in-ai-skill-demand-across-14-oecd-countries_faabbb45/7c691b9a-en.pdf</w:t>
        </w:r>
      </w:hyperlink>
      <w:r>
        <w:rPr>
          <w:rFonts w:ascii="Times New Roman" w:hAnsi="Times New Roman" w:cs="Times New Roman"/>
          <w:sz w:val="24"/>
          <w:szCs w:val="24"/>
        </w:rPr>
        <w:t xml:space="preserve"> </w:t>
      </w:r>
    </w:p>
    <w:p w14:paraId="6BE91CCB" w14:textId="034AD8E9" w:rsidR="006B185D" w:rsidRDefault="006B185D">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The Fearless Future: 2025 Global AI  Jobs Barometer. PWC. June 2025.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F07536A" w14:textId="73D220D7" w:rsidR="006B185D" w:rsidRDefault="006B185D" w:rsidP="006B185D">
      <w:pPr>
        <w:pStyle w:val="ListParagraph"/>
        <w:jc w:val="both"/>
        <w:rPr>
          <w:rFonts w:ascii="Times New Roman" w:hAnsi="Times New Roman" w:cs="Times New Roman"/>
          <w:sz w:val="24"/>
          <w:szCs w:val="24"/>
        </w:rPr>
      </w:pPr>
      <w:hyperlink r:id="rId37" w:history="1">
        <w:r w:rsidRPr="00C039A9">
          <w:rPr>
            <w:rStyle w:val="Hyperlink"/>
            <w:rFonts w:ascii="Times New Roman" w:hAnsi="Times New Roman" w:cs="Times New Roman"/>
            <w:sz w:val="24"/>
            <w:szCs w:val="24"/>
          </w:rPr>
          <w:t>https://www.pwc.com/gx/en/issues/artificial-intelligence/job-barometer/2025/report.pdf</w:t>
        </w:r>
      </w:hyperlink>
    </w:p>
    <w:p w14:paraId="5B8ED6A4" w14:textId="2D674D25" w:rsidR="00AD29B6" w:rsidRDefault="00B80B3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Hood R., The AI Workforce: What LinkedIn data reveals  about ‘AI talent’ trends  in OECD.AI live data. LinkedIn Economic Graph Research Institute. May 2025. </w:t>
      </w:r>
      <w:r w:rsidR="00FA119B"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p>
    <w:p w14:paraId="72EB6163" w14:textId="2DCEE391" w:rsidR="000C4AFF" w:rsidRDefault="00AD29B6" w:rsidP="000C4AFF">
      <w:pPr>
        <w:pStyle w:val="ListParagraph"/>
        <w:jc w:val="both"/>
        <w:rPr>
          <w:rFonts w:ascii="Times New Roman" w:hAnsi="Times New Roman" w:cs="Times New Roman"/>
          <w:sz w:val="24"/>
          <w:szCs w:val="24"/>
        </w:rPr>
      </w:pPr>
      <w:hyperlink r:id="rId38" w:history="1">
        <w:r w:rsidRPr="00134F4A">
          <w:rPr>
            <w:rStyle w:val="Hyperlink"/>
            <w:rFonts w:ascii="Times New Roman" w:hAnsi="Times New Roman" w:cs="Times New Roman"/>
            <w:sz w:val="24"/>
            <w:szCs w:val="24"/>
          </w:rPr>
          <w:t>https://oecd.ai/en/wonk/ai-workforce-what-linkedin-data-reveals-about-ai-talent-trends-in-oecd-ai-live-data</w:t>
        </w:r>
      </w:hyperlink>
      <w:r>
        <w:rPr>
          <w:rFonts w:ascii="Times New Roman" w:hAnsi="Times New Roman" w:cs="Times New Roman"/>
          <w:sz w:val="24"/>
          <w:szCs w:val="24"/>
        </w:rPr>
        <w:t xml:space="preserve"> </w:t>
      </w:r>
    </w:p>
    <w:p w14:paraId="3AA09677" w14:textId="7CE563C0" w:rsidR="005D6DB5" w:rsidRPr="005D6DB5" w:rsidRDefault="005D6DB5">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Labour Market Report. Building a Future of Work That Works. LinkedIn Economic Graph Research Institute.  January 2026.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r>
        <w:rPr>
          <w:rFonts w:ascii="Times New Roman" w:hAnsi="Times New Roman" w:cs="Times New Roman"/>
          <w:sz w:val="24"/>
          <w:szCs w:val="24"/>
        </w:rPr>
        <w:t xml:space="preserve"> </w:t>
      </w:r>
      <w:hyperlink r:id="rId39" w:history="1">
        <w:r w:rsidRPr="00134F4A">
          <w:rPr>
            <w:rStyle w:val="Hyperlink"/>
            <w:rFonts w:ascii="Times New Roman" w:hAnsi="Times New Roman" w:cs="Times New Roman"/>
            <w:sz w:val="24"/>
            <w:szCs w:val="24"/>
          </w:rPr>
          <w:t>https://economicgraph.linkedin.com/content/dam/me/economicgraph/en-</w:t>
        </w:r>
        <w:r w:rsidRPr="00134F4A">
          <w:rPr>
            <w:rStyle w:val="Hyperlink"/>
            <w:rFonts w:ascii="Times New Roman" w:hAnsi="Times New Roman" w:cs="Times New Roman"/>
            <w:sz w:val="24"/>
            <w:szCs w:val="24"/>
          </w:rPr>
          <w:lastRenderedPageBreak/>
          <w:t>us/PDF/linkedIn-labor-market-report-building-a-future-of-work-that-works-jan-2026.pdf</w:t>
        </w:r>
      </w:hyperlink>
      <w:r w:rsidRPr="00320E7F">
        <w:rPr>
          <w:rFonts w:ascii="Times New Roman" w:hAnsi="Times New Roman" w:cs="Times New Roman"/>
          <w:sz w:val="24"/>
          <w:szCs w:val="24"/>
        </w:rPr>
        <w:t xml:space="preserve"> </w:t>
      </w:r>
    </w:p>
    <w:p w14:paraId="18458DCC" w14:textId="77777777" w:rsidR="005369BA" w:rsidRDefault="00C73D5D">
      <w:pPr>
        <w:pStyle w:val="ListParagraph"/>
        <w:numPr>
          <w:ilvl w:val="0"/>
          <w:numId w:val="3"/>
        </w:numPr>
        <w:jc w:val="both"/>
        <w:rPr>
          <w:rFonts w:ascii="Times New Roman" w:hAnsi="Times New Roman" w:cs="Times New Roman"/>
          <w:sz w:val="24"/>
          <w:szCs w:val="24"/>
        </w:rPr>
      </w:pPr>
      <w:r w:rsidRPr="00C73D5D">
        <w:rPr>
          <w:rFonts w:ascii="Times New Roman" w:hAnsi="Times New Roman" w:cs="Times New Roman"/>
          <w:sz w:val="24"/>
          <w:szCs w:val="24"/>
        </w:rPr>
        <w:t xml:space="preserve">Eurostat. The Use of Artificial Intelligence Technologies in the European Union – Key Results – 2026 Edition. Statistical Report KS-01-26-009, March 26, 2026. Online. Accessed </w:t>
      </w:r>
      <w:r>
        <w:rPr>
          <w:rFonts w:ascii="Times New Roman" w:hAnsi="Times New Roman" w:cs="Times New Roman"/>
          <w:sz w:val="24"/>
          <w:szCs w:val="24"/>
        </w:rPr>
        <w:t>March</w:t>
      </w:r>
      <w:r w:rsidRPr="00C73D5D">
        <w:rPr>
          <w:rFonts w:ascii="Times New Roman" w:hAnsi="Times New Roman" w:cs="Times New Roman"/>
          <w:sz w:val="24"/>
          <w:szCs w:val="24"/>
        </w:rPr>
        <w:t xml:space="preserve"> 2, 2026.</w:t>
      </w:r>
    </w:p>
    <w:p w14:paraId="2859B387" w14:textId="6CC5A742" w:rsidR="000C4AFF" w:rsidRDefault="003E5DEC" w:rsidP="005369BA">
      <w:pPr>
        <w:pStyle w:val="ListParagraph"/>
        <w:jc w:val="both"/>
        <w:rPr>
          <w:rFonts w:ascii="Times New Roman" w:hAnsi="Times New Roman" w:cs="Times New Roman"/>
          <w:sz w:val="24"/>
          <w:szCs w:val="24"/>
        </w:rPr>
      </w:pPr>
      <w:hyperlink r:id="rId40" w:history="1">
        <w:r w:rsidRPr="002E3933">
          <w:rPr>
            <w:rStyle w:val="Hyperlink"/>
            <w:rFonts w:ascii="Times New Roman" w:hAnsi="Times New Roman" w:cs="Times New Roman"/>
            <w:sz w:val="24"/>
            <w:szCs w:val="24"/>
          </w:rPr>
          <w:t>https://ec.europa.eu/eurostat/web/products-statistical-reports/w/ks-01-26-009</w:t>
        </w:r>
      </w:hyperlink>
      <w:r w:rsidR="00000370">
        <w:rPr>
          <w:rFonts w:ascii="Times New Roman" w:hAnsi="Times New Roman" w:cs="Times New Roman"/>
          <w:sz w:val="24"/>
          <w:szCs w:val="24"/>
        </w:rPr>
        <w:t xml:space="preserve"> </w:t>
      </w:r>
    </w:p>
    <w:p w14:paraId="5EC03911" w14:textId="19FFFDDB" w:rsidR="0025608E" w:rsidRDefault="0025608E" w:rsidP="0025608E">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K.Madon. The relationship between Artificial Intelligence (AI) exposure and returns to education. Central European Economic Journal, 11(58). December 2024.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0F5A18D8" w14:textId="77777777" w:rsidR="0025608E" w:rsidRPr="00D7124B" w:rsidRDefault="0025608E" w:rsidP="0025608E">
      <w:pPr>
        <w:pStyle w:val="ListParagraph"/>
        <w:jc w:val="both"/>
        <w:rPr>
          <w:rFonts w:ascii="Times New Roman" w:hAnsi="Times New Roman" w:cs="Times New Roman"/>
          <w:sz w:val="24"/>
          <w:szCs w:val="24"/>
        </w:rPr>
      </w:pPr>
      <w:hyperlink r:id="rId41" w:history="1">
        <w:r w:rsidRPr="00D7124B">
          <w:rPr>
            <w:rStyle w:val="Hyperlink"/>
            <w:rFonts w:ascii="Times New Roman" w:hAnsi="Times New Roman" w:cs="Times New Roman"/>
            <w:sz w:val="24"/>
            <w:szCs w:val="24"/>
          </w:rPr>
          <w:t>https://ibs.org.pl/wp-content/uploads/2025/03/Madon_the_relationship_between_AI_exposure_and_return_to_education.pdf</w:t>
        </w:r>
      </w:hyperlink>
      <w:r w:rsidRPr="00D7124B">
        <w:rPr>
          <w:rFonts w:ascii="Times New Roman" w:hAnsi="Times New Roman" w:cs="Times New Roman"/>
          <w:sz w:val="24"/>
          <w:szCs w:val="24"/>
        </w:rPr>
        <w:t xml:space="preserve"> </w:t>
      </w:r>
    </w:p>
    <w:p w14:paraId="20F47F31" w14:textId="3489CCF0" w:rsidR="0025608E" w:rsidRPr="00D7124B" w:rsidRDefault="003E5DEC">
      <w:pPr>
        <w:pStyle w:val="ListParagraph"/>
        <w:numPr>
          <w:ilvl w:val="0"/>
          <w:numId w:val="3"/>
        </w:numPr>
        <w:jc w:val="both"/>
        <w:rPr>
          <w:rFonts w:ascii="Times New Roman" w:hAnsi="Times New Roman" w:cs="Times New Roman"/>
          <w:sz w:val="24"/>
          <w:szCs w:val="24"/>
        </w:rPr>
      </w:pPr>
      <w:r w:rsidRPr="00D7124B">
        <w:rPr>
          <w:rFonts w:ascii="Times New Roman" w:hAnsi="Times New Roman" w:cs="Times New Roman"/>
          <w:sz w:val="24"/>
          <w:szCs w:val="24"/>
        </w:rPr>
        <w:t>Wooldridge J. M. Econometric Analysis of Cross Section and Panel Data. 2nd ed. MIT Press, 2010.</w:t>
      </w:r>
    </w:p>
    <w:p w14:paraId="057D0845" w14:textId="75E1A8EA" w:rsidR="00E33C89" w:rsidRDefault="00E33C89" w:rsidP="00E33C89">
      <w:pPr>
        <w:pStyle w:val="ListParagraph"/>
        <w:jc w:val="both"/>
        <w:rPr>
          <w:rFonts w:ascii="Times New Roman" w:hAnsi="Times New Roman" w:cs="Times New Roman"/>
          <w:sz w:val="24"/>
          <w:szCs w:val="24"/>
          <w:highlight w:val="yellow"/>
        </w:rPr>
      </w:pPr>
      <w:hyperlink r:id="rId42" w:history="1">
        <w:r w:rsidRPr="002E3933">
          <w:rPr>
            <w:rStyle w:val="Hyperlink"/>
            <w:rFonts w:ascii="Times New Roman" w:hAnsi="Times New Roman" w:cs="Times New Roman"/>
            <w:sz w:val="24"/>
            <w:szCs w:val="24"/>
          </w:rPr>
          <w:t>https://ipcid.org/evaluation/apoio/Wooldridge%20-%20Cross-section%20and%20Panel%20Data.pdf</w:t>
        </w:r>
      </w:hyperlink>
      <w:r>
        <w:rPr>
          <w:rFonts w:ascii="Times New Roman" w:hAnsi="Times New Roman" w:cs="Times New Roman"/>
          <w:sz w:val="24"/>
          <w:szCs w:val="24"/>
        </w:rPr>
        <w:t xml:space="preserve"> </w:t>
      </w:r>
    </w:p>
    <w:p w14:paraId="7794142C" w14:textId="7D06CFDF" w:rsidR="004B5B5B" w:rsidRPr="00673606" w:rsidRDefault="004B5B5B">
      <w:pPr>
        <w:pStyle w:val="ListParagraph"/>
        <w:numPr>
          <w:ilvl w:val="0"/>
          <w:numId w:val="3"/>
        </w:numPr>
        <w:jc w:val="both"/>
        <w:rPr>
          <w:rFonts w:ascii="Times New Roman" w:hAnsi="Times New Roman" w:cs="Times New Roman"/>
          <w:sz w:val="24"/>
          <w:szCs w:val="24"/>
        </w:rPr>
      </w:pPr>
      <w:commentRangeStart w:id="46"/>
      <w:r w:rsidRPr="00673606">
        <w:rPr>
          <w:rFonts w:ascii="Times New Roman" w:hAnsi="Times New Roman" w:cs="Times New Roman"/>
          <w:sz w:val="24"/>
          <w:szCs w:val="24"/>
          <w:highlight w:val="yellow"/>
        </w:rPr>
        <w:t>Martyniuk Y. AI Adoption, Wages and Skill Premiums in European Labour Markets: Replication Code and Data. Source code repository. GitHub, 2025. Online. Date of Access: M</w:t>
      </w:r>
      <w:r w:rsidR="002400DB">
        <w:rPr>
          <w:rFonts w:ascii="Times New Roman" w:hAnsi="Times New Roman" w:cs="Times New Roman"/>
          <w:sz w:val="24"/>
          <w:szCs w:val="24"/>
          <w:highlight w:val="yellow"/>
        </w:rPr>
        <w:t>ay</w:t>
      </w:r>
      <w:r w:rsidRPr="00673606">
        <w:rPr>
          <w:rFonts w:ascii="Times New Roman" w:hAnsi="Times New Roman" w:cs="Times New Roman"/>
          <w:sz w:val="24"/>
          <w:szCs w:val="24"/>
          <w:highlight w:val="yellow"/>
        </w:rPr>
        <w:t xml:space="preserve"> 12th 2026.</w:t>
      </w:r>
      <w:commentRangeEnd w:id="46"/>
      <w:r w:rsidR="00971BB0" w:rsidRPr="00673606">
        <w:rPr>
          <w:rStyle w:val="CommentReference"/>
          <w:rFonts w:ascii="Times New Roman" w:hAnsi="Times New Roman" w:cs="Times New Roman"/>
          <w:sz w:val="24"/>
          <w:szCs w:val="24"/>
        </w:rPr>
        <w:commentReference w:id="46"/>
      </w:r>
    </w:p>
    <w:p w14:paraId="06072EB3" w14:textId="301A2F44" w:rsidR="003E5DEC" w:rsidRDefault="003E5DEC">
      <w:pPr>
        <w:pStyle w:val="ListParagraph"/>
        <w:numPr>
          <w:ilvl w:val="0"/>
          <w:numId w:val="3"/>
        </w:numPr>
        <w:jc w:val="both"/>
        <w:rPr>
          <w:rFonts w:ascii="Times New Roman" w:hAnsi="Times New Roman" w:cs="Times New Roman"/>
          <w:sz w:val="24"/>
          <w:szCs w:val="24"/>
        </w:rPr>
      </w:pPr>
      <w:r w:rsidRPr="003E5DEC">
        <w:rPr>
          <w:rFonts w:ascii="Times New Roman" w:hAnsi="Times New Roman" w:cs="Times New Roman"/>
          <w:sz w:val="24"/>
          <w:szCs w:val="24"/>
        </w:rPr>
        <w:t>Brodeur A., Cook N., Heyes A., Stephens L. How Not to Deal with Missing Data: an Economist's Take on a Controversial Study. Retraction Watch, February 21, 2024. Online. Accessed March 15, 2026.</w:t>
      </w:r>
    </w:p>
    <w:p w14:paraId="06FC8ECF" w14:textId="2A0D478C" w:rsidR="003E5DEC" w:rsidRDefault="003E5DEC" w:rsidP="003E5DEC">
      <w:pPr>
        <w:pStyle w:val="ListParagraph"/>
        <w:jc w:val="both"/>
        <w:rPr>
          <w:rFonts w:ascii="Times New Roman" w:hAnsi="Times New Roman" w:cs="Times New Roman"/>
          <w:sz w:val="24"/>
          <w:szCs w:val="24"/>
        </w:rPr>
      </w:pPr>
      <w:hyperlink r:id="rId43" w:history="1">
        <w:r w:rsidRPr="002E3933">
          <w:rPr>
            <w:rStyle w:val="Hyperlink"/>
            <w:rFonts w:ascii="Times New Roman" w:hAnsi="Times New Roman" w:cs="Times New Roman"/>
            <w:sz w:val="24"/>
            <w:szCs w:val="24"/>
          </w:rPr>
          <w:t>https://retractionwatch.com/2024/02/21/how-not-to-deal-with-missing-data-an-economists-take-on-a-controversial-study/</w:t>
        </w:r>
      </w:hyperlink>
    </w:p>
    <w:p w14:paraId="750D0D61" w14:textId="6035F205" w:rsidR="003E5DEC" w:rsidRDefault="003E5DEC">
      <w:pPr>
        <w:pStyle w:val="ListParagraph"/>
        <w:numPr>
          <w:ilvl w:val="0"/>
          <w:numId w:val="3"/>
        </w:numPr>
        <w:jc w:val="both"/>
        <w:rPr>
          <w:rFonts w:ascii="Times New Roman" w:hAnsi="Times New Roman" w:cs="Times New Roman"/>
          <w:sz w:val="24"/>
          <w:szCs w:val="24"/>
        </w:rPr>
      </w:pPr>
      <w:r w:rsidRPr="003E5DEC">
        <w:rPr>
          <w:rFonts w:ascii="Times New Roman" w:hAnsi="Times New Roman" w:cs="Times New Roman"/>
          <w:sz w:val="24"/>
          <w:szCs w:val="24"/>
        </w:rPr>
        <w:t>European Central Bank (ECB). Fiscal Policy Measures in Response to the Energy and Inflation Shock. ECB Economic Bulletin, Box, Issue 1, February 2024. Online. Accessed March 17, 2026.</w:t>
      </w:r>
    </w:p>
    <w:p w14:paraId="0F5D886E" w14:textId="4A395356" w:rsidR="003E5DEC" w:rsidRDefault="003E5DEC" w:rsidP="003E5DEC">
      <w:pPr>
        <w:pStyle w:val="ListParagraph"/>
        <w:jc w:val="both"/>
        <w:rPr>
          <w:rFonts w:ascii="Times New Roman" w:hAnsi="Times New Roman" w:cs="Times New Roman"/>
          <w:sz w:val="24"/>
          <w:szCs w:val="24"/>
        </w:rPr>
      </w:pPr>
      <w:hyperlink r:id="rId44" w:history="1">
        <w:r w:rsidRPr="002E3933">
          <w:rPr>
            <w:rStyle w:val="Hyperlink"/>
            <w:rFonts w:ascii="Times New Roman" w:hAnsi="Times New Roman" w:cs="Times New Roman"/>
            <w:sz w:val="24"/>
            <w:szCs w:val="24"/>
          </w:rPr>
          <w:t>https://www.ecb.europa.eu/press/economic-bulletin/html/eb202401.en.html</w:t>
        </w:r>
      </w:hyperlink>
    </w:p>
    <w:p w14:paraId="60F67879" w14:textId="7B34B129" w:rsidR="003E5DEC" w:rsidRDefault="00D14050">
      <w:pPr>
        <w:pStyle w:val="ListParagraph"/>
        <w:numPr>
          <w:ilvl w:val="0"/>
          <w:numId w:val="3"/>
        </w:numPr>
        <w:jc w:val="both"/>
        <w:rPr>
          <w:rFonts w:ascii="Times New Roman" w:hAnsi="Times New Roman" w:cs="Times New Roman"/>
          <w:sz w:val="24"/>
          <w:szCs w:val="24"/>
        </w:rPr>
      </w:pPr>
      <w:r w:rsidRPr="00D14050">
        <w:rPr>
          <w:rFonts w:ascii="Times New Roman" w:hAnsi="Times New Roman" w:cs="Times New Roman"/>
          <w:sz w:val="24"/>
          <w:szCs w:val="24"/>
        </w:rPr>
        <w:t> Wooldridge J. M. Introductory Econometrics: A Modern Approach. 5th ed. South-Western Cengage Learning, 2013.</w:t>
      </w:r>
    </w:p>
    <w:p w14:paraId="36BB3DC0" w14:textId="200A76A1" w:rsidR="00D14050" w:rsidRDefault="00D14050" w:rsidP="00D14050">
      <w:pPr>
        <w:pStyle w:val="ListParagraph"/>
        <w:jc w:val="both"/>
        <w:rPr>
          <w:rFonts w:ascii="Times New Roman" w:hAnsi="Times New Roman" w:cs="Times New Roman"/>
          <w:sz w:val="24"/>
          <w:szCs w:val="24"/>
        </w:rPr>
      </w:pPr>
      <w:hyperlink r:id="rId45" w:history="1">
        <w:r w:rsidRPr="002E3933">
          <w:rPr>
            <w:rStyle w:val="Hyperlink"/>
            <w:rFonts w:ascii="Times New Roman" w:hAnsi="Times New Roman" w:cs="Times New Roman"/>
            <w:sz w:val="24"/>
            <w:szCs w:val="24"/>
          </w:rPr>
          <w:t>https://cbpbu.ac.in/userfiles/file/2020/STUDY_MAT/ECO/2.pdf</w:t>
        </w:r>
      </w:hyperlink>
    </w:p>
    <w:p w14:paraId="48CF4431" w14:textId="14735D4B" w:rsidR="00D14050" w:rsidRDefault="00D14050" w:rsidP="00D14050">
      <w:pPr>
        <w:pStyle w:val="ListParagraph"/>
        <w:numPr>
          <w:ilvl w:val="0"/>
          <w:numId w:val="3"/>
        </w:numPr>
        <w:jc w:val="both"/>
        <w:rPr>
          <w:rFonts w:ascii="Times New Roman" w:hAnsi="Times New Roman" w:cs="Times New Roman"/>
          <w:sz w:val="24"/>
          <w:szCs w:val="24"/>
        </w:rPr>
      </w:pPr>
      <w:r w:rsidRPr="00D14050">
        <w:rPr>
          <w:rFonts w:ascii="Times New Roman" w:hAnsi="Times New Roman" w:cs="Times New Roman"/>
          <w:sz w:val="24"/>
          <w:szCs w:val="24"/>
        </w:rPr>
        <w:t>Mundlak Y. On the Pooling of Time Series and Cross Section Data. </w:t>
      </w:r>
      <w:r w:rsidRPr="001A2169">
        <w:rPr>
          <w:rFonts w:ascii="Times New Roman" w:hAnsi="Times New Roman" w:cs="Times New Roman"/>
          <w:sz w:val="24"/>
          <w:szCs w:val="24"/>
        </w:rPr>
        <w:t>Econometrica</w:t>
      </w:r>
      <w:r w:rsidRPr="00D14050">
        <w:rPr>
          <w:rFonts w:ascii="Times New Roman" w:hAnsi="Times New Roman" w:cs="Times New Roman"/>
          <w:sz w:val="24"/>
          <w:szCs w:val="24"/>
        </w:rPr>
        <w:t>, 46(1), January 1978. Online. Accessed March 19, 2026.</w:t>
      </w:r>
    </w:p>
    <w:p w14:paraId="4A1EB7BB" w14:textId="5498E9F2" w:rsidR="00D14050" w:rsidRPr="00D14050" w:rsidRDefault="00E45CD5" w:rsidP="00D14050">
      <w:pPr>
        <w:pStyle w:val="ListParagraph"/>
        <w:jc w:val="both"/>
        <w:rPr>
          <w:rFonts w:ascii="Times New Roman" w:hAnsi="Times New Roman" w:cs="Times New Roman"/>
          <w:sz w:val="24"/>
          <w:szCs w:val="24"/>
        </w:rPr>
      </w:pPr>
      <w:hyperlink r:id="rId46" w:history="1">
        <w:r w:rsidRPr="002E3933">
          <w:rPr>
            <w:rStyle w:val="Hyperlink"/>
            <w:rFonts w:ascii="Times New Roman" w:hAnsi="Times New Roman" w:cs="Times New Roman"/>
            <w:sz w:val="24"/>
            <w:szCs w:val="24"/>
          </w:rPr>
          <w:t>https://pages.stern.nyu.edu/~wgreene/Economet</w:t>
        </w:r>
        <w:r w:rsidRPr="002E3933">
          <w:rPr>
            <w:rStyle w:val="Hyperlink"/>
            <w:rFonts w:ascii="Times New Roman" w:hAnsi="Times New Roman" w:cs="Times New Roman"/>
            <w:sz w:val="24"/>
            <w:szCs w:val="24"/>
          </w:rPr>
          <w:t>r</w:t>
        </w:r>
        <w:r w:rsidRPr="002E3933">
          <w:rPr>
            <w:rStyle w:val="Hyperlink"/>
            <w:rFonts w:ascii="Times New Roman" w:hAnsi="Times New Roman" w:cs="Times New Roman"/>
            <w:sz w:val="24"/>
            <w:szCs w:val="24"/>
          </w:rPr>
          <w:t>ics/Mundlak-1978.pdf</w:t>
        </w:r>
      </w:hyperlink>
      <w:r w:rsidR="00D14050" w:rsidRPr="00D14050">
        <w:rPr>
          <w:rFonts w:ascii="Times New Roman" w:hAnsi="Times New Roman" w:cs="Times New Roman"/>
          <w:sz w:val="24"/>
          <w:szCs w:val="24"/>
        </w:rPr>
        <w:t xml:space="preserve"> </w:t>
      </w:r>
    </w:p>
    <w:p w14:paraId="04A1C7B3" w14:textId="7C8B56A8" w:rsidR="00E45CD5" w:rsidRDefault="00E45CD5" w:rsidP="00E45CD5">
      <w:pPr>
        <w:pStyle w:val="ListParagraph"/>
        <w:numPr>
          <w:ilvl w:val="0"/>
          <w:numId w:val="3"/>
        </w:numPr>
        <w:jc w:val="both"/>
        <w:rPr>
          <w:rFonts w:ascii="Times New Roman" w:hAnsi="Times New Roman" w:cs="Times New Roman"/>
          <w:sz w:val="24"/>
          <w:szCs w:val="24"/>
        </w:rPr>
      </w:pPr>
      <w:r w:rsidRPr="00E45CD5">
        <w:rPr>
          <w:rFonts w:ascii="Times New Roman" w:hAnsi="Times New Roman" w:cs="Times New Roman"/>
          <w:sz w:val="24"/>
          <w:szCs w:val="24"/>
        </w:rPr>
        <w:t>Lo</w:t>
      </w:r>
      <w:r w:rsidR="001A2169">
        <w:rPr>
          <w:rFonts w:ascii="Times New Roman" w:hAnsi="Times New Roman" w:cs="Times New Roman"/>
          <w:sz w:val="24"/>
          <w:szCs w:val="24"/>
        </w:rPr>
        <w:t>ng</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J</w:t>
      </w:r>
      <w:r w:rsidRPr="00E45CD5">
        <w:rPr>
          <w:rFonts w:ascii="Times New Roman" w:hAnsi="Times New Roman" w:cs="Times New Roman"/>
          <w:sz w:val="24"/>
          <w:szCs w:val="24"/>
        </w:rPr>
        <w:t>.</w:t>
      </w:r>
      <w:r w:rsidR="001A2169">
        <w:rPr>
          <w:rFonts w:ascii="Times New Roman" w:hAnsi="Times New Roman" w:cs="Times New Roman"/>
          <w:sz w:val="24"/>
          <w:szCs w:val="24"/>
        </w:rPr>
        <w:t>S.</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Ervin</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L.H.</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Using Heteroscedasticity Consistent Standard Errors in the Linear Regression Models</w:t>
      </w:r>
      <w:r w:rsidRPr="00E45CD5">
        <w:rPr>
          <w:rFonts w:ascii="Times New Roman" w:hAnsi="Times New Roman" w:cs="Times New Roman"/>
          <w:sz w:val="24"/>
          <w:szCs w:val="24"/>
        </w:rPr>
        <w:t>. </w:t>
      </w:r>
      <w:r w:rsidR="001A2169" w:rsidRPr="001A2169">
        <w:rPr>
          <w:rFonts w:ascii="Times New Roman" w:hAnsi="Times New Roman" w:cs="Times New Roman"/>
          <w:sz w:val="24"/>
          <w:szCs w:val="24"/>
        </w:rPr>
        <w:t>The American</w:t>
      </w:r>
      <w:r w:rsidR="001A2169">
        <w:rPr>
          <w:rFonts w:ascii="Times New Roman" w:hAnsi="Times New Roman" w:cs="Times New Roman"/>
          <w:sz w:val="24"/>
          <w:szCs w:val="24"/>
        </w:rPr>
        <w:t xml:space="preserve"> Statistician, February 2000</w:t>
      </w:r>
      <w:r w:rsidR="001A2169">
        <w:rPr>
          <w:rFonts w:ascii="Times New Roman" w:hAnsi="Times New Roman" w:cs="Times New Roman"/>
          <w:i/>
          <w:iCs/>
          <w:sz w:val="24"/>
          <w:szCs w:val="24"/>
        </w:rPr>
        <w:t xml:space="preserve"> </w:t>
      </w:r>
      <w:r w:rsidRPr="00E45CD5">
        <w:rPr>
          <w:rFonts w:ascii="Times New Roman" w:hAnsi="Times New Roman" w:cs="Times New Roman"/>
          <w:sz w:val="24"/>
          <w:szCs w:val="24"/>
        </w:rPr>
        <w:t>. Online. Accessed March 20, 2026.</w:t>
      </w:r>
    </w:p>
    <w:p w14:paraId="1096B1F0" w14:textId="1019E07D" w:rsidR="00E45CD5" w:rsidRPr="00E45CD5" w:rsidRDefault="004355B1" w:rsidP="004355B1">
      <w:pPr>
        <w:pStyle w:val="ListParagraph"/>
        <w:jc w:val="both"/>
        <w:rPr>
          <w:rFonts w:ascii="Times New Roman" w:hAnsi="Times New Roman" w:cs="Times New Roman"/>
          <w:sz w:val="24"/>
          <w:szCs w:val="24"/>
        </w:rPr>
      </w:pPr>
      <w:hyperlink r:id="rId47" w:history="1">
        <w:r w:rsidRPr="002E3933">
          <w:rPr>
            <w:rStyle w:val="Hyperlink"/>
            <w:rFonts w:ascii="Times New Roman" w:hAnsi="Times New Roman" w:cs="Times New Roman"/>
            <w:sz w:val="24"/>
            <w:szCs w:val="24"/>
          </w:rPr>
          <w:t>https://nie</w:t>
        </w:r>
        <w:r w:rsidRPr="002E3933">
          <w:rPr>
            <w:rStyle w:val="Hyperlink"/>
            <w:rFonts w:ascii="Times New Roman" w:hAnsi="Times New Roman" w:cs="Times New Roman"/>
            <w:sz w:val="24"/>
            <w:szCs w:val="24"/>
          </w:rPr>
          <w:t>l</w:t>
        </w:r>
        <w:r w:rsidRPr="002E3933">
          <w:rPr>
            <w:rStyle w:val="Hyperlink"/>
            <w:rFonts w:ascii="Times New Roman" w:hAnsi="Times New Roman" w:cs="Times New Roman"/>
            <w:sz w:val="24"/>
            <w:szCs w:val="24"/>
          </w:rPr>
          <w:t>sen.sites.oasis.unc.edu/soci709/odocs/00TAS.pdf</w:t>
        </w:r>
      </w:hyperlink>
    </w:p>
    <w:p w14:paraId="2A53D0A7" w14:textId="3D65BEE1" w:rsidR="00E45CD5" w:rsidRDefault="009033EF">
      <w:pPr>
        <w:pStyle w:val="ListParagraph"/>
        <w:numPr>
          <w:ilvl w:val="0"/>
          <w:numId w:val="3"/>
        </w:numPr>
        <w:jc w:val="both"/>
        <w:rPr>
          <w:rFonts w:ascii="Times New Roman" w:hAnsi="Times New Roman" w:cs="Times New Roman"/>
          <w:sz w:val="24"/>
          <w:szCs w:val="24"/>
        </w:rPr>
      </w:pPr>
      <w:r w:rsidRPr="009033EF">
        <w:rPr>
          <w:rFonts w:ascii="Times New Roman" w:hAnsi="Times New Roman" w:cs="Times New Roman"/>
          <w:sz w:val="24"/>
          <w:szCs w:val="24"/>
        </w:rPr>
        <w:t>MacKinnon J. G., White H. Some Heteroskedasticity-Consistent Covariance Matrix Estimators with Improved Finite Sample Properties. Journal of Econometrics, 29(3), September 1985. Online. Accessed March 22, 2026.</w:t>
      </w:r>
    </w:p>
    <w:p w14:paraId="5B65B7FF" w14:textId="6CFA10FF" w:rsidR="00F03A58" w:rsidRDefault="00F03A58" w:rsidP="00F03A58">
      <w:pPr>
        <w:pStyle w:val="ListParagraph"/>
        <w:jc w:val="both"/>
        <w:rPr>
          <w:rFonts w:ascii="Times New Roman" w:hAnsi="Times New Roman" w:cs="Times New Roman"/>
          <w:sz w:val="24"/>
          <w:szCs w:val="24"/>
        </w:rPr>
      </w:pPr>
      <w:hyperlink r:id="rId48" w:history="1">
        <w:r w:rsidRPr="002E3933">
          <w:rPr>
            <w:rStyle w:val="Hyperlink"/>
            <w:rFonts w:ascii="Times New Roman" w:hAnsi="Times New Roman" w:cs="Times New Roman"/>
            <w:sz w:val="24"/>
            <w:szCs w:val="24"/>
          </w:rPr>
          <w:t>https://www.econstor.eu/bitstream/10419/189084/1/qed_wp_0537.pdf</w:t>
        </w:r>
      </w:hyperlink>
      <w:r>
        <w:rPr>
          <w:rFonts w:ascii="Times New Roman" w:hAnsi="Times New Roman" w:cs="Times New Roman"/>
          <w:sz w:val="24"/>
          <w:szCs w:val="24"/>
        </w:rPr>
        <w:t xml:space="preserve"> </w:t>
      </w:r>
    </w:p>
    <w:p w14:paraId="1737A501" w14:textId="04BD7194" w:rsidR="00D14050" w:rsidRDefault="00B44A79">
      <w:pPr>
        <w:pStyle w:val="ListParagraph"/>
        <w:numPr>
          <w:ilvl w:val="0"/>
          <w:numId w:val="3"/>
        </w:numPr>
        <w:jc w:val="both"/>
        <w:rPr>
          <w:rFonts w:ascii="Times New Roman" w:hAnsi="Times New Roman" w:cs="Times New Roman"/>
          <w:sz w:val="24"/>
          <w:szCs w:val="24"/>
        </w:rPr>
      </w:pPr>
      <w:r w:rsidRPr="00B44A79">
        <w:rPr>
          <w:rFonts w:ascii="Times New Roman" w:hAnsi="Times New Roman" w:cs="Times New Roman"/>
          <w:sz w:val="24"/>
          <w:szCs w:val="24"/>
        </w:rPr>
        <w:t>Allison P. D. When Can You Safely Ignore Multicollinearity? Statistical Horizons, September 10, 2012. Online. Accessed March 25, 2026.</w:t>
      </w:r>
      <w:r>
        <w:rPr>
          <w:rFonts w:ascii="Times New Roman" w:hAnsi="Times New Roman" w:cs="Times New Roman"/>
          <w:sz w:val="24"/>
          <w:szCs w:val="24"/>
        </w:rPr>
        <w:t xml:space="preserve"> </w:t>
      </w:r>
    </w:p>
    <w:p w14:paraId="1B552019" w14:textId="7518AB60" w:rsidR="00B44A79" w:rsidRDefault="00B44A79" w:rsidP="00B44A79">
      <w:pPr>
        <w:pStyle w:val="ListParagraph"/>
        <w:jc w:val="both"/>
        <w:rPr>
          <w:rFonts w:ascii="Times New Roman" w:hAnsi="Times New Roman" w:cs="Times New Roman"/>
          <w:sz w:val="24"/>
          <w:szCs w:val="24"/>
        </w:rPr>
      </w:pPr>
      <w:hyperlink r:id="rId49" w:history="1">
        <w:r w:rsidRPr="002E3933">
          <w:rPr>
            <w:rStyle w:val="Hyperlink"/>
            <w:rFonts w:ascii="Times New Roman" w:hAnsi="Times New Roman" w:cs="Times New Roman"/>
            <w:sz w:val="24"/>
            <w:szCs w:val="24"/>
          </w:rPr>
          <w:t>https://statisticalhorizons.com/multicollinearity/</w:t>
        </w:r>
      </w:hyperlink>
    </w:p>
    <w:p w14:paraId="05DD0E86" w14:textId="10CCFD8A" w:rsidR="00B44A79" w:rsidRDefault="00B44A79">
      <w:pPr>
        <w:pStyle w:val="ListParagraph"/>
        <w:numPr>
          <w:ilvl w:val="0"/>
          <w:numId w:val="3"/>
        </w:numPr>
        <w:jc w:val="both"/>
        <w:rPr>
          <w:rFonts w:ascii="Times New Roman" w:hAnsi="Times New Roman" w:cs="Times New Roman"/>
          <w:sz w:val="24"/>
          <w:szCs w:val="24"/>
        </w:rPr>
      </w:pPr>
      <w:r w:rsidRPr="00B44A79">
        <w:rPr>
          <w:rFonts w:ascii="Times New Roman" w:hAnsi="Times New Roman" w:cs="Times New Roman"/>
          <w:sz w:val="24"/>
          <w:szCs w:val="24"/>
        </w:rPr>
        <w:t>Brambor T., Clark W. R., Golder M. Understanding Interaction Models: Improving Empirical Analyses. Political Analysis, 14(1), 2006. Online. Accessed March 27, 2026.</w:t>
      </w:r>
    </w:p>
    <w:p w14:paraId="367E6EBD" w14:textId="59B057C1" w:rsidR="00B44A79" w:rsidRDefault="00B44A79" w:rsidP="00B44A79">
      <w:pPr>
        <w:pStyle w:val="ListParagraph"/>
        <w:jc w:val="both"/>
      </w:pPr>
      <w:hyperlink r:id="rId50" w:history="1">
        <w:r w:rsidRPr="002E3933">
          <w:rPr>
            <w:rStyle w:val="Hyperlink"/>
            <w:rFonts w:ascii="Times New Roman" w:hAnsi="Times New Roman" w:cs="Times New Roman"/>
            <w:sz w:val="24"/>
            <w:szCs w:val="24"/>
          </w:rPr>
          <w:t>https://spia.uga.edu/faculty_pages/tyler.scott/teaching/PADP8130_Spring2017/readings/brambor.et.al.2006.pdf</w:t>
        </w:r>
      </w:hyperlink>
    </w:p>
    <w:p w14:paraId="3237006B" w14:textId="51B6EBD1" w:rsidR="00B44A79" w:rsidRDefault="00B44A79" w:rsidP="00B44A79">
      <w:pPr>
        <w:pStyle w:val="ListParagraph"/>
        <w:numPr>
          <w:ilvl w:val="0"/>
          <w:numId w:val="3"/>
        </w:numPr>
        <w:jc w:val="both"/>
        <w:rPr>
          <w:rFonts w:ascii="Times New Roman" w:hAnsi="Times New Roman" w:cs="Times New Roman"/>
          <w:sz w:val="24"/>
          <w:szCs w:val="24"/>
        </w:rPr>
      </w:pPr>
      <w:r w:rsidRPr="00B44A79">
        <w:rPr>
          <w:rFonts w:ascii="Times New Roman" w:hAnsi="Times New Roman" w:cs="Times New Roman"/>
          <w:sz w:val="24"/>
          <w:szCs w:val="24"/>
        </w:rPr>
        <w:t>Falck O., Heimisch A., Wiederhold S. Returns to ICT Skills. OECD Education Working Papers No. 134, OECD Publishing, May 2016. Online. Accessed April 5, 2026.</w:t>
      </w:r>
    </w:p>
    <w:p w14:paraId="534C1066" w14:textId="035C64E2" w:rsidR="00B44A79" w:rsidRPr="00B44A79" w:rsidRDefault="00B271CB" w:rsidP="00B44A79">
      <w:pPr>
        <w:pStyle w:val="ListParagraph"/>
        <w:jc w:val="both"/>
        <w:rPr>
          <w:rFonts w:ascii="Times New Roman" w:hAnsi="Times New Roman" w:cs="Times New Roman"/>
          <w:sz w:val="24"/>
          <w:szCs w:val="24"/>
        </w:rPr>
      </w:pPr>
      <w:hyperlink r:id="rId51" w:history="1">
        <w:r w:rsidRPr="002E3933">
          <w:rPr>
            <w:rStyle w:val="Hyperlink"/>
            <w:rFonts w:ascii="Times New Roman" w:hAnsi="Times New Roman" w:cs="Times New Roman"/>
            <w:sz w:val="24"/>
            <w:szCs w:val="24"/>
          </w:rPr>
          <w:t>https://www.oecd.org/content/dam/oecd/en/publications/reports/2016/05/returns-to-ict-skills_g17a27d2/5jlzfl2p5rzq-en.pdf</w:t>
        </w:r>
      </w:hyperlink>
    </w:p>
    <w:p w14:paraId="63C4D698" w14:textId="77777777" w:rsidR="00820C02" w:rsidRDefault="00820C02" w:rsidP="00AE7CF2">
      <w:pPr>
        <w:pStyle w:val="ListParagraph"/>
        <w:numPr>
          <w:ilvl w:val="0"/>
          <w:numId w:val="3"/>
        </w:numPr>
        <w:jc w:val="both"/>
        <w:rPr>
          <w:rFonts w:ascii="Times New Roman" w:hAnsi="Times New Roman" w:cs="Times New Roman"/>
          <w:sz w:val="24"/>
          <w:szCs w:val="24"/>
        </w:rPr>
      </w:pPr>
      <w:r w:rsidRPr="00820C02">
        <w:rPr>
          <w:rFonts w:ascii="Times New Roman" w:hAnsi="Times New Roman" w:cs="Times New Roman"/>
          <w:sz w:val="24"/>
          <w:szCs w:val="24"/>
        </w:rPr>
        <w:t>Tomelleri A., Cutuli G., Signoretti A. Returns to ICT Skills in European Labour Markets, Trade Unions and Contractual Cleavages. IRVAPP Working Paper No. 2025-04, Research Institute for the Evaluation of Public Policies (IRVAPP), FBK, August 2025. Online. Date of Access: May 2nd 2026.</w:t>
      </w:r>
    </w:p>
    <w:p w14:paraId="21B45C79" w14:textId="566D6C1E" w:rsidR="00820C02" w:rsidRPr="00820C02" w:rsidRDefault="00820C02" w:rsidP="00820C02">
      <w:pPr>
        <w:pStyle w:val="ListParagraph"/>
        <w:jc w:val="both"/>
        <w:rPr>
          <w:rFonts w:ascii="Times New Roman" w:hAnsi="Times New Roman" w:cs="Times New Roman"/>
          <w:sz w:val="24"/>
          <w:szCs w:val="24"/>
        </w:rPr>
      </w:pPr>
      <w:hyperlink r:id="rId52" w:history="1">
        <w:r w:rsidRPr="002E3933">
          <w:rPr>
            <w:rStyle w:val="Hyperlink"/>
            <w:rFonts w:ascii="Times New Roman" w:hAnsi="Times New Roman" w:cs="Times New Roman"/>
            <w:sz w:val="24"/>
            <w:szCs w:val="24"/>
          </w:rPr>
          <w:t>https://irvapp.fbk.eu/wp-content/uploads/2025/08/WP_IRVAPP_2025_4.pdf</w:t>
        </w:r>
      </w:hyperlink>
      <w:r>
        <w:rPr>
          <w:rFonts w:ascii="Times New Roman" w:hAnsi="Times New Roman" w:cs="Times New Roman"/>
          <w:sz w:val="24"/>
          <w:szCs w:val="24"/>
        </w:rPr>
        <w:t xml:space="preserve"> </w:t>
      </w:r>
    </w:p>
    <w:p w14:paraId="684F537D" w14:textId="055D34F2" w:rsidR="00AE7CF2" w:rsidRPr="00AE7CF2" w:rsidRDefault="00AE7CF2" w:rsidP="00AE7CF2">
      <w:pPr>
        <w:pStyle w:val="ListParagraph"/>
        <w:numPr>
          <w:ilvl w:val="0"/>
          <w:numId w:val="3"/>
        </w:numPr>
        <w:jc w:val="both"/>
        <w:rPr>
          <w:rFonts w:ascii="Times New Roman" w:hAnsi="Times New Roman" w:cs="Times New Roman"/>
          <w:sz w:val="24"/>
          <w:szCs w:val="24"/>
        </w:rPr>
      </w:pPr>
      <w:r w:rsidRPr="00AE7CF2">
        <w:rPr>
          <w:rFonts w:ascii="Times New Roman" w:hAnsi="Times New Roman" w:cs="Times New Roman"/>
          <w:sz w:val="24"/>
          <w:szCs w:val="24"/>
        </w:rPr>
        <w:t>Barišić A., Ghodsi M., Stehrer R. Assessing the Impact of New Technologies on Wages and Labour Income Shares. wiiw Working Papers No. 240, The Vienna Institute for International Economic Studies (wiiw), January 2024. Online. Accessed April 10, 2026.</w:t>
      </w:r>
    </w:p>
    <w:p w14:paraId="20BF3B88" w14:textId="23F7CF0E" w:rsidR="00AE7CF2" w:rsidRPr="00AE7CF2" w:rsidRDefault="00350288" w:rsidP="00AE7CF2">
      <w:pPr>
        <w:pStyle w:val="ListParagraph"/>
        <w:jc w:val="both"/>
        <w:rPr>
          <w:rFonts w:ascii="Times New Roman" w:hAnsi="Times New Roman" w:cs="Times New Roman"/>
          <w:sz w:val="24"/>
          <w:szCs w:val="24"/>
        </w:rPr>
      </w:pPr>
      <w:hyperlink r:id="rId53" w:history="1">
        <w:r w:rsidRPr="002E3933">
          <w:rPr>
            <w:rStyle w:val="Hyperlink"/>
            <w:rFonts w:ascii="Times New Roman" w:hAnsi="Times New Roman" w:cs="Times New Roman"/>
            <w:sz w:val="24"/>
            <w:szCs w:val="24"/>
          </w:rPr>
          <w:t>https://wiiw.ac.at/assessing-the-impact-of-new-technologies-on-wages-and-labour-income-shares-dlp-6773.pdf</w:t>
        </w:r>
      </w:hyperlink>
    </w:p>
    <w:p w14:paraId="198EF5F8" w14:textId="19ED1429" w:rsidR="00B44A79" w:rsidRDefault="00350288" w:rsidP="00B44A79">
      <w:pPr>
        <w:pStyle w:val="ListParagraph"/>
        <w:numPr>
          <w:ilvl w:val="0"/>
          <w:numId w:val="3"/>
        </w:numPr>
        <w:jc w:val="both"/>
        <w:rPr>
          <w:rFonts w:ascii="Times New Roman" w:hAnsi="Times New Roman" w:cs="Times New Roman"/>
          <w:sz w:val="24"/>
          <w:szCs w:val="24"/>
        </w:rPr>
      </w:pPr>
      <w:r w:rsidRPr="00350288">
        <w:rPr>
          <w:rFonts w:ascii="Times New Roman" w:hAnsi="Times New Roman" w:cs="Times New Roman"/>
          <w:sz w:val="24"/>
          <w:szCs w:val="24"/>
        </w:rPr>
        <w:t>Pallotti F., Paz-Pardo G., Slacalek J., Tristani O., Violante G. L. The Unequal Impact of the 2021–22 Inflation Surge on Euro Area Households. ECB Research Bulletin No. 116, February 20, 2024. Online. Accessed April 12, 2026.</w:t>
      </w:r>
    </w:p>
    <w:p w14:paraId="53DC9564" w14:textId="0F57AD48" w:rsidR="00350288" w:rsidRDefault="00350288" w:rsidP="00350288">
      <w:pPr>
        <w:pStyle w:val="ListParagraph"/>
        <w:jc w:val="both"/>
        <w:rPr>
          <w:rFonts w:ascii="Times New Roman" w:hAnsi="Times New Roman" w:cs="Times New Roman"/>
          <w:sz w:val="24"/>
          <w:szCs w:val="24"/>
        </w:rPr>
      </w:pPr>
      <w:hyperlink r:id="rId54" w:history="1">
        <w:r w:rsidRPr="002E3933">
          <w:rPr>
            <w:rStyle w:val="Hyperlink"/>
            <w:rFonts w:ascii="Times New Roman" w:hAnsi="Times New Roman" w:cs="Times New Roman"/>
            <w:sz w:val="24"/>
            <w:szCs w:val="24"/>
          </w:rPr>
          <w:t>https://www.ecb.europa.eu/press/research-publications/resbull/2024/html/ecb.rb240220~a77abebe0e.en.html</w:t>
        </w:r>
      </w:hyperlink>
    </w:p>
    <w:p w14:paraId="43EB513E" w14:textId="77777777" w:rsidR="00350288" w:rsidRDefault="00350288" w:rsidP="00350288">
      <w:pPr>
        <w:pStyle w:val="ListParagraph"/>
        <w:numPr>
          <w:ilvl w:val="0"/>
          <w:numId w:val="3"/>
        </w:numPr>
        <w:jc w:val="both"/>
        <w:rPr>
          <w:rFonts w:ascii="Times New Roman" w:hAnsi="Times New Roman" w:cs="Times New Roman"/>
          <w:sz w:val="24"/>
          <w:szCs w:val="24"/>
        </w:rPr>
      </w:pPr>
      <w:r w:rsidRPr="00350288">
        <w:rPr>
          <w:rFonts w:ascii="Times New Roman" w:hAnsi="Times New Roman" w:cs="Times New Roman"/>
          <w:sz w:val="24"/>
          <w:szCs w:val="24"/>
        </w:rPr>
        <w:t>Clark T. S., Linzer D. A. Should I Use Fixed or Random Effects</w:t>
      </w:r>
      <w:r w:rsidRPr="004E6558">
        <w:rPr>
          <w:rFonts w:ascii="Times New Roman" w:hAnsi="Times New Roman" w:cs="Times New Roman"/>
          <w:sz w:val="24"/>
          <w:szCs w:val="24"/>
        </w:rPr>
        <w:t xml:space="preserve">? Political Science Research and Methods, </w:t>
      </w:r>
      <w:r w:rsidRPr="00350288">
        <w:rPr>
          <w:rFonts w:ascii="Times New Roman" w:hAnsi="Times New Roman" w:cs="Times New Roman"/>
          <w:sz w:val="24"/>
          <w:szCs w:val="24"/>
        </w:rPr>
        <w:t>3(2), May 2015. Online. Accessed April 15, 2026.</w:t>
      </w:r>
    </w:p>
    <w:p w14:paraId="6C146AD6" w14:textId="1EC4D325" w:rsidR="00350288" w:rsidRPr="00350288" w:rsidRDefault="00350288" w:rsidP="00350288">
      <w:pPr>
        <w:pStyle w:val="ListParagraph"/>
        <w:jc w:val="both"/>
        <w:rPr>
          <w:rFonts w:ascii="Times New Roman" w:hAnsi="Times New Roman" w:cs="Times New Roman"/>
          <w:sz w:val="24"/>
          <w:szCs w:val="24"/>
        </w:rPr>
      </w:pPr>
      <w:hyperlink r:id="rId55" w:history="1">
        <w:r w:rsidRPr="002E3933">
          <w:rPr>
            <w:rStyle w:val="Hyperlink"/>
            <w:rFonts w:ascii="Times New Roman" w:hAnsi="Times New Roman" w:cs="Times New Roman"/>
            <w:sz w:val="24"/>
            <w:szCs w:val="24"/>
          </w:rPr>
          <w:t>https://www.jayskaufman.com/uploads/3/0/8/9/30891283/clark_linzer_use_fixed_or_random_effects_political_science_research_&amp;_methods_2015.pdf</w:t>
        </w:r>
      </w:hyperlink>
    </w:p>
    <w:p w14:paraId="7A355BEC" w14:textId="33919FBB" w:rsidR="00350288" w:rsidRDefault="005B24F2" w:rsidP="00350288">
      <w:pPr>
        <w:pStyle w:val="ListParagraph"/>
        <w:numPr>
          <w:ilvl w:val="0"/>
          <w:numId w:val="3"/>
        </w:numPr>
        <w:jc w:val="both"/>
        <w:rPr>
          <w:rFonts w:ascii="Times New Roman" w:hAnsi="Times New Roman" w:cs="Times New Roman"/>
          <w:sz w:val="24"/>
          <w:szCs w:val="24"/>
        </w:rPr>
      </w:pPr>
      <w:r w:rsidRPr="005B24F2">
        <w:rPr>
          <w:rFonts w:ascii="Times New Roman" w:hAnsi="Times New Roman" w:cs="Times New Roman"/>
          <w:sz w:val="24"/>
          <w:szCs w:val="24"/>
        </w:rPr>
        <w:t>Graetz G., Michaels G. Robots at Work</w:t>
      </w:r>
      <w:r w:rsidRPr="004E6558">
        <w:rPr>
          <w:rFonts w:ascii="Times New Roman" w:hAnsi="Times New Roman" w:cs="Times New Roman"/>
          <w:sz w:val="24"/>
          <w:szCs w:val="24"/>
        </w:rPr>
        <w:t>. Review of Economics and Statistics,</w:t>
      </w:r>
      <w:r w:rsidRPr="005B24F2">
        <w:rPr>
          <w:rFonts w:ascii="Times New Roman" w:hAnsi="Times New Roman" w:cs="Times New Roman"/>
          <w:sz w:val="24"/>
          <w:szCs w:val="24"/>
        </w:rPr>
        <w:t xml:space="preserve"> 100(5), December 2018. Online. Accessed April 17, 2026.</w:t>
      </w:r>
    </w:p>
    <w:p w14:paraId="63F226EC" w14:textId="062A978B" w:rsidR="005B24F2" w:rsidRPr="005B24F2" w:rsidRDefault="005B24F2" w:rsidP="005B24F2">
      <w:pPr>
        <w:pStyle w:val="ListParagraph"/>
        <w:jc w:val="both"/>
        <w:rPr>
          <w:rFonts w:ascii="Times New Roman" w:hAnsi="Times New Roman" w:cs="Times New Roman"/>
          <w:sz w:val="24"/>
          <w:szCs w:val="24"/>
        </w:rPr>
      </w:pPr>
      <w:hyperlink r:id="rId56" w:history="1">
        <w:r w:rsidRPr="002E3933">
          <w:rPr>
            <w:rStyle w:val="Hyperlink"/>
            <w:rFonts w:ascii="Times New Roman" w:hAnsi="Times New Roman" w:cs="Times New Roman"/>
            <w:sz w:val="24"/>
            <w:szCs w:val="24"/>
          </w:rPr>
          <w:t>https://personal.lse.ac.uk/michaels/graetz_michaels_robots.pdf</w:t>
        </w:r>
      </w:hyperlink>
    </w:p>
    <w:p w14:paraId="55C0667F" w14:textId="770D0921" w:rsidR="00350288" w:rsidRDefault="004E6558" w:rsidP="00350288">
      <w:pPr>
        <w:pStyle w:val="ListParagraph"/>
        <w:numPr>
          <w:ilvl w:val="0"/>
          <w:numId w:val="3"/>
        </w:numPr>
        <w:jc w:val="both"/>
        <w:rPr>
          <w:rFonts w:ascii="Times New Roman" w:hAnsi="Times New Roman" w:cs="Times New Roman"/>
          <w:sz w:val="24"/>
          <w:szCs w:val="24"/>
        </w:rPr>
      </w:pPr>
      <w:r w:rsidRPr="004E6558">
        <w:rPr>
          <w:rFonts w:ascii="Times New Roman" w:hAnsi="Times New Roman" w:cs="Times New Roman"/>
          <w:sz w:val="24"/>
          <w:szCs w:val="24"/>
        </w:rPr>
        <w:t>Dearden L., Reed H., Van Reenen J. The Impact of Training on Productivity and Wages: Evidence from British Panel Data. IFS Working Papers No. 05/16, Institute for Fiscal Studies, London, 2005. Online. Accessed April 22, 2026.</w:t>
      </w:r>
    </w:p>
    <w:p w14:paraId="068E73AB" w14:textId="0CEE055E" w:rsidR="00932BFD" w:rsidRPr="00932BFD" w:rsidRDefault="00932BFD" w:rsidP="00932BFD">
      <w:pPr>
        <w:pStyle w:val="ListParagraph"/>
        <w:jc w:val="both"/>
        <w:rPr>
          <w:rFonts w:ascii="Times New Roman" w:hAnsi="Times New Roman" w:cs="Times New Roman"/>
          <w:sz w:val="24"/>
          <w:szCs w:val="24"/>
        </w:rPr>
      </w:pPr>
      <w:hyperlink r:id="rId57" w:history="1">
        <w:r w:rsidRPr="002E3933">
          <w:rPr>
            <w:rStyle w:val="Hyperlink"/>
            <w:rFonts w:ascii="Times New Roman" w:hAnsi="Times New Roman" w:cs="Times New Roman"/>
            <w:sz w:val="24"/>
            <w:szCs w:val="24"/>
          </w:rPr>
          <w:t>https://www.econstor.eu/bitstream/10419/71451/1/497258285.pdf</w:t>
        </w:r>
      </w:hyperlink>
    </w:p>
    <w:p w14:paraId="4C7A2FF4" w14:textId="7D07B726" w:rsidR="00932BFD" w:rsidRDefault="000F5BA8" w:rsidP="00350288">
      <w:pPr>
        <w:pStyle w:val="ListParagraph"/>
        <w:numPr>
          <w:ilvl w:val="0"/>
          <w:numId w:val="3"/>
        </w:numPr>
        <w:jc w:val="both"/>
        <w:rPr>
          <w:rFonts w:ascii="Times New Roman" w:hAnsi="Times New Roman" w:cs="Times New Roman"/>
          <w:sz w:val="24"/>
          <w:szCs w:val="24"/>
        </w:rPr>
      </w:pPr>
      <w:r w:rsidRPr="000F5BA8">
        <w:rPr>
          <w:rFonts w:ascii="Times New Roman" w:hAnsi="Times New Roman" w:cs="Times New Roman"/>
          <w:sz w:val="24"/>
          <w:szCs w:val="24"/>
        </w:rPr>
        <w:t>Kropko J., Kubinec R. Interpretation and Identification of Within-Unit and Cross-Sectional Variation in Panel Data Models. PLOS ONE, 15(4): e0231349, April 21, 2020. Online. Accessed April 22, 2026.</w:t>
      </w:r>
    </w:p>
    <w:p w14:paraId="0020B872" w14:textId="11002BE5" w:rsidR="000F5BA8" w:rsidRPr="000F5BA8" w:rsidRDefault="000F5BA8" w:rsidP="000F5BA8">
      <w:pPr>
        <w:pStyle w:val="ListParagraph"/>
        <w:jc w:val="both"/>
        <w:rPr>
          <w:rFonts w:ascii="Times New Roman" w:hAnsi="Times New Roman" w:cs="Times New Roman"/>
          <w:sz w:val="24"/>
          <w:szCs w:val="24"/>
        </w:rPr>
      </w:pPr>
      <w:hyperlink r:id="rId58" w:history="1">
        <w:r w:rsidRPr="002E3933">
          <w:rPr>
            <w:rStyle w:val="Hyperlink"/>
            <w:rFonts w:ascii="Times New Roman" w:hAnsi="Times New Roman" w:cs="Times New Roman"/>
            <w:sz w:val="24"/>
            <w:szCs w:val="24"/>
          </w:rPr>
          <w:t>https://journals.plos.org/plosone/article?id=10.1371/journal.pone.0231349</w:t>
        </w:r>
      </w:hyperlink>
      <w:r w:rsidRPr="000F5BA8">
        <w:rPr>
          <w:rFonts w:ascii="Times New Roman" w:hAnsi="Times New Roman" w:cs="Times New Roman"/>
          <w:sz w:val="24"/>
          <w:szCs w:val="24"/>
        </w:rPr>
        <w:t xml:space="preserve"> </w:t>
      </w:r>
    </w:p>
    <w:p w14:paraId="5758AE3A" w14:textId="77777777" w:rsidR="000F5BA8" w:rsidRPr="00350288" w:rsidRDefault="000F5BA8" w:rsidP="000F5BA8">
      <w:pPr>
        <w:pStyle w:val="ListParagraph"/>
        <w:jc w:val="both"/>
        <w:rPr>
          <w:rFonts w:ascii="Times New Roman" w:hAnsi="Times New Roman" w:cs="Times New Roman"/>
          <w:sz w:val="24"/>
          <w:szCs w:val="24"/>
        </w:rPr>
      </w:pPr>
    </w:p>
    <w:p w14:paraId="4F915C13" w14:textId="77777777" w:rsidR="00876FA7" w:rsidRPr="0070518E" w:rsidRDefault="00876FA7" w:rsidP="00876FA7">
      <w:pPr>
        <w:pStyle w:val="ListParagraph"/>
        <w:jc w:val="both"/>
        <w:rPr>
          <w:rFonts w:ascii="Times New Roman" w:hAnsi="Times New Roman" w:cs="Times New Roman"/>
          <w:sz w:val="24"/>
          <w:szCs w:val="24"/>
        </w:rPr>
      </w:pPr>
    </w:p>
    <w:p w14:paraId="53694F97" w14:textId="77777777" w:rsidR="0070518E" w:rsidRDefault="0070518E" w:rsidP="00965410">
      <w:pPr>
        <w:pStyle w:val="ListParagraph"/>
        <w:jc w:val="both"/>
        <w:rPr>
          <w:rFonts w:ascii="Times New Roman" w:hAnsi="Times New Roman" w:cs="Times New Roman"/>
          <w:sz w:val="24"/>
          <w:szCs w:val="24"/>
        </w:rPr>
      </w:pPr>
    </w:p>
    <w:p w14:paraId="76230A30" w14:textId="77777777" w:rsidR="007A5AA5" w:rsidRDefault="007A5AA5" w:rsidP="00122515">
      <w:pPr>
        <w:pStyle w:val="ListParagraph"/>
        <w:rPr>
          <w:rFonts w:ascii="Times New Roman" w:hAnsi="Times New Roman" w:cs="Times New Roman"/>
          <w:sz w:val="24"/>
          <w:szCs w:val="24"/>
        </w:rPr>
      </w:pPr>
    </w:p>
    <w:p w14:paraId="04C04243" w14:textId="77777777" w:rsidR="007A5AA5" w:rsidRDefault="007A5AA5" w:rsidP="00122515">
      <w:pPr>
        <w:pStyle w:val="ListParagraph"/>
        <w:rPr>
          <w:rFonts w:ascii="Times New Roman" w:hAnsi="Times New Roman" w:cs="Times New Roman"/>
          <w:sz w:val="24"/>
          <w:szCs w:val="24"/>
        </w:rPr>
      </w:pPr>
    </w:p>
    <w:p w14:paraId="39535F51" w14:textId="77777777" w:rsidR="007A5AA5" w:rsidRDefault="007A5AA5" w:rsidP="00122515">
      <w:pPr>
        <w:pStyle w:val="ListParagraph"/>
        <w:rPr>
          <w:rFonts w:ascii="Times New Roman" w:hAnsi="Times New Roman" w:cs="Times New Roman"/>
          <w:sz w:val="24"/>
          <w:szCs w:val="24"/>
        </w:rPr>
      </w:pPr>
    </w:p>
    <w:p w14:paraId="32C31079" w14:textId="77777777" w:rsidR="004B796B" w:rsidRDefault="004B796B" w:rsidP="00122515">
      <w:pPr>
        <w:pStyle w:val="ListParagraph"/>
        <w:rPr>
          <w:rFonts w:ascii="Times New Roman" w:hAnsi="Times New Roman" w:cs="Times New Roman"/>
          <w:sz w:val="24"/>
          <w:szCs w:val="24"/>
        </w:rPr>
      </w:pPr>
    </w:p>
    <w:p w14:paraId="5DBCF63C" w14:textId="77777777" w:rsidR="004B796B" w:rsidRDefault="004B796B" w:rsidP="00122515">
      <w:pPr>
        <w:pStyle w:val="ListParagraph"/>
        <w:rPr>
          <w:rFonts w:ascii="Times New Roman" w:hAnsi="Times New Roman" w:cs="Times New Roman"/>
          <w:sz w:val="24"/>
          <w:szCs w:val="24"/>
        </w:rPr>
      </w:pPr>
    </w:p>
    <w:p w14:paraId="583E08A3" w14:textId="77777777" w:rsidR="004B796B" w:rsidRDefault="004B796B" w:rsidP="00122515">
      <w:pPr>
        <w:pStyle w:val="ListParagraph"/>
        <w:rPr>
          <w:rFonts w:ascii="Times New Roman" w:hAnsi="Times New Roman" w:cs="Times New Roman"/>
          <w:sz w:val="24"/>
          <w:szCs w:val="24"/>
        </w:rPr>
      </w:pPr>
    </w:p>
    <w:p w14:paraId="103835CD" w14:textId="77777777" w:rsidR="004B796B" w:rsidRDefault="004B796B" w:rsidP="00122515">
      <w:pPr>
        <w:pStyle w:val="ListParagraph"/>
        <w:rPr>
          <w:rFonts w:ascii="Times New Roman" w:hAnsi="Times New Roman" w:cs="Times New Roman"/>
          <w:sz w:val="24"/>
          <w:szCs w:val="24"/>
        </w:rPr>
      </w:pPr>
    </w:p>
    <w:p w14:paraId="30EDE588" w14:textId="77777777" w:rsidR="004B796B" w:rsidRDefault="004B796B" w:rsidP="00122515">
      <w:pPr>
        <w:pStyle w:val="ListParagraph"/>
        <w:rPr>
          <w:rFonts w:ascii="Times New Roman" w:hAnsi="Times New Roman" w:cs="Times New Roman"/>
          <w:sz w:val="24"/>
          <w:szCs w:val="24"/>
        </w:rPr>
      </w:pPr>
    </w:p>
    <w:p w14:paraId="3A6D9BA7" w14:textId="77777777" w:rsidR="008C7EFA" w:rsidRPr="008C7EFA" w:rsidRDefault="008C7EFA">
      <w:pPr>
        <w:rPr>
          <w:rFonts w:ascii="Times New Roman" w:hAnsi="Times New Roman" w:cs="Times New Roman"/>
          <w:sz w:val="24"/>
          <w:szCs w:val="24"/>
        </w:rPr>
      </w:pPr>
    </w:p>
    <w:p w14:paraId="439D60FF" w14:textId="77777777" w:rsidR="008C7EFA" w:rsidRPr="008C7EFA" w:rsidRDefault="008C7EFA">
      <w:pPr>
        <w:rPr>
          <w:rFonts w:ascii="Times New Roman" w:hAnsi="Times New Roman" w:cs="Times New Roman"/>
          <w:sz w:val="24"/>
          <w:szCs w:val="24"/>
        </w:rPr>
      </w:pPr>
    </w:p>
    <w:p w14:paraId="709E5FFA" w14:textId="3153327B" w:rsidR="009A7B38" w:rsidRPr="00EA04C9" w:rsidRDefault="009A7B38" w:rsidP="009A7B38">
      <w:pPr>
        <w:pStyle w:val="Heading2"/>
        <w:rPr>
          <w:rFonts w:ascii="Times New Roman" w:hAnsi="Times New Roman" w:cs="Times New Roman"/>
          <w:sz w:val="24"/>
          <w:szCs w:val="24"/>
        </w:rPr>
      </w:pPr>
      <w:bookmarkStart w:id="47" w:name="_Toc230044149"/>
      <w:r w:rsidRPr="00EA04C9">
        <w:rPr>
          <w:rFonts w:ascii="Times New Roman" w:hAnsi="Times New Roman" w:cs="Times New Roman"/>
          <w:sz w:val="24"/>
          <w:szCs w:val="24"/>
        </w:rPr>
        <w:t>Appendix</w:t>
      </w:r>
      <w:bookmarkEnd w:id="47"/>
      <w:r w:rsidRPr="00EA04C9">
        <w:rPr>
          <w:rFonts w:ascii="Times New Roman" w:hAnsi="Times New Roman" w:cs="Times New Roman"/>
          <w:sz w:val="24"/>
          <w:szCs w:val="24"/>
        </w:rPr>
        <w:t xml:space="preserve"> </w:t>
      </w:r>
    </w:p>
    <w:p w14:paraId="112984BA" w14:textId="7AF1E614" w:rsidR="00924E4D" w:rsidRDefault="000C6080">
      <w:pPr>
        <w:rPr>
          <w:rFonts w:ascii="Times New Roman" w:hAnsi="Times New Roman" w:cs="Times New Roman"/>
          <w:sz w:val="24"/>
          <w:szCs w:val="24"/>
        </w:rPr>
      </w:pPr>
      <w:r w:rsidRPr="000C6080">
        <w:rPr>
          <w:rFonts w:ascii="Times New Roman" w:hAnsi="Times New Roman" w:cs="Times New Roman"/>
          <w:noProof/>
          <w:sz w:val="24"/>
          <w:szCs w:val="24"/>
        </w:rPr>
        <w:drawing>
          <wp:inline distT="0" distB="0" distL="0" distR="0" wp14:anchorId="2D147A23" wp14:editId="6068769B">
            <wp:extent cx="5759450" cy="4600575"/>
            <wp:effectExtent l="0" t="0" r="0" b="9525"/>
            <wp:docPr id="154591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10015" name=""/>
                    <pic:cNvPicPr/>
                  </pic:nvPicPr>
                  <pic:blipFill>
                    <a:blip r:embed="rId59"/>
                    <a:stretch>
                      <a:fillRect/>
                    </a:stretch>
                  </pic:blipFill>
                  <pic:spPr>
                    <a:xfrm>
                      <a:off x="0" y="0"/>
                      <a:ext cx="5759450" cy="4600575"/>
                    </a:xfrm>
                    <a:prstGeom prst="rect">
                      <a:avLst/>
                    </a:prstGeom>
                  </pic:spPr>
                </pic:pic>
              </a:graphicData>
            </a:graphic>
          </wp:inline>
        </w:drawing>
      </w:r>
    </w:p>
    <w:p w14:paraId="12D1FB5F" w14:textId="77777777" w:rsidR="00E83372" w:rsidRDefault="000C6080">
      <w:pPr>
        <w:rPr>
          <w:rFonts w:ascii="Times New Roman" w:hAnsi="Times New Roman" w:cs="Times New Roman"/>
          <w:sz w:val="24"/>
          <w:szCs w:val="24"/>
          <w:highlight w:val="yellow"/>
        </w:rPr>
      </w:pPr>
      <w:r w:rsidRPr="00E83372">
        <w:rPr>
          <w:rStyle w:val="FigurethesisChar"/>
          <w:highlight w:val="yellow"/>
        </w:rPr>
        <w:t>Figure A1. Empirical distributions of panel variables: kernel density estimates with histogram overlays, 2021–2024.</w:t>
      </w:r>
    </w:p>
    <w:p w14:paraId="0088A710" w14:textId="77777777" w:rsidR="00E83372" w:rsidRDefault="000C6080">
      <w:pPr>
        <w:rPr>
          <w:rStyle w:val="fig3thesisChar"/>
          <w:highlight w:val="yellow"/>
        </w:rPr>
      </w:pPr>
      <w:r w:rsidRPr="00E83372">
        <w:rPr>
          <w:rStyle w:val="fig3thesisChar"/>
          <w:highlight w:val="yellow"/>
        </w:rPr>
        <w:t>Filed to: see individual variable units  EUR/hour (real_wage), EUR/employee (productivity), EUR per capita (gdp), percentage of enterprises (ai_adoption, spec_ict, training_ict, FSI), percentage of employed (share_high_skill, tert_edu), percent (unempl_r, infl_r).</w:t>
      </w:r>
    </w:p>
    <w:p w14:paraId="450702D4" w14:textId="042452C9" w:rsidR="000C6080" w:rsidRDefault="000C6080">
      <w:pPr>
        <w:rPr>
          <w:rFonts w:ascii="Times New Roman" w:hAnsi="Times New Roman" w:cs="Times New Roman"/>
          <w:sz w:val="24"/>
          <w:szCs w:val="24"/>
        </w:rPr>
      </w:pPr>
      <w:r w:rsidRPr="00E83372">
        <w:rPr>
          <w:rStyle w:val="fig3thesisChar"/>
          <w:highlight w:val="yellow"/>
        </w:rPr>
        <w:t>Source: own study based on Eurostat enterprise and labour market surveys (isoc_eb_ain2, isoc_ske_itspen2, isoc_ske_ittn2, nama_10_a64_e, sbs_sc_ovw, lfs, tps00203, tec00118, nama_10_pc), 2021–2024.</w:t>
      </w:r>
    </w:p>
    <w:p w14:paraId="76366236" w14:textId="6E7FDB57" w:rsidR="000C6080" w:rsidRPr="00EA04C9" w:rsidRDefault="009D47B2">
      <w:pPr>
        <w:rPr>
          <w:rFonts w:ascii="Times New Roman" w:hAnsi="Times New Roman" w:cs="Times New Roman"/>
          <w:sz w:val="24"/>
          <w:szCs w:val="24"/>
        </w:rPr>
      </w:pPr>
      <w:r w:rsidRPr="009D47B2">
        <w:rPr>
          <w:rFonts w:ascii="Times New Roman" w:hAnsi="Times New Roman" w:cs="Times New Roman"/>
          <w:noProof/>
          <w:sz w:val="24"/>
          <w:szCs w:val="24"/>
        </w:rPr>
        <w:lastRenderedPageBreak/>
        <w:drawing>
          <wp:inline distT="0" distB="0" distL="0" distR="0" wp14:anchorId="3A0E7C56" wp14:editId="4F9EF790">
            <wp:extent cx="5759450" cy="4013835"/>
            <wp:effectExtent l="0" t="0" r="0" b="5715"/>
            <wp:docPr id="91407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74583" name=""/>
                    <pic:cNvPicPr/>
                  </pic:nvPicPr>
                  <pic:blipFill>
                    <a:blip r:embed="rId60"/>
                    <a:stretch>
                      <a:fillRect/>
                    </a:stretch>
                  </pic:blipFill>
                  <pic:spPr>
                    <a:xfrm>
                      <a:off x="0" y="0"/>
                      <a:ext cx="5759450" cy="4013835"/>
                    </a:xfrm>
                    <a:prstGeom prst="rect">
                      <a:avLst/>
                    </a:prstGeom>
                  </pic:spPr>
                </pic:pic>
              </a:graphicData>
            </a:graphic>
          </wp:inline>
        </w:drawing>
      </w:r>
    </w:p>
    <w:p w14:paraId="72D0FC1A" w14:textId="77777777" w:rsidR="00455DC8" w:rsidRDefault="009D47B2">
      <w:pPr>
        <w:rPr>
          <w:rFonts w:ascii="Times New Roman" w:hAnsi="Times New Roman" w:cs="Times New Roman"/>
          <w:sz w:val="24"/>
          <w:szCs w:val="24"/>
          <w:highlight w:val="yellow"/>
        </w:rPr>
      </w:pPr>
      <w:r w:rsidRPr="00455DC8">
        <w:rPr>
          <w:rStyle w:val="FigurethesisChar"/>
          <w:highlight w:val="yellow"/>
        </w:rPr>
        <w:t>Figure A2. Distribution and evolution of core variables by sector in the years 2021–2024.</w:t>
      </w:r>
      <w:r w:rsidRPr="00455DC8">
        <w:rPr>
          <w:rStyle w:val="FigurethesisChar"/>
          <w:highlight w:val="yellow"/>
        </w:rPr>
        <w:br/>
        <w:t>Filed to: AI adoption, ICT specialists, and ICT training – percentage of enterprises; real wages – EUR per hour.</w:t>
      </w:r>
    </w:p>
    <w:p w14:paraId="3C9D88A2" w14:textId="5DF09D57" w:rsidR="009D47B2" w:rsidRDefault="009D47B2">
      <w:pPr>
        <w:rPr>
          <w:rFonts w:ascii="Times New Roman" w:hAnsi="Times New Roman" w:cs="Times New Roman"/>
          <w:sz w:val="24"/>
          <w:szCs w:val="24"/>
        </w:rPr>
      </w:pPr>
      <w:r w:rsidRPr="00455DC8">
        <w:rPr>
          <w:rStyle w:val="fig3thesisChar"/>
          <w:highlight w:val="yellow"/>
        </w:rPr>
        <w:t>Source: own study based on Eurostat enterprise and labour market surveys (isoc_eb_ain2, isoc_ske_itspen2, isoc_ske_ittn2, nama_10_a64_e), 2021–2024</w:t>
      </w:r>
    </w:p>
    <w:p w14:paraId="19F87FFF" w14:textId="07A58E7C" w:rsidR="00935144" w:rsidRPr="00EA04C9" w:rsidRDefault="002F1C77" w:rsidP="00935144">
      <w:pPr>
        <w:jc w:val="both"/>
        <w:rPr>
          <w:rFonts w:ascii="Times New Roman" w:hAnsi="Times New Roman" w:cs="Times New Roman"/>
          <w:sz w:val="24"/>
          <w:szCs w:val="24"/>
        </w:rPr>
      </w:pPr>
      <w:r w:rsidRPr="002F1C77">
        <w:rPr>
          <w:rFonts w:ascii="Times New Roman" w:hAnsi="Times New Roman" w:cs="Times New Roman"/>
          <w:b/>
          <w:bCs/>
          <w:sz w:val="24"/>
          <w:szCs w:val="24"/>
        </w:rPr>
        <w:t>Table A3.</w:t>
      </w:r>
      <w:r w:rsidRPr="002F1C77">
        <w:rPr>
          <w:rFonts w:ascii="Times New Roman" w:hAnsi="Times New Roman" w:cs="Times New Roman"/>
          <w:sz w:val="24"/>
          <w:szCs w:val="24"/>
        </w:rPr>
        <w:t> Outliers in AI adoption and ICT capacity by sector, identified using conditional IQR bounds, 2021–2024.</w:t>
      </w:r>
    </w:p>
    <w:tbl>
      <w:tblPr>
        <w:tblStyle w:val="TableGrid"/>
        <w:tblW w:w="9067" w:type="dxa"/>
        <w:tblLook w:val="04A0" w:firstRow="1" w:lastRow="0" w:firstColumn="1" w:lastColumn="0" w:noHBand="0" w:noVBand="1"/>
      </w:tblPr>
      <w:tblGrid>
        <w:gridCol w:w="1271"/>
        <w:gridCol w:w="1276"/>
        <w:gridCol w:w="1843"/>
        <w:gridCol w:w="3402"/>
        <w:gridCol w:w="1275"/>
      </w:tblGrid>
      <w:tr w:rsidR="00935144" w:rsidRPr="00EA04C9" w14:paraId="09B83DF4" w14:textId="77777777" w:rsidTr="00CE126F">
        <w:tc>
          <w:tcPr>
            <w:tcW w:w="1271" w:type="dxa"/>
          </w:tcPr>
          <w:p w14:paraId="6D530864"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Variable</w:t>
            </w:r>
          </w:p>
        </w:tc>
        <w:tc>
          <w:tcPr>
            <w:tcW w:w="1276" w:type="dxa"/>
          </w:tcPr>
          <w:p w14:paraId="2575CB5B"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Sector</w:t>
            </w:r>
          </w:p>
        </w:tc>
        <w:tc>
          <w:tcPr>
            <w:tcW w:w="1843" w:type="dxa"/>
          </w:tcPr>
          <w:p w14:paraId="3307329C"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Min-Max bounds</w:t>
            </w:r>
          </w:p>
        </w:tc>
        <w:tc>
          <w:tcPr>
            <w:tcW w:w="3402" w:type="dxa"/>
          </w:tcPr>
          <w:p w14:paraId="362D4844"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Flagged Outlier Countries</w:t>
            </w:r>
          </w:p>
        </w:tc>
        <w:tc>
          <w:tcPr>
            <w:tcW w:w="1275" w:type="dxa"/>
          </w:tcPr>
          <w:p w14:paraId="023A1806"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Nature of Outlier</w:t>
            </w:r>
          </w:p>
        </w:tc>
      </w:tr>
      <w:tr w:rsidR="00935144" w:rsidRPr="00EA04C9" w14:paraId="4D866068" w14:textId="77777777" w:rsidTr="00CE126F">
        <w:tc>
          <w:tcPr>
            <w:tcW w:w="1271" w:type="dxa"/>
          </w:tcPr>
          <w:p w14:paraId="7C2D6DB7"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AI adoption</w:t>
            </w:r>
          </w:p>
        </w:tc>
        <w:tc>
          <w:tcPr>
            <w:tcW w:w="1276" w:type="dxa"/>
          </w:tcPr>
          <w:p w14:paraId="75D6FF87"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C, G, H, J, N</w:t>
            </w:r>
          </w:p>
        </w:tc>
        <w:tc>
          <w:tcPr>
            <w:tcW w:w="1843" w:type="dxa"/>
          </w:tcPr>
          <w:p w14:paraId="5415CAEA" w14:textId="77777777" w:rsidR="00935144" w:rsidRPr="00EA04C9" w:rsidRDefault="00935144" w:rsidP="00CE126F">
            <w:pPr>
              <w:jc w:val="center"/>
              <w:rPr>
                <w:rFonts w:ascii="Times New Roman" w:hAnsi="Times New Roman" w:cs="Times New Roman"/>
                <w:sz w:val="24"/>
                <w:szCs w:val="24"/>
              </w:rPr>
            </w:pPr>
            <w:r w:rsidRPr="00EA04C9">
              <w:rPr>
                <w:rFonts w:ascii="Times New Roman" w:hAnsi="Times New Roman" w:cs="Times New Roman"/>
                <w:sz w:val="24"/>
                <w:szCs w:val="24"/>
              </w:rPr>
              <w:t>-5.34% to 52.50%</w:t>
            </w:r>
          </w:p>
        </w:tc>
        <w:tc>
          <w:tcPr>
            <w:tcW w:w="3402" w:type="dxa"/>
          </w:tcPr>
          <w:p w14:paraId="631649FF"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Denmark (DK), Norway (NO), Belgium (BE)</w:t>
            </w:r>
          </w:p>
        </w:tc>
        <w:tc>
          <w:tcPr>
            <w:tcW w:w="1275" w:type="dxa"/>
          </w:tcPr>
          <w:p w14:paraId="6921B76B" w14:textId="77777777" w:rsidR="00935144" w:rsidRPr="00EA04C9" w:rsidRDefault="00935144" w:rsidP="00CE126F">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tc>
      </w:tr>
      <w:tr w:rsidR="00935144" w:rsidRPr="00EA04C9" w14:paraId="708F1494" w14:textId="77777777" w:rsidTr="00CE126F">
        <w:tc>
          <w:tcPr>
            <w:tcW w:w="1271" w:type="dxa"/>
          </w:tcPr>
          <w:p w14:paraId="372D5C22"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ICT Specialists</w:t>
            </w:r>
          </w:p>
        </w:tc>
        <w:tc>
          <w:tcPr>
            <w:tcW w:w="1276" w:type="dxa"/>
          </w:tcPr>
          <w:p w14:paraId="623462D6"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F, H, I, N</w:t>
            </w:r>
          </w:p>
        </w:tc>
        <w:tc>
          <w:tcPr>
            <w:tcW w:w="1843" w:type="dxa"/>
          </w:tcPr>
          <w:p w14:paraId="0EC08775" w14:textId="77777777" w:rsidR="00935144" w:rsidRPr="00EA04C9" w:rsidRDefault="00935144" w:rsidP="00CE126F">
            <w:pPr>
              <w:jc w:val="center"/>
              <w:rPr>
                <w:rFonts w:ascii="Times New Roman" w:hAnsi="Times New Roman" w:cs="Times New Roman"/>
                <w:sz w:val="24"/>
                <w:szCs w:val="24"/>
              </w:rPr>
            </w:pPr>
            <w:r w:rsidRPr="00EA04C9">
              <w:rPr>
                <w:rFonts w:ascii="Times New Roman" w:hAnsi="Times New Roman" w:cs="Times New Roman"/>
                <w:sz w:val="24"/>
                <w:szCs w:val="24"/>
              </w:rPr>
              <w:t>-4.91% to 43.84%</w:t>
            </w:r>
          </w:p>
        </w:tc>
        <w:tc>
          <w:tcPr>
            <w:tcW w:w="3402" w:type="dxa"/>
          </w:tcPr>
          <w:p w14:paraId="0B195392"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Cyprus (CY), Hungary (HU), Denmark (DK), Poland (PL), Ireland (IE)</w:t>
            </w:r>
          </w:p>
        </w:tc>
        <w:tc>
          <w:tcPr>
            <w:tcW w:w="1275" w:type="dxa"/>
          </w:tcPr>
          <w:p w14:paraId="65A7C720" w14:textId="77777777" w:rsidR="00935144" w:rsidRPr="00EA04C9" w:rsidRDefault="00935144" w:rsidP="00CE126F">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tc>
      </w:tr>
      <w:tr w:rsidR="00935144" w:rsidRPr="00EA04C9" w14:paraId="1A4B720B" w14:textId="77777777" w:rsidTr="00CE126F">
        <w:tc>
          <w:tcPr>
            <w:tcW w:w="1271" w:type="dxa"/>
          </w:tcPr>
          <w:p w14:paraId="3C155891"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ICT Training</w:t>
            </w:r>
          </w:p>
        </w:tc>
        <w:tc>
          <w:tcPr>
            <w:tcW w:w="1276" w:type="dxa"/>
          </w:tcPr>
          <w:p w14:paraId="19F3949C"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G, H, I</w:t>
            </w:r>
          </w:p>
        </w:tc>
        <w:tc>
          <w:tcPr>
            <w:tcW w:w="1843" w:type="dxa"/>
          </w:tcPr>
          <w:p w14:paraId="3098E7A9" w14:textId="77777777" w:rsidR="00935144" w:rsidRPr="00EA04C9" w:rsidRDefault="00935144" w:rsidP="00CE126F">
            <w:pPr>
              <w:jc w:val="center"/>
              <w:rPr>
                <w:rFonts w:ascii="Times New Roman" w:hAnsi="Times New Roman" w:cs="Times New Roman"/>
                <w:spacing w:val="-6"/>
                <w:sz w:val="24"/>
                <w:szCs w:val="24"/>
              </w:rPr>
            </w:pPr>
            <w:r w:rsidRPr="00EA04C9">
              <w:rPr>
                <w:rFonts w:ascii="Times New Roman" w:hAnsi="Times New Roman" w:cs="Times New Roman"/>
                <w:spacing w:val="-6"/>
                <w:sz w:val="24"/>
                <w:szCs w:val="24"/>
              </w:rPr>
              <w:br/>
              <w:t>-0.91% to 41.08%</w:t>
            </w:r>
          </w:p>
          <w:p w14:paraId="74FC00B4" w14:textId="77777777" w:rsidR="00935144" w:rsidRPr="00EA04C9" w:rsidRDefault="00935144" w:rsidP="00CE126F">
            <w:pPr>
              <w:jc w:val="center"/>
              <w:rPr>
                <w:rFonts w:ascii="Times New Roman" w:hAnsi="Times New Roman" w:cs="Times New Roman"/>
                <w:sz w:val="24"/>
                <w:szCs w:val="24"/>
              </w:rPr>
            </w:pPr>
          </w:p>
        </w:tc>
        <w:tc>
          <w:tcPr>
            <w:tcW w:w="3402" w:type="dxa"/>
          </w:tcPr>
          <w:p w14:paraId="02B3F015" w14:textId="77777777" w:rsidR="00935144" w:rsidRPr="00EA04C9" w:rsidRDefault="00935144" w:rsidP="00CE126F">
            <w:pPr>
              <w:jc w:val="both"/>
              <w:rPr>
                <w:rFonts w:ascii="Times New Roman" w:hAnsi="Times New Roman" w:cs="Times New Roman"/>
                <w:sz w:val="24"/>
                <w:szCs w:val="24"/>
              </w:rPr>
            </w:pPr>
            <w:r w:rsidRPr="00EA04C9">
              <w:rPr>
                <w:rFonts w:ascii="Times New Roman" w:hAnsi="Times New Roman" w:cs="Times New Roman"/>
                <w:sz w:val="24"/>
                <w:szCs w:val="24"/>
              </w:rPr>
              <w:t>Finland (FI), Sweden (SE), Cyprus (CY), Poland (PL)</w:t>
            </w:r>
            <w:r w:rsidRPr="00EA04C9">
              <w:rPr>
                <w:rFonts w:ascii="Times New Roman" w:hAnsi="Times New Roman" w:cs="Times New Roman"/>
                <w:sz w:val="24"/>
                <w:szCs w:val="24"/>
              </w:rPr>
              <w:br/>
            </w:r>
            <w:r w:rsidRPr="00EA04C9">
              <w:rPr>
                <w:rFonts w:ascii="Times New Roman" w:hAnsi="Times New Roman" w:cs="Times New Roman"/>
                <w:sz w:val="24"/>
                <w:szCs w:val="24"/>
              </w:rPr>
              <w:br/>
              <w:t>France (FR)</w:t>
            </w:r>
          </w:p>
        </w:tc>
        <w:tc>
          <w:tcPr>
            <w:tcW w:w="1275" w:type="dxa"/>
          </w:tcPr>
          <w:p w14:paraId="4C0DFE51" w14:textId="77777777" w:rsidR="00935144" w:rsidRPr="00EA04C9" w:rsidRDefault="00935144" w:rsidP="00CE126F">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High</w:t>
            </w:r>
          </w:p>
          <w:p w14:paraId="4FE2351B" w14:textId="77777777" w:rsidR="00935144" w:rsidRPr="00EA04C9" w:rsidRDefault="00935144" w:rsidP="00CE126F">
            <w:pPr>
              <w:jc w:val="both"/>
              <w:rPr>
                <w:rFonts w:ascii="Times New Roman" w:hAnsi="Times New Roman" w:cs="Times New Roman"/>
                <w:sz w:val="24"/>
                <w:szCs w:val="24"/>
                <w:highlight w:val="yellow"/>
              </w:rPr>
            </w:pPr>
          </w:p>
          <w:p w14:paraId="341C28D2" w14:textId="77777777" w:rsidR="00935144" w:rsidRPr="00EA04C9" w:rsidRDefault="00935144" w:rsidP="00CE126F">
            <w:pPr>
              <w:jc w:val="both"/>
              <w:rPr>
                <w:rFonts w:ascii="Times New Roman" w:hAnsi="Times New Roman" w:cs="Times New Roman"/>
                <w:sz w:val="24"/>
                <w:szCs w:val="24"/>
                <w:highlight w:val="yellow"/>
              </w:rPr>
            </w:pPr>
          </w:p>
          <w:p w14:paraId="3756DC3A" w14:textId="77777777" w:rsidR="00935144" w:rsidRPr="00EA04C9" w:rsidRDefault="00935144" w:rsidP="00CE126F">
            <w:pPr>
              <w:jc w:val="both"/>
              <w:rPr>
                <w:rFonts w:ascii="Times New Roman" w:hAnsi="Times New Roman" w:cs="Times New Roman"/>
                <w:sz w:val="24"/>
                <w:szCs w:val="24"/>
                <w:highlight w:val="yellow"/>
              </w:rPr>
            </w:pPr>
            <w:r w:rsidRPr="00EA04C9">
              <w:rPr>
                <w:rFonts w:ascii="Times New Roman" w:hAnsi="Times New Roman" w:cs="Times New Roman"/>
                <w:sz w:val="24"/>
                <w:szCs w:val="24"/>
                <w:highlight w:val="yellow"/>
              </w:rPr>
              <w:t>Low</w:t>
            </w:r>
          </w:p>
        </w:tc>
      </w:tr>
    </w:tbl>
    <w:p w14:paraId="56848B18" w14:textId="77777777" w:rsidR="009D47B2" w:rsidRDefault="009D47B2">
      <w:pPr>
        <w:rPr>
          <w:rFonts w:ascii="Times New Roman" w:hAnsi="Times New Roman" w:cs="Times New Roman"/>
          <w:sz w:val="24"/>
          <w:szCs w:val="24"/>
        </w:rPr>
      </w:pPr>
    </w:p>
    <w:p w14:paraId="00C15FBB" w14:textId="77777777" w:rsidR="008953E4" w:rsidRDefault="008953E4" w:rsidP="008953E4">
      <w:pPr>
        <w:rPr>
          <w:rFonts w:ascii="Times New Roman" w:hAnsi="Times New Roman" w:cs="Times New Roman"/>
          <w:sz w:val="24"/>
          <w:szCs w:val="24"/>
        </w:rPr>
      </w:pPr>
      <w:r w:rsidRPr="001130EB">
        <w:rPr>
          <w:rFonts w:ascii="Times New Roman" w:hAnsi="Times New Roman" w:cs="Times New Roman"/>
          <w:sz w:val="24"/>
          <w:szCs w:val="24"/>
          <w:highlight w:val="yellow"/>
        </w:rPr>
        <w:t>Source: own study based on Eurostat enterprise and labour market surveys: isoc_eb_ain2, isoc_ske_itspen2, isoc_ske_ittn2, nama_10_a64_e, sbs_sc_ovw, lfsa_eisn2, edat_lfs_9910, tps00203, tec00118, nama_10_pc, 2021–2024.</w:t>
      </w:r>
    </w:p>
    <w:p w14:paraId="4DBB75A6" w14:textId="77777777" w:rsidR="009D47B2" w:rsidRDefault="009D47B2">
      <w:pPr>
        <w:rPr>
          <w:rFonts w:ascii="Times New Roman" w:hAnsi="Times New Roman" w:cs="Times New Roman"/>
          <w:sz w:val="24"/>
          <w:szCs w:val="24"/>
        </w:rPr>
      </w:pPr>
    </w:p>
    <w:p w14:paraId="095CA45E" w14:textId="5C642D7F" w:rsidR="00CE2656" w:rsidRPr="00090A8C" w:rsidRDefault="00283EC9">
      <w:pPr>
        <w:sectPr w:rsidR="00CE2656" w:rsidRPr="00090A8C" w:rsidSect="00AB7912">
          <w:footerReference w:type="default" r:id="rId61"/>
          <w:pgSz w:w="11906" w:h="16838"/>
          <w:pgMar w:top="1418" w:right="1418" w:bottom="1418" w:left="1418" w:header="709" w:footer="709" w:gutter="0"/>
          <w:cols w:space="708"/>
          <w:docGrid w:linePitch="360"/>
        </w:sectPr>
      </w:pPr>
      <w:r w:rsidRPr="00EA04C9">
        <w:rPr>
          <w:rFonts w:ascii="Times New Roman" w:hAnsi="Times New Roman" w:cs="Times New Roman"/>
          <w:sz w:val="24"/>
          <w:szCs w:val="24"/>
        </w:rPr>
        <w:lastRenderedPageBreak/>
        <w:t>https://ec.europa.eu/eurostat/documents/3859598/5902521/KS-RA</w:t>
      </w:r>
      <w:r w:rsidRPr="00283EC9">
        <w:t>-07-015-EN.PDF</w:t>
      </w:r>
    </w:p>
    <w:p w14:paraId="73405092" w14:textId="055FE9D4" w:rsidR="006E0EB6" w:rsidRPr="006E0EB6" w:rsidRDefault="008257B3" w:rsidP="006E0EB6">
      <w:pPr>
        <w:pStyle w:val="Heading2"/>
      </w:pPr>
      <w:bookmarkStart w:id="48" w:name="_Toc230044150"/>
      <w:r w:rsidRPr="0006314B">
        <w:lastRenderedPageBreak/>
        <w:t xml:space="preserve">2021 </w:t>
      </w:r>
      <w:r w:rsidR="00FC001F">
        <w:t xml:space="preserve">year – </w:t>
      </w:r>
      <w:r w:rsidRPr="0006314B">
        <w:t>cross-sectional</w:t>
      </w:r>
      <w:bookmarkEnd w:id="48"/>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(1) Baseline (2) Baseline (no FE) (3) Baseline (GDP excl)  (4) Baseline (no FE, GDP excl)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educ_ij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log_prdct_ij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h_skill_ij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fsi_ij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unempl_r_i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infl_r_i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log_gdp_i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educ_ij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log_prdct_ij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h_skill_ij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fsi_ij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ai_ij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unempl_r_i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infl_r_i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log_gdp_i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ict_spec_ij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ict_tr_ij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I(ai_ij * ict_tr_ij)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Yes       Yes       Yes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Yes       Yes       Yes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FF6378">
      <w:pPr>
        <w:pStyle w:val="Heading2"/>
      </w:pPr>
      <w:bookmarkStart w:id="49" w:name="_Toc230044151"/>
      <w:r>
        <w:t>2022 year – cross-sectional</w:t>
      </w:r>
      <w:bookmarkEnd w:id="49"/>
      <w:r>
        <w:t xml:space="preserve">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log_prdct_ij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fsi_ij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ai_ij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ict_spec_ij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ict_tr_ij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I(ai_ij * ict_tr_ij)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Country FE             Yes       Yes       Yes       Yes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Yes       Yes       Yes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7E7B954" w:rsidR="00FF6378" w:rsidRDefault="00FF6378" w:rsidP="00FF6378">
      <w:pPr>
        <w:pStyle w:val="Heading2"/>
      </w:pPr>
      <w:bookmarkStart w:id="50" w:name="_Toc230044152"/>
      <w:r>
        <w:t>2023</w:t>
      </w:r>
      <w:r w:rsidR="00FC001F">
        <w:t xml:space="preserve"> year</w:t>
      </w:r>
      <w:r>
        <w:t xml:space="preserve"> – cross-sectional</w:t>
      </w:r>
      <w:bookmarkEnd w:id="50"/>
      <w:r>
        <w:t xml:space="preserve">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log_prdct_ij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fsi_ij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ai_ij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ict_spec_ij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ict_tr_ij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I(ai_ij * ict_tr_ij)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Yes       Yes       Yes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Yes       Yes       Yes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6F3AD9">
      <w:pPr>
        <w:pStyle w:val="Heading2"/>
      </w:pPr>
      <w:bookmarkStart w:id="51" w:name="_Toc230044153"/>
      <w:r>
        <w:lastRenderedPageBreak/>
        <w:t>2024 year – cross-sectional</w:t>
      </w:r>
      <w:bookmarkEnd w:id="51"/>
      <w:r>
        <w:t xml:space="preserve">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log_prdct_ij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fsi_ij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ai_ij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ict_spec_ij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ict_tr_ij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I(ai_ij * ict_tr_ij)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Yes       Yes       Yes      </w:t>
      </w:r>
    </w:p>
    <w:p w14:paraId="2C1E6CB1" w14:textId="0688AF8A"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Yes       Yes       Yes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3280F4D5" w14:textId="500DFC2F" w:rsidR="00E020C5" w:rsidRDefault="00E020C5" w:rsidP="00E020C5">
      <w:pPr>
        <w:pStyle w:val="Heading2"/>
        <w:rPr>
          <w:rFonts w:eastAsia="Times New Roman"/>
          <w:lang w:eastAsia="en-GB"/>
        </w:rPr>
      </w:pPr>
      <w:bookmarkStart w:id="52" w:name="_Toc230044154"/>
      <w:r>
        <w:rPr>
          <w:rFonts w:eastAsia="Times New Roman"/>
          <w:lang w:eastAsia="en-GB"/>
        </w:rPr>
        <w:t>Panel, wage level, ICT specialist</w:t>
      </w:r>
      <w:bookmarkEnd w:id="52"/>
      <w:r>
        <w:rPr>
          <w:rFonts w:eastAsia="Times New Roman"/>
          <w:lang w:eastAsia="en-GB"/>
        </w:rPr>
        <w:t xml:space="preserve">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0A62BF28"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Pooled OLS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Between </w:t>
      </w:r>
      <w:r w:rsidR="00D810F2">
        <w:rPr>
          <w:rFonts w:ascii="Consolas" w:eastAsia="Times New Roman" w:hAnsi="Consolas" w:cs="Times New Roman"/>
          <w:color w:val="000000" w:themeColor="text1"/>
          <w:kern w:val="0"/>
          <w:sz w:val="21"/>
          <w:szCs w:val="21"/>
          <w:lang w:eastAsia="en-GB"/>
          <w14:ligatures w14:val="none"/>
        </w:rPr>
        <w:t>OLS</w:t>
      </w: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Random Effects</w:t>
      </w:r>
      <w:r w:rsidR="00D810F2">
        <w:rPr>
          <w:rFonts w:ascii="Consolas" w:eastAsia="Times New Roman" w:hAnsi="Consolas" w:cs="Times New Roman"/>
          <w:color w:val="000000" w:themeColor="text1"/>
          <w:kern w:val="0"/>
          <w:sz w:val="21"/>
          <w:szCs w:val="21"/>
          <w:lang w:eastAsia="en-GB"/>
          <w14:ligatures w14:val="none"/>
        </w:rPr>
        <w:t xml:space="preserve"> | </w:t>
      </w:r>
      <w:r w:rsidRPr="00082679">
        <w:rPr>
          <w:rFonts w:ascii="Consolas" w:eastAsia="Times New Roman" w:hAnsi="Consolas" w:cs="Times New Roman"/>
          <w:color w:val="000000" w:themeColor="text1"/>
          <w:kern w:val="0"/>
          <w:sz w:val="21"/>
          <w:szCs w:val="21"/>
          <w:highlight w:val="yellow"/>
          <w:lang w:eastAsia="en-GB"/>
          <w14:ligatures w14:val="none"/>
        </w:rPr>
        <w:t>Fixed Effects full</w:t>
      </w: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Fixed Effect cross-sect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First Dif</w:t>
      </w:r>
    </w:p>
    <w:p w14:paraId="76BC36F8" w14:textId="35D8336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2D95B9B0" w14:textId="51BF743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Dep. Variable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log_real_wage     log_real_wage     log_real_wage      log_real_wage     log_real_wage   log_real_wage</w:t>
      </w:r>
    </w:p>
    <w:p w14:paraId="6401567F" w14:textId="4C67168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Estimator</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PooledOLS    BetweenOLS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RandomEffects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PanelOLS     PanelOLS     FirstDifferenceOLS</w:t>
      </w:r>
    </w:p>
    <w:p w14:paraId="226043DE" w14:textId="470113C3"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No. Observatio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536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134               536                536             536                    402</w:t>
      </w:r>
    </w:p>
    <w:p w14:paraId="62186D8B" w14:textId="15664BE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Cov. Est.         Clustered        Unadjusted        Unadjusted          Clustered       Clustered      </w:t>
      </w:r>
      <w:r w:rsidR="0080577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Unadjusted</w:t>
      </w:r>
    </w:p>
    <w:p w14:paraId="5E2F5BCA" w14:textId="21FD12F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R-squared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0.7552            0.8186            0.2457             0.2265         0.0868                 0.1081</w:t>
      </w:r>
    </w:p>
    <w:p w14:paraId="59E13C9B" w14:textId="369560B1"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R-Squared (Within)  -6.0826          -16.136          -0.0891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-0.0456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0.0868                 0.0380</w:t>
      </w:r>
    </w:p>
    <w:p w14:paraId="30DEF98D" w14:textId="1E8B529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42A0F6D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5DD1E28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F-statistic    </w:t>
      </w:r>
      <w:r w:rsidR="003A5C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272.05            95.537            28.718             19.184       </w:t>
      </w:r>
      <w:r w:rsidR="003A5C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6.2728                 8.0028</w:t>
      </w:r>
    </w:p>
    <w:p w14:paraId="4F058114" w14:textId="57E0195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P-value (F-stat)   0.0000            0.0000            0.0000             0.0000  </w:t>
      </w:r>
      <w:r w:rsidR="00EE39B8">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0.0000                 0.0000</w:t>
      </w:r>
    </w:p>
    <w:p w14:paraId="2135C9D0" w14:textId="4238719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 xml:space="preserve">=====================     ===============   ===============   ===============    ===============         ===============   </w:t>
      </w:r>
    </w:p>
    <w:p w14:paraId="278BF978" w14:textId="29126920"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const             -0.3851           -0.2644            1.4868            1.7240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2.4310                       </w:t>
      </w:r>
    </w:p>
    <w:p w14:paraId="3FEE4051" w14:textId="7765E87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(-1.3005)         (-1.5440)         (14.426)           (6.3853)    (14.260)                       </w:t>
      </w:r>
    </w:p>
    <w:p w14:paraId="32264775" w14:textId="0DF3C04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ai_adoption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0.0263</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0.0546</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0.0004           </w:t>
      </w:r>
      <w:r w:rsidRPr="00082679">
        <w:rPr>
          <w:rFonts w:ascii="Consolas" w:eastAsia="Times New Roman" w:hAnsi="Consolas" w:cs="Times New Roman"/>
          <w:color w:val="000000" w:themeColor="text1"/>
          <w:kern w:val="0"/>
          <w:sz w:val="21"/>
          <w:szCs w:val="21"/>
          <w:highlight w:val="yellow"/>
          <w:lang w:eastAsia="en-GB"/>
          <w14:ligatures w14:val="none"/>
        </w:rPr>
        <w:t>-0.0030</w:t>
      </w:r>
      <w:r w:rsidR="00034892" w:rsidRPr="00082679">
        <w:rPr>
          <w:rFonts w:ascii="Consolas" w:eastAsia="Times New Roman" w:hAnsi="Consolas" w:cs="Times New Roman"/>
          <w:color w:val="000000" w:themeColor="text1"/>
          <w:kern w:val="0"/>
          <w:sz w:val="21"/>
          <w:szCs w:val="21"/>
          <w:highlight w:val="yellow"/>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0.0004   </w:t>
      </w:r>
      <w:r w:rsidR="00B2580E">
        <w:rPr>
          <w:rFonts w:ascii="Consolas" w:eastAsia="Times New Roman" w:hAnsi="Consolas" w:cs="Times New Roman"/>
          <w:color w:val="000000" w:themeColor="text1"/>
          <w:kern w:val="0"/>
          <w:sz w:val="21"/>
          <w:szCs w:val="21"/>
          <w:lang w:eastAsia="en-GB"/>
          <w14:ligatures w14:val="none"/>
        </w:rPr>
        <w:t xml:space="preserve">          </w:t>
      </w:r>
      <w:r w:rsidR="003C78BF" w:rsidRPr="00E020C5">
        <w:rPr>
          <w:rFonts w:ascii="Consolas" w:eastAsia="Times New Roman" w:hAnsi="Consolas" w:cs="Times New Roman"/>
          <w:color w:val="000000" w:themeColor="text1"/>
          <w:kern w:val="0"/>
          <w:sz w:val="21"/>
          <w:szCs w:val="21"/>
          <w:lang w:eastAsia="en-GB"/>
          <w14:ligatures w14:val="none"/>
        </w:rPr>
        <w:t>0.0041</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p>
    <w:p w14:paraId="019019CA" w14:textId="180D741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(3.8257)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(5.9068)         </w:t>
      </w:r>
      <w:r w:rsidR="00DE76E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(0.2983)         (-2.1113)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(0.3716)           (4.0824)</w:t>
      </w:r>
    </w:p>
    <w:p w14:paraId="103A1C66" w14:textId="6374B0E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spec_ict          -0.0069</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-0.0098</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-0.0010           -0.0011      -0.0036</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006E4945" w:rsidRPr="00E020C5">
        <w:rPr>
          <w:rFonts w:ascii="Consolas" w:eastAsia="Times New Roman" w:hAnsi="Consolas" w:cs="Times New Roman"/>
          <w:color w:val="000000" w:themeColor="text1"/>
          <w:kern w:val="0"/>
          <w:sz w:val="21"/>
          <w:szCs w:val="21"/>
          <w:lang w:eastAsia="en-GB"/>
          <w14:ligatures w14:val="none"/>
        </w:rPr>
        <w:t>-0.0032</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p>
    <w:p w14:paraId="20602982" w14:textId="2AA29EA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6E4945">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(-2.0186)         (-2.9761)         (-0.7270)         (-0.5761)    (-1.7717)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(-2.2916)</w:t>
      </w:r>
    </w:p>
    <w:p w14:paraId="242524E6" w14:textId="1E75E03A"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ai_x_ict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-0.0002</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-0.0004</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-6.83e-06          </w:t>
      </w:r>
      <w:r w:rsidRPr="00082679">
        <w:rPr>
          <w:rFonts w:ascii="Consolas" w:eastAsia="Times New Roman" w:hAnsi="Consolas" w:cs="Times New Roman"/>
          <w:color w:val="000000" w:themeColor="text1"/>
          <w:kern w:val="0"/>
          <w:sz w:val="21"/>
          <w:szCs w:val="21"/>
          <w:highlight w:val="yellow"/>
          <w:lang w:eastAsia="en-GB"/>
          <w14:ligatures w14:val="none"/>
        </w:rPr>
        <w:t>2.864e-05</w:t>
      </w:r>
      <w:r w:rsidRPr="00E020C5">
        <w:rPr>
          <w:rFonts w:ascii="Consolas" w:eastAsia="Times New Roman" w:hAnsi="Consolas" w:cs="Times New Roman"/>
          <w:color w:val="000000" w:themeColor="text1"/>
          <w:kern w:val="0"/>
          <w:sz w:val="21"/>
          <w:szCs w:val="21"/>
          <w:lang w:eastAsia="en-GB"/>
          <w14:ligatures w14:val="none"/>
        </w:rPr>
        <w:t xml:space="preserve">   -1.111e-06   </w:t>
      </w:r>
      <w:r w:rsidR="005173A6">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-3.192e-05</w:t>
      </w:r>
      <w:r w:rsidR="00DC1D75">
        <w:rPr>
          <w:rFonts w:ascii="Consolas" w:eastAsia="Times New Roman" w:hAnsi="Consolas" w:cs="Times New Roman"/>
          <w:color w:val="000000" w:themeColor="text1"/>
          <w:kern w:val="0"/>
          <w:sz w:val="21"/>
          <w:szCs w:val="21"/>
          <w:lang w:eastAsia="en-GB"/>
          <w14:ligatures w14:val="none"/>
        </w:rPr>
        <w:t>**</w:t>
      </w:r>
    </w:p>
    <w:p w14:paraId="40056462" w14:textId="4E1A01C3"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(-2.0318)         (-3.0733)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(-0.3311)          (1.4898)    (-0.0654)          (-2.1034)</w:t>
      </w:r>
    </w:p>
    <w:p w14:paraId="29E8D71C" w14:textId="2529A102"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log_prod           0.7093</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0.6673</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0.2195</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0.2247</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0.0753</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0.0085</w:t>
      </w:r>
    </w:p>
    <w:p w14:paraId="649124B0" w14:textId="5876BD6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002343E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(8.0173)         (13.453)          </w:t>
      </w:r>
      <w:r w:rsidR="002343EA">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(8.8005)          (3.6923)     (2.0540)           (0.3776)</w:t>
      </w:r>
    </w:p>
    <w:p w14:paraId="2F3953C6" w14:textId="59DE2EB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FSI              </w:t>
      </w:r>
      <w:r w:rsidR="00034CC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-0.0002           -0.0018            0.0019           -0.0019      -0.0041</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-0.0030</w:t>
      </w:r>
      <w:r w:rsidR="00DC1D75">
        <w:rPr>
          <w:rFonts w:ascii="Consolas" w:eastAsia="Times New Roman" w:hAnsi="Consolas" w:cs="Times New Roman"/>
          <w:color w:val="000000" w:themeColor="text1"/>
          <w:kern w:val="0"/>
          <w:sz w:val="21"/>
          <w:szCs w:val="21"/>
          <w:lang w:eastAsia="en-GB"/>
          <w14:ligatures w14:val="none"/>
        </w:rPr>
        <w:t>**</w:t>
      </w:r>
    </w:p>
    <w:p w14:paraId="454F929E" w14:textId="5EE9A5F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2AC6FBD6" w:rsidR="00E020C5" w:rsidRPr="00034892" w:rsidRDefault="00E020C5" w:rsidP="00034892">
      <w:pPr>
        <w:spacing w:after="0" w:line="240" w:lineRule="auto"/>
        <w:rPr>
          <w:rFonts w:ascii="Consolas" w:eastAsia="Times New Roman" w:hAnsi="Consolas" w:cs="Times New Roman"/>
          <w:color w:val="000000" w:themeColor="text1"/>
          <w:kern w:val="0"/>
          <w:sz w:val="21"/>
          <w:szCs w:val="21"/>
          <w:lang w:eastAsia="en-GB"/>
          <w14:ligatures w14:val="none"/>
        </w:rPr>
      </w:pPr>
      <w:r w:rsidRPr="00034892">
        <w:rPr>
          <w:rFonts w:ascii="Consolas" w:eastAsia="Times New Roman" w:hAnsi="Consolas" w:cs="Times New Roman"/>
          <w:color w:val="000000" w:themeColor="text1"/>
          <w:kern w:val="0"/>
          <w:sz w:val="21"/>
          <w:szCs w:val="21"/>
          <w:lang w:eastAsia="en-GB"/>
          <w14:ligatures w14:val="none"/>
        </w:rPr>
        <w:t xml:space="preserve">share_high_skill  </w:t>
      </w:r>
      <w:r w:rsidR="00834420">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 xml:space="preserve">0.0048            0.0037            0.0066     </w:t>
      </w:r>
      <w:r w:rsidR="00EC4E83" w:rsidRPr="00034892">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0.0035</w:t>
      </w:r>
      <w:r w:rsidR="00034892" w:rsidRPr="00034892">
        <w:rPr>
          <w:rFonts w:ascii="Consolas" w:eastAsia="Times New Roman" w:hAnsi="Consolas" w:cs="Times New Roman"/>
          <w:color w:val="000000" w:themeColor="text1"/>
          <w:kern w:val="0"/>
          <w:sz w:val="21"/>
          <w:szCs w:val="21"/>
          <w:lang w:eastAsia="en-GB"/>
          <w14:ligatures w14:val="none"/>
        </w:rPr>
        <w:t>*</w:t>
      </w:r>
      <w:r w:rsidRPr="00034892">
        <w:rPr>
          <w:rFonts w:ascii="Consolas" w:eastAsia="Times New Roman" w:hAnsi="Consolas" w:cs="Times New Roman"/>
          <w:color w:val="000000" w:themeColor="text1"/>
          <w:kern w:val="0"/>
          <w:sz w:val="21"/>
          <w:szCs w:val="21"/>
          <w:lang w:eastAsia="en-GB"/>
          <w14:ligatures w14:val="none"/>
        </w:rPr>
        <w:t xml:space="preserve">      0.0038</w:t>
      </w:r>
      <w:r w:rsidR="00034892">
        <w:rPr>
          <w:rFonts w:ascii="Consolas" w:eastAsia="Times New Roman" w:hAnsi="Consolas" w:cs="Times New Roman"/>
          <w:color w:val="000000" w:themeColor="text1"/>
          <w:kern w:val="0"/>
          <w:sz w:val="21"/>
          <w:szCs w:val="21"/>
          <w:lang w:eastAsia="en-GB"/>
          <w14:ligatures w14:val="none"/>
        </w:rPr>
        <w:t>**</w:t>
      </w:r>
      <w:r w:rsidRPr="00034892">
        <w:rPr>
          <w:rFonts w:ascii="Consolas" w:eastAsia="Times New Roman" w:hAnsi="Consolas" w:cs="Times New Roman"/>
          <w:color w:val="000000" w:themeColor="text1"/>
          <w:kern w:val="0"/>
          <w:sz w:val="21"/>
          <w:szCs w:val="21"/>
          <w:lang w:eastAsia="en-GB"/>
          <w14:ligatures w14:val="none"/>
        </w:rPr>
        <w:t xml:space="preserve">         </w:t>
      </w:r>
      <w:r w:rsidR="00EC4E83" w:rsidRPr="00034892">
        <w:rPr>
          <w:rFonts w:ascii="Consolas" w:eastAsia="Times New Roman" w:hAnsi="Consolas" w:cs="Times New Roman"/>
          <w:color w:val="000000" w:themeColor="text1"/>
          <w:kern w:val="0"/>
          <w:sz w:val="21"/>
          <w:szCs w:val="21"/>
          <w:lang w:eastAsia="en-GB"/>
          <w14:ligatures w14:val="none"/>
        </w:rPr>
        <w:t xml:space="preserve">  </w:t>
      </w:r>
      <w:r w:rsidRPr="00034892">
        <w:rPr>
          <w:rFonts w:ascii="Consolas" w:eastAsia="Times New Roman" w:hAnsi="Consolas" w:cs="Times New Roman"/>
          <w:color w:val="000000" w:themeColor="text1"/>
          <w:kern w:val="0"/>
          <w:sz w:val="21"/>
          <w:szCs w:val="21"/>
          <w:lang w:eastAsia="en-GB"/>
          <w14:ligatures w14:val="none"/>
        </w:rPr>
        <w:t>0.0027</w:t>
      </w:r>
      <w:r w:rsidR="00DC1D75">
        <w:rPr>
          <w:rFonts w:ascii="Consolas" w:eastAsia="Times New Roman" w:hAnsi="Consolas" w:cs="Times New Roman"/>
          <w:color w:val="000000" w:themeColor="text1"/>
          <w:kern w:val="0"/>
          <w:sz w:val="21"/>
          <w:szCs w:val="21"/>
          <w:lang w:eastAsia="en-GB"/>
          <w14:ligatures w14:val="none"/>
        </w:rPr>
        <w:t>**</w:t>
      </w:r>
    </w:p>
    <w:p w14:paraId="7DED48B4" w14:textId="1D2B9B80"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(1.5072)          (1.3176)          (4.8398)      </w:t>
      </w:r>
      <w:r w:rsidR="00EC4E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(1.8007)</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(2.2663)  </w:t>
      </w:r>
      <w:r w:rsidR="003C78BF">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w:t>
      </w:r>
      <w:r w:rsidR="00EC4E83">
        <w:rPr>
          <w:rFonts w:ascii="Consolas" w:eastAsia="Times New Roman" w:hAnsi="Consolas" w:cs="Times New Roman"/>
          <w:color w:val="000000" w:themeColor="text1"/>
          <w:kern w:val="0"/>
          <w:sz w:val="21"/>
          <w:szCs w:val="21"/>
          <w:lang w:eastAsia="en-GB"/>
          <w14:ligatures w14:val="none"/>
        </w:rPr>
        <w:t xml:space="preserve">  </w:t>
      </w:r>
      <w:r w:rsidR="003C78BF" w:rsidRPr="00E020C5">
        <w:rPr>
          <w:rFonts w:ascii="Consolas" w:eastAsia="Times New Roman" w:hAnsi="Consolas" w:cs="Times New Roman"/>
          <w:color w:val="000000" w:themeColor="text1"/>
          <w:kern w:val="0"/>
          <w:sz w:val="21"/>
          <w:szCs w:val="21"/>
          <w:lang w:eastAsia="en-GB"/>
          <w14:ligatures w14:val="none"/>
        </w:rPr>
        <w:t>(2.0395)</w:t>
      </w:r>
    </w:p>
    <w:p w14:paraId="130B2CAF" w14:textId="3FC95FB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EBE02D4" w14:textId="2795AEF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Effects                                                                  Entity      </w:t>
      </w:r>
      <w:r w:rsidR="0027451D">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Entity                       </w:t>
      </w:r>
    </w:p>
    <w:p w14:paraId="4A7F3CE8" w14:textId="615938BD"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Time                                               </w:t>
      </w:r>
    </w:p>
    <w:p w14:paraId="3E37B69B" w14:textId="2EA4C298"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19483BAA" w14:textId="7A65343E" w:rsidR="00E020C5" w:rsidRDefault="00E020C5" w:rsidP="00E020C5">
      <w:pPr>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T-stats reported in parentheses</w:t>
      </w:r>
    </w:p>
    <w:p w14:paraId="4DDE2B80" w14:textId="4C760659" w:rsidR="00344FFA" w:rsidRDefault="00344FFA" w:rsidP="00344FFA">
      <w:pPr>
        <w:pStyle w:val="Heading2"/>
        <w:rPr>
          <w:rFonts w:eastAsia="Times New Roman"/>
          <w:lang w:eastAsia="en-GB"/>
        </w:rPr>
      </w:pPr>
      <w:bookmarkStart w:id="53" w:name="_Toc230044155"/>
      <w:r>
        <w:rPr>
          <w:rFonts w:eastAsia="Times New Roman"/>
          <w:lang w:eastAsia="en-GB"/>
        </w:rPr>
        <w:t>Panel, wage level, ICT training</w:t>
      </w:r>
      <w:bookmarkEnd w:id="53"/>
      <w:r>
        <w:rPr>
          <w:rFonts w:eastAsia="Times New Roman"/>
          <w:lang w:eastAsia="en-GB"/>
        </w:rPr>
        <w:t xml:space="preserve"> </w:t>
      </w:r>
      <w:r w:rsidR="007B538A">
        <w:rPr>
          <w:rFonts w:eastAsia="Times New Roman"/>
          <w:lang w:eastAsia="en-GB"/>
        </w:rPr>
        <w:t xml:space="preserve"> </w:t>
      </w:r>
    </w:p>
    <w:p w14:paraId="2C2AB6EC" w14:textId="77777777" w:rsidR="00344FFA" w:rsidRPr="00344FFA"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344FFA">
        <w:rPr>
          <w:rFonts w:ascii="Consolas" w:eastAsia="Times New Roman" w:hAnsi="Consolas" w:cs="Times New Roman"/>
          <w:color w:val="D6DEEB"/>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322C9FC2"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214DB5E2" w14:textId="14AA3F59"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Pooled OLS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Between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Random Effects</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Fixed Effects full </w:t>
      </w:r>
      <w:r w:rsidR="00CA27E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Fixed Effect cross-sect </w:t>
      </w:r>
      <w:r w:rsidR="00CA27EF">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First Diff</w:t>
      </w:r>
    </w:p>
    <w:p w14:paraId="3D4755E0" w14:textId="03E1BE30"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74B643BF" w14:textId="211D71F1"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0F51DA45" w14:textId="76D473B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522F417D" w14:textId="00F4965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0112A2C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0D7A01CC" w14:textId="544D5F1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31D6BFDC"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1EC5065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5AA79976"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R-Squared (Overall)       </w:t>
      </w:r>
      <w:r w:rsidR="00EF374B">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0.7426            0.7091            0.4305             0.4204                  0.1938                 0.0724</w:t>
      </w:r>
    </w:p>
    <w:p w14:paraId="0A7DBC38" w14:textId="0E17DB02"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28505637"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P-value (F-stat)            0.0000            0.0000            0.0000             0.0000                  0.0000                 0.0000</w:t>
      </w:r>
    </w:p>
    <w:p w14:paraId="6A81A167" w14:textId="6E1686B8"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w:t>
      </w:r>
      <w:r w:rsidR="007270AB">
        <w:rPr>
          <w:rFonts w:ascii="Consolas" w:eastAsia="Times New Roman" w:hAnsi="Consolas" w:cs="Times New Roman"/>
          <w:color w:val="000000" w:themeColor="text1"/>
          <w:kern w:val="0"/>
          <w:sz w:val="21"/>
          <w:szCs w:val="21"/>
          <w:lang w:eastAsia="en-GB"/>
          <w14:ligatures w14:val="none"/>
        </w:rPr>
        <w:t xml:space="preserve"> </w:t>
      </w:r>
      <w:r w:rsidR="007270AB" w:rsidRPr="00344FFA">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w:t>
      </w:r>
    </w:p>
    <w:p w14:paraId="0A19E415" w14:textId="057854BF"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const                      -0.4242          -0.3520           1.6043           1.6154                2.3295                       </w:t>
      </w:r>
    </w:p>
    <w:p w14:paraId="1E4FB02E" w14:textId="6B68F9DA"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35D5A76A"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ai_adoption               0.0217</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0.0513</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w:t>
      </w:r>
      <w:r w:rsidRPr="00960BD7">
        <w:rPr>
          <w:rFonts w:ascii="Consolas" w:eastAsia="Times New Roman" w:hAnsi="Consolas" w:cs="Times New Roman"/>
          <w:color w:val="000000" w:themeColor="text1"/>
          <w:kern w:val="0"/>
          <w:sz w:val="21"/>
          <w:szCs w:val="21"/>
          <w:lang w:eastAsia="en-GB"/>
          <w14:ligatures w14:val="none"/>
        </w:rPr>
        <w:t xml:space="preserve">0021          </w:t>
      </w:r>
      <w:r w:rsidRPr="00082679">
        <w:rPr>
          <w:rFonts w:ascii="Consolas" w:eastAsia="Times New Roman" w:hAnsi="Consolas" w:cs="Times New Roman"/>
          <w:color w:val="000000" w:themeColor="text1"/>
          <w:kern w:val="0"/>
          <w:sz w:val="21"/>
          <w:szCs w:val="21"/>
          <w:highlight w:val="yellow"/>
          <w:lang w:eastAsia="en-GB"/>
          <w14:ligatures w14:val="none"/>
        </w:rPr>
        <w:t>-0.0006</w:t>
      </w:r>
      <w:r w:rsidRPr="00960BD7">
        <w:rPr>
          <w:rFonts w:ascii="Consolas" w:eastAsia="Times New Roman" w:hAnsi="Consolas" w:cs="Times New Roman"/>
          <w:color w:val="000000" w:themeColor="text1"/>
          <w:kern w:val="0"/>
          <w:sz w:val="21"/>
          <w:szCs w:val="21"/>
          <w:lang w:eastAsia="en-GB"/>
          <w14:ligatures w14:val="none"/>
        </w:rPr>
        <w:t xml:space="preserve">               </w:t>
      </w:r>
      <w:r w:rsidR="007270AB">
        <w:rPr>
          <w:rFonts w:ascii="Consolas" w:eastAsia="Times New Roman" w:hAnsi="Consolas" w:cs="Times New Roman"/>
          <w:color w:val="000000" w:themeColor="text1"/>
          <w:kern w:val="0"/>
          <w:sz w:val="21"/>
          <w:szCs w:val="21"/>
          <w:lang w:eastAsia="en-GB"/>
          <w14:ligatures w14:val="none"/>
        </w:rPr>
        <w:t xml:space="preserve"> </w:t>
      </w:r>
      <w:r w:rsidRPr="00960BD7">
        <w:rPr>
          <w:rFonts w:ascii="Consolas" w:eastAsia="Times New Roman" w:hAnsi="Consolas" w:cs="Times New Roman"/>
          <w:color w:val="000000" w:themeColor="text1"/>
          <w:kern w:val="0"/>
          <w:sz w:val="21"/>
          <w:szCs w:val="21"/>
          <w:lang w:eastAsia="en-GB"/>
          <w14:ligatures w14:val="none"/>
        </w:rPr>
        <w:t>0.0027</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0.0059</w:t>
      </w:r>
      <w:r w:rsidR="002203D0">
        <w:rPr>
          <w:rFonts w:ascii="Consolas" w:eastAsia="Times New Roman" w:hAnsi="Consolas" w:cs="Times New Roman"/>
          <w:color w:val="000000" w:themeColor="text1"/>
          <w:kern w:val="0"/>
          <w:sz w:val="21"/>
          <w:szCs w:val="21"/>
          <w:lang w:eastAsia="en-GB"/>
          <w14:ligatures w14:val="none"/>
        </w:rPr>
        <w:t>***</w:t>
      </w:r>
    </w:p>
    <w:p w14:paraId="4C9C5B97" w14:textId="5EC9F475"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391EF975"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ai_x_ict_tr                -0.0002</w:t>
      </w:r>
      <w:r w:rsidR="00D867FB">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-0.0005</w:t>
      </w:r>
      <w:r w:rsidR="00BB3400">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-4.253e-05</w:t>
      </w:r>
      <w:r w:rsidR="00644966">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w:t>
      </w:r>
      <w:r w:rsidRPr="00082679">
        <w:rPr>
          <w:rFonts w:ascii="Consolas" w:eastAsia="Times New Roman" w:hAnsi="Consolas" w:cs="Times New Roman"/>
          <w:color w:val="000000" w:themeColor="text1"/>
          <w:kern w:val="0"/>
          <w:sz w:val="21"/>
          <w:szCs w:val="21"/>
          <w:highlight w:val="yellow"/>
          <w:lang w:eastAsia="en-GB"/>
          <w14:ligatures w14:val="none"/>
        </w:rPr>
        <w:t>-7.282e-06</w:t>
      </w:r>
      <w:r w:rsidRPr="00960BD7">
        <w:rPr>
          <w:rFonts w:ascii="Consolas" w:eastAsia="Times New Roman" w:hAnsi="Consolas" w:cs="Times New Roman"/>
          <w:color w:val="000000" w:themeColor="text1"/>
          <w:kern w:val="0"/>
          <w:sz w:val="21"/>
          <w:szCs w:val="21"/>
          <w:lang w:eastAsia="en-GB"/>
          <w14:ligatures w14:val="none"/>
        </w:rPr>
        <w:t xml:space="preserve">            -4.861e-05</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-7.134e-05</w:t>
      </w:r>
      <w:r w:rsidR="002203D0">
        <w:rPr>
          <w:rFonts w:ascii="Consolas" w:eastAsia="Times New Roman" w:hAnsi="Consolas" w:cs="Times New Roman"/>
          <w:color w:val="000000" w:themeColor="text1"/>
          <w:kern w:val="0"/>
          <w:sz w:val="21"/>
          <w:szCs w:val="21"/>
          <w:lang w:eastAsia="en-GB"/>
          <w14:ligatures w14:val="none"/>
        </w:rPr>
        <w:t>***</w:t>
      </w:r>
    </w:p>
    <w:p w14:paraId="36AEBC9D" w14:textId="19C58034"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37ACBB"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training_ict               0.0060</w:t>
      </w:r>
      <w:r w:rsidR="00D867FB">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0.0021           0.0045</w:t>
      </w:r>
      <w:r w:rsidR="00644966">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0.0040</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0.0040</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0.0032</w:t>
      </w:r>
      <w:r w:rsidR="002203D0">
        <w:rPr>
          <w:rFonts w:ascii="Consolas" w:eastAsia="Times New Roman" w:hAnsi="Consolas" w:cs="Times New Roman"/>
          <w:color w:val="000000" w:themeColor="text1"/>
          <w:kern w:val="0"/>
          <w:sz w:val="21"/>
          <w:szCs w:val="21"/>
          <w:lang w:eastAsia="en-GB"/>
          <w14:ligatures w14:val="none"/>
        </w:rPr>
        <w:t>**</w:t>
      </w:r>
    </w:p>
    <w:p w14:paraId="0E3346A0" w14:textId="09A9CBC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(1.6493)          (0.5352)         (3.1945)         (2.6199)</w:t>
      </w:r>
      <w:r w:rsidRPr="00344FFA">
        <w:rPr>
          <w:rFonts w:ascii="Consolas" w:eastAsia="Times New Roman" w:hAnsi="Consolas" w:cs="Times New Roman"/>
          <w:color w:val="000000" w:themeColor="text1"/>
          <w:kern w:val="0"/>
          <w:sz w:val="21"/>
          <w:szCs w:val="21"/>
          <w:lang w:eastAsia="en-GB"/>
          <w14:ligatures w14:val="none"/>
        </w:rPr>
        <w:t xml:space="preserve">              (2.9375)           (2.4229)</w:t>
      </w:r>
    </w:p>
    <w:p w14:paraId="60291634" w14:textId="09F68D52"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log_prod                   0.7377</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w:t>
      </w:r>
      <w:r w:rsidR="00BB3400">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0.7175</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0.1806</w:t>
      </w:r>
      <w:r w:rsidR="00644966">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0.2143</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0.0530            -0.0058</w:t>
      </w:r>
    </w:p>
    <w:p w14:paraId="2345BDEE" w14:textId="0918AFB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1747993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-0.0027</w:t>
      </w:r>
      <w:r w:rsidR="002203D0">
        <w:rPr>
          <w:rFonts w:ascii="Consolas" w:eastAsia="Times New Roman" w:hAnsi="Consolas" w:cs="Times New Roman"/>
          <w:color w:val="000000" w:themeColor="text1"/>
          <w:kern w:val="0"/>
          <w:sz w:val="21"/>
          <w:szCs w:val="21"/>
          <w:lang w:eastAsia="en-GB"/>
          <w14:ligatures w14:val="none"/>
        </w:rPr>
        <w:t>**</w:t>
      </w:r>
    </w:p>
    <w:p w14:paraId="5F028702" w14:textId="0CF59737"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4E90D10F"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share_high_skill           -0.0043</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-0.0056</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0.0043</w:t>
      </w:r>
      <w:r w:rsidR="00644966">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0.0035</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0.0033</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0.0025</w:t>
      </w:r>
      <w:r w:rsidR="002203D0">
        <w:rPr>
          <w:rFonts w:ascii="Consolas" w:eastAsia="Times New Roman" w:hAnsi="Consolas" w:cs="Times New Roman"/>
          <w:color w:val="000000" w:themeColor="text1"/>
          <w:kern w:val="0"/>
          <w:sz w:val="21"/>
          <w:szCs w:val="21"/>
          <w:lang w:eastAsia="en-GB"/>
          <w14:ligatures w14:val="none"/>
        </w:rPr>
        <w:t>**</w:t>
      </w:r>
    </w:p>
    <w:p w14:paraId="1398C950" w14:textId="43511C54"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02D0B72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w:t>
      </w:r>
      <w:r w:rsidR="00EF374B">
        <w:rPr>
          <w:rFonts w:ascii="Consolas" w:eastAsia="Times New Roman" w:hAnsi="Consolas" w:cs="Times New Roman"/>
          <w:color w:val="000000" w:themeColor="text1"/>
          <w:kern w:val="0"/>
          <w:sz w:val="21"/>
          <w:szCs w:val="21"/>
          <w:lang w:eastAsia="en-GB"/>
          <w14:ligatures w14:val="none"/>
        </w:rPr>
        <w:t xml:space="preserve"> </w:t>
      </w:r>
      <w:r w:rsidR="00BA588F" w:rsidRPr="00344FFA">
        <w:rPr>
          <w:rFonts w:ascii="Consolas" w:eastAsia="Times New Roman" w:hAnsi="Consolas" w:cs="Times New Roman"/>
          <w:color w:val="000000" w:themeColor="text1"/>
          <w:kern w:val="0"/>
          <w:sz w:val="21"/>
          <w:szCs w:val="21"/>
          <w:lang w:eastAsia="en-GB"/>
          <w14:ligatures w14:val="none"/>
        </w:rPr>
        <w:t>=============</w:t>
      </w:r>
    </w:p>
    <w:p w14:paraId="47711451" w14:textId="0F0CA5EC"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w:t>
      </w:r>
      <w:r w:rsidR="00BA588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Entity                       </w:t>
      </w:r>
    </w:p>
    <w:p w14:paraId="28795D0D" w14:textId="64DFFFAE"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Default="00344FFA" w:rsidP="00344FFA">
      <w:pPr>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T-stats reported in parentheses</w:t>
      </w:r>
    </w:p>
    <w:p w14:paraId="35C698E4" w14:textId="77777777" w:rsidR="001440B7" w:rsidRDefault="001440B7" w:rsidP="00344FFA">
      <w:pPr>
        <w:rPr>
          <w:rFonts w:ascii="Consolas" w:eastAsia="Times New Roman" w:hAnsi="Consolas" w:cs="Times New Roman"/>
          <w:color w:val="000000" w:themeColor="text1"/>
          <w:kern w:val="0"/>
          <w:sz w:val="21"/>
          <w:szCs w:val="21"/>
          <w:lang w:eastAsia="en-GB"/>
          <w14:ligatures w14:val="none"/>
        </w:rPr>
      </w:pPr>
    </w:p>
    <w:p w14:paraId="4F060295" w14:textId="77777777" w:rsidR="001440B7" w:rsidRPr="001440B7" w:rsidRDefault="001440B7" w:rsidP="001440B7">
      <w:pPr>
        <w:rPr>
          <w:color w:val="000000" w:themeColor="text1"/>
        </w:rPr>
      </w:pPr>
      <w:r w:rsidRPr="001440B7">
        <w:rPr>
          <w:color w:val="000000" w:themeColor="text1"/>
        </w:rPr>
        <w:t>--- Exact Outliers Identified ---</w:t>
      </w:r>
    </w:p>
    <w:p w14:paraId="349DF8E7" w14:textId="77777777" w:rsidR="001440B7" w:rsidRPr="001440B7" w:rsidRDefault="001440B7" w:rsidP="001440B7">
      <w:pPr>
        <w:rPr>
          <w:color w:val="000000" w:themeColor="text1"/>
        </w:rPr>
      </w:pPr>
      <w:r w:rsidRPr="001440B7">
        <w:rPr>
          <w:color w:val="000000" w:themeColor="text1"/>
        </w:rPr>
        <w:t>geo nace_r2  year     Variable  Value Outlier_Type  Normal_Min  Normal_Max</w:t>
      </w:r>
    </w:p>
    <w:p w14:paraId="2B62898A" w14:textId="77777777" w:rsidR="001440B7" w:rsidRPr="001440B7" w:rsidRDefault="001440B7" w:rsidP="001440B7">
      <w:pPr>
        <w:rPr>
          <w:color w:val="000000" w:themeColor="text1"/>
        </w:rPr>
      </w:pPr>
      <w:r w:rsidRPr="001440B7">
        <w:rPr>
          <w:color w:val="000000" w:themeColor="text1"/>
        </w:rPr>
        <w:t xml:space="preserve"> DK       C  2021  ai_adoption  27.28         High       -4.68       16.96</w:t>
      </w:r>
    </w:p>
    <w:p w14:paraId="7E4341E1" w14:textId="77777777" w:rsidR="001440B7" w:rsidRPr="001440B7" w:rsidRDefault="001440B7" w:rsidP="001440B7">
      <w:pPr>
        <w:rPr>
          <w:color w:val="000000" w:themeColor="text1"/>
        </w:rPr>
      </w:pPr>
      <w:r w:rsidRPr="001440B7">
        <w:rPr>
          <w:color w:val="000000" w:themeColor="text1"/>
        </w:rPr>
        <w:t xml:space="preserve"> DK       G  2021  ai_adoption  21.30         High       -4.50       15.62</w:t>
      </w:r>
    </w:p>
    <w:p w14:paraId="75435144" w14:textId="77777777" w:rsidR="001440B7" w:rsidRPr="001440B7" w:rsidRDefault="001440B7" w:rsidP="001440B7">
      <w:pPr>
        <w:rPr>
          <w:color w:val="000000" w:themeColor="text1"/>
        </w:rPr>
      </w:pPr>
      <w:r w:rsidRPr="001440B7">
        <w:rPr>
          <w:color w:val="000000" w:themeColor="text1"/>
        </w:rPr>
        <w:t xml:space="preserve"> DK       H  2021  ai_adoption  21.28         High       -2.56       13.16</w:t>
      </w:r>
    </w:p>
    <w:p w14:paraId="329199B6" w14:textId="77777777" w:rsidR="001440B7" w:rsidRPr="001440B7" w:rsidRDefault="001440B7" w:rsidP="001440B7">
      <w:pPr>
        <w:rPr>
          <w:color w:val="000000" w:themeColor="text1"/>
        </w:rPr>
      </w:pPr>
      <w:r w:rsidRPr="001440B7">
        <w:rPr>
          <w:color w:val="000000" w:themeColor="text1"/>
        </w:rPr>
        <w:t xml:space="preserve"> DK       J  2021  ai_adoption  54.75         High       -5.34       52.50</w:t>
      </w:r>
    </w:p>
    <w:p w14:paraId="16C2A646" w14:textId="77777777" w:rsidR="001440B7" w:rsidRPr="001440B7" w:rsidRDefault="001440B7" w:rsidP="001440B7">
      <w:pPr>
        <w:rPr>
          <w:color w:val="000000" w:themeColor="text1"/>
        </w:rPr>
      </w:pPr>
      <w:r w:rsidRPr="001440B7">
        <w:rPr>
          <w:color w:val="000000" w:themeColor="text1"/>
        </w:rPr>
        <w:t xml:space="preserve"> DK       N  2021  ai_adoption  19.04         High        2.50       12.42</w:t>
      </w:r>
    </w:p>
    <w:p w14:paraId="44718606" w14:textId="77777777" w:rsidR="001440B7" w:rsidRPr="001440B7" w:rsidRDefault="001440B7" w:rsidP="001440B7">
      <w:pPr>
        <w:rPr>
          <w:color w:val="000000" w:themeColor="text1"/>
        </w:rPr>
      </w:pPr>
      <w:r w:rsidRPr="001440B7">
        <w:rPr>
          <w:color w:val="000000" w:themeColor="text1"/>
        </w:rPr>
        <w:lastRenderedPageBreak/>
        <w:t xml:space="preserve"> NO       N  2021  ai_adoption  14.59         High        2.50       12.42</w:t>
      </w:r>
    </w:p>
    <w:p w14:paraId="522F6FAB" w14:textId="77777777" w:rsidR="001440B7" w:rsidRPr="001440B7" w:rsidRDefault="001440B7" w:rsidP="001440B7">
      <w:pPr>
        <w:rPr>
          <w:color w:val="000000" w:themeColor="text1"/>
        </w:rPr>
      </w:pPr>
      <w:r w:rsidRPr="001440B7">
        <w:rPr>
          <w:color w:val="000000" w:themeColor="text1"/>
        </w:rPr>
        <w:t xml:space="preserve"> DK       C  2022  ai_adoption  21.04         High       -3.25       15.42</w:t>
      </w:r>
    </w:p>
    <w:p w14:paraId="00DBC4A6" w14:textId="77777777" w:rsidR="001440B7" w:rsidRPr="001440B7" w:rsidRDefault="001440B7" w:rsidP="001440B7">
      <w:pPr>
        <w:rPr>
          <w:color w:val="000000" w:themeColor="text1"/>
        </w:rPr>
      </w:pPr>
      <w:r w:rsidRPr="001440B7">
        <w:rPr>
          <w:color w:val="000000" w:themeColor="text1"/>
        </w:rPr>
        <w:t xml:space="preserve"> DK       G  2022  ai_adoption  17.74         High       -3.56       15.38</w:t>
      </w:r>
    </w:p>
    <w:p w14:paraId="0A13B966" w14:textId="77777777" w:rsidR="001440B7" w:rsidRPr="001440B7" w:rsidRDefault="001440B7" w:rsidP="001440B7">
      <w:pPr>
        <w:rPr>
          <w:color w:val="000000" w:themeColor="text1"/>
        </w:rPr>
      </w:pPr>
      <w:r w:rsidRPr="001440B7">
        <w:rPr>
          <w:color w:val="000000" w:themeColor="text1"/>
        </w:rPr>
        <w:t xml:space="preserve"> DK       H  2022  ai_adoption  18.22         High       -2.56       13.69</w:t>
      </w:r>
    </w:p>
    <w:p w14:paraId="31BC2E29" w14:textId="77777777" w:rsidR="001440B7" w:rsidRPr="001440B7" w:rsidRDefault="001440B7" w:rsidP="001440B7">
      <w:pPr>
        <w:rPr>
          <w:color w:val="000000" w:themeColor="text1"/>
        </w:rPr>
      </w:pPr>
      <w:r w:rsidRPr="001440B7">
        <w:rPr>
          <w:color w:val="000000" w:themeColor="text1"/>
        </w:rPr>
        <w:t xml:space="preserve"> DK       H  2023  ai_adoption  15.16         High       -2.85       13.35</w:t>
      </w:r>
    </w:p>
    <w:p w14:paraId="1B43B167" w14:textId="77777777" w:rsidR="001440B7" w:rsidRPr="001440B7" w:rsidRDefault="001440B7" w:rsidP="001440B7">
      <w:pPr>
        <w:rPr>
          <w:color w:val="000000" w:themeColor="text1"/>
        </w:rPr>
      </w:pPr>
      <w:r w:rsidRPr="001440B7">
        <w:rPr>
          <w:color w:val="000000" w:themeColor="text1"/>
        </w:rPr>
        <w:t xml:space="preserve"> DK       H  2024  ai_adoption  21.10         High       -3.88       19.62</w:t>
      </w:r>
    </w:p>
    <w:p w14:paraId="0EF977BA" w14:textId="77777777" w:rsidR="001440B7" w:rsidRPr="001440B7" w:rsidRDefault="001440B7" w:rsidP="001440B7">
      <w:pPr>
        <w:rPr>
          <w:color w:val="000000" w:themeColor="text1"/>
        </w:rPr>
      </w:pPr>
      <w:r w:rsidRPr="001440B7">
        <w:rPr>
          <w:color w:val="000000" w:themeColor="text1"/>
        </w:rPr>
        <w:t xml:space="preserve"> BE       I  2024  ai_adoption  15.66         High        0.00        7.80</w:t>
      </w:r>
    </w:p>
    <w:p w14:paraId="1372D85A" w14:textId="77777777" w:rsidR="001440B7" w:rsidRPr="001440B7" w:rsidRDefault="001440B7" w:rsidP="001440B7">
      <w:pPr>
        <w:rPr>
          <w:color w:val="000000" w:themeColor="text1"/>
        </w:rPr>
      </w:pPr>
      <w:r w:rsidRPr="001440B7">
        <w:rPr>
          <w:color w:val="000000" w:themeColor="text1"/>
        </w:rPr>
        <w:t xml:space="preserve"> CY       H  2021     spec_ict  36.42         High        3.38       24.16</w:t>
      </w:r>
    </w:p>
    <w:p w14:paraId="37E2B240" w14:textId="77777777" w:rsidR="001440B7" w:rsidRPr="001440B7" w:rsidRDefault="001440B7" w:rsidP="001440B7">
      <w:pPr>
        <w:rPr>
          <w:color w:val="000000" w:themeColor="text1"/>
        </w:rPr>
      </w:pPr>
      <w:r w:rsidRPr="001440B7">
        <w:rPr>
          <w:color w:val="000000" w:themeColor="text1"/>
        </w:rPr>
        <w:t xml:space="preserve"> HU       H  2021     spec_ict  26.42         High        3.38       24.16</w:t>
      </w:r>
    </w:p>
    <w:p w14:paraId="0EDD1044" w14:textId="77777777" w:rsidR="001440B7" w:rsidRPr="001440B7" w:rsidRDefault="001440B7" w:rsidP="001440B7">
      <w:pPr>
        <w:rPr>
          <w:color w:val="000000" w:themeColor="text1"/>
        </w:rPr>
      </w:pPr>
      <w:r w:rsidRPr="001440B7">
        <w:rPr>
          <w:color w:val="000000" w:themeColor="text1"/>
        </w:rPr>
        <w:t xml:space="preserve"> CY       H  2022     spec_ict  32.67         High        2.06       26.12</w:t>
      </w:r>
    </w:p>
    <w:p w14:paraId="51C5B5C0" w14:textId="77777777" w:rsidR="001440B7" w:rsidRPr="001440B7" w:rsidRDefault="001440B7" w:rsidP="001440B7">
      <w:pPr>
        <w:rPr>
          <w:color w:val="000000" w:themeColor="text1"/>
        </w:rPr>
      </w:pPr>
      <w:r w:rsidRPr="001440B7">
        <w:rPr>
          <w:color w:val="000000" w:themeColor="text1"/>
        </w:rPr>
        <w:t xml:space="preserve"> DK       H  2022     spec_ict  29.97         High        2.06       26.12</w:t>
      </w:r>
    </w:p>
    <w:p w14:paraId="28DA77AB" w14:textId="77777777" w:rsidR="001440B7" w:rsidRPr="001440B7" w:rsidRDefault="001440B7" w:rsidP="001440B7">
      <w:pPr>
        <w:rPr>
          <w:color w:val="000000" w:themeColor="text1"/>
        </w:rPr>
      </w:pPr>
      <w:r w:rsidRPr="001440B7">
        <w:rPr>
          <w:color w:val="000000" w:themeColor="text1"/>
        </w:rPr>
        <w:t xml:space="preserve"> HU       H  2022     spec_ict  27.71         High        2.06       26.12</w:t>
      </w:r>
    </w:p>
    <w:p w14:paraId="602DAAB1" w14:textId="77777777" w:rsidR="001440B7" w:rsidRPr="001440B7" w:rsidRDefault="001440B7" w:rsidP="001440B7">
      <w:pPr>
        <w:rPr>
          <w:color w:val="000000" w:themeColor="text1"/>
        </w:rPr>
      </w:pPr>
      <w:r w:rsidRPr="001440B7">
        <w:rPr>
          <w:color w:val="000000" w:themeColor="text1"/>
        </w:rPr>
        <w:t xml:space="preserve"> CY       H  2023     spec_ict  35.20         High        2.64       24.08</w:t>
      </w:r>
    </w:p>
    <w:p w14:paraId="52FA44C1" w14:textId="77777777" w:rsidR="001440B7" w:rsidRPr="001440B7" w:rsidRDefault="001440B7" w:rsidP="001440B7">
      <w:pPr>
        <w:rPr>
          <w:color w:val="000000" w:themeColor="text1"/>
        </w:rPr>
      </w:pPr>
      <w:r w:rsidRPr="001440B7">
        <w:rPr>
          <w:color w:val="000000" w:themeColor="text1"/>
        </w:rPr>
        <w:t xml:space="preserve"> DK       H  2023     spec_ict  28.39         High        2.64       24.08</w:t>
      </w:r>
    </w:p>
    <w:p w14:paraId="662C9500" w14:textId="77777777" w:rsidR="001440B7" w:rsidRPr="001440B7" w:rsidRDefault="001440B7" w:rsidP="001440B7">
      <w:pPr>
        <w:rPr>
          <w:color w:val="000000" w:themeColor="text1"/>
        </w:rPr>
      </w:pPr>
      <w:r w:rsidRPr="001440B7">
        <w:rPr>
          <w:color w:val="000000" w:themeColor="text1"/>
        </w:rPr>
        <w:t xml:space="preserve"> HU       H  2023     spec_ict  27.31         High        2.64       24.08</w:t>
      </w:r>
    </w:p>
    <w:p w14:paraId="575D08A0" w14:textId="77777777" w:rsidR="001440B7" w:rsidRPr="001440B7" w:rsidRDefault="001440B7" w:rsidP="001440B7">
      <w:pPr>
        <w:rPr>
          <w:color w:val="000000" w:themeColor="text1"/>
        </w:rPr>
      </w:pPr>
      <w:r w:rsidRPr="001440B7">
        <w:rPr>
          <w:color w:val="000000" w:themeColor="text1"/>
        </w:rPr>
        <w:t xml:space="preserve"> PL       I  2023     spec_ict  19.77         High       -4.91       19.60</w:t>
      </w:r>
    </w:p>
    <w:p w14:paraId="2720C3FC" w14:textId="77777777" w:rsidR="001440B7" w:rsidRPr="001440B7" w:rsidRDefault="001440B7" w:rsidP="001440B7">
      <w:pPr>
        <w:rPr>
          <w:color w:val="000000" w:themeColor="text1"/>
        </w:rPr>
      </w:pPr>
      <w:r w:rsidRPr="001440B7">
        <w:rPr>
          <w:color w:val="000000" w:themeColor="text1"/>
        </w:rPr>
        <w:t xml:space="preserve"> IE       F  2024     spec_ict  21.19         High       -3.33       20.93</w:t>
      </w:r>
    </w:p>
    <w:p w14:paraId="2F0B5691" w14:textId="77777777" w:rsidR="001440B7" w:rsidRPr="001440B7" w:rsidRDefault="001440B7" w:rsidP="001440B7">
      <w:pPr>
        <w:rPr>
          <w:color w:val="000000" w:themeColor="text1"/>
        </w:rPr>
      </w:pPr>
      <w:r w:rsidRPr="001440B7">
        <w:rPr>
          <w:color w:val="000000" w:themeColor="text1"/>
        </w:rPr>
        <w:t xml:space="preserve"> CY       H  2024     spec_ict  37.73         High        2.71       24.10</w:t>
      </w:r>
    </w:p>
    <w:p w14:paraId="6104BF1B" w14:textId="77777777" w:rsidR="001440B7" w:rsidRPr="001440B7" w:rsidRDefault="001440B7" w:rsidP="001440B7">
      <w:pPr>
        <w:rPr>
          <w:color w:val="000000" w:themeColor="text1"/>
        </w:rPr>
      </w:pPr>
      <w:r w:rsidRPr="001440B7">
        <w:rPr>
          <w:color w:val="000000" w:themeColor="text1"/>
        </w:rPr>
        <w:t xml:space="preserve"> DK       H  2024     spec_ict  26.81         High        2.71       24.10</w:t>
      </w:r>
    </w:p>
    <w:p w14:paraId="0E246520" w14:textId="77777777" w:rsidR="001440B7" w:rsidRPr="001440B7" w:rsidRDefault="001440B7" w:rsidP="001440B7">
      <w:pPr>
        <w:rPr>
          <w:color w:val="000000" w:themeColor="text1"/>
        </w:rPr>
      </w:pPr>
      <w:r w:rsidRPr="001440B7">
        <w:rPr>
          <w:color w:val="000000" w:themeColor="text1"/>
        </w:rPr>
        <w:t xml:space="preserve"> HU       H  2024     spec_ict  26.91         High        2.71       24.10</w:t>
      </w:r>
    </w:p>
    <w:p w14:paraId="254828D6" w14:textId="77777777" w:rsidR="001440B7" w:rsidRPr="001440B7" w:rsidRDefault="001440B7" w:rsidP="001440B7">
      <w:pPr>
        <w:rPr>
          <w:color w:val="000000" w:themeColor="text1"/>
        </w:rPr>
      </w:pPr>
      <w:r w:rsidRPr="001440B7">
        <w:rPr>
          <w:color w:val="000000" w:themeColor="text1"/>
        </w:rPr>
        <w:lastRenderedPageBreak/>
        <w:t xml:space="preserve"> PL       I  2024     spec_ict  17.37         High       -3.37       15.93</w:t>
      </w:r>
    </w:p>
    <w:p w14:paraId="5C5353A9" w14:textId="77777777" w:rsidR="001440B7" w:rsidRPr="001440B7" w:rsidRDefault="001440B7" w:rsidP="001440B7">
      <w:pPr>
        <w:rPr>
          <w:color w:val="000000" w:themeColor="text1"/>
        </w:rPr>
      </w:pPr>
      <w:r w:rsidRPr="001440B7">
        <w:rPr>
          <w:color w:val="000000" w:themeColor="text1"/>
        </w:rPr>
        <w:t xml:space="preserve"> IE       N  2024     spec_ict  49.70         High       -3.15       43.84</w:t>
      </w:r>
    </w:p>
    <w:p w14:paraId="03BD63E6" w14:textId="77777777" w:rsidR="001440B7" w:rsidRPr="001440B7" w:rsidRDefault="001440B7" w:rsidP="001440B7">
      <w:pPr>
        <w:rPr>
          <w:color w:val="000000" w:themeColor="text1"/>
        </w:rPr>
      </w:pPr>
      <w:r w:rsidRPr="001440B7">
        <w:rPr>
          <w:color w:val="000000" w:themeColor="text1"/>
        </w:rPr>
        <w:t xml:space="preserve"> FI       G  2021 training_ict  42.58         High        0.95       41.08</w:t>
      </w:r>
    </w:p>
    <w:p w14:paraId="13AE1871" w14:textId="77777777" w:rsidR="001440B7" w:rsidRPr="001440B7" w:rsidRDefault="001440B7" w:rsidP="001440B7">
      <w:pPr>
        <w:rPr>
          <w:color w:val="000000" w:themeColor="text1"/>
        </w:rPr>
      </w:pPr>
      <w:r w:rsidRPr="001440B7">
        <w:rPr>
          <w:color w:val="000000" w:themeColor="text1"/>
        </w:rPr>
        <w:t xml:space="preserve"> CY       H  2021 training_ict  32.64         High        0.65       29.51</w:t>
      </w:r>
    </w:p>
    <w:p w14:paraId="18EC6F22" w14:textId="77777777" w:rsidR="001440B7" w:rsidRPr="001440B7" w:rsidRDefault="001440B7" w:rsidP="001440B7">
      <w:pPr>
        <w:rPr>
          <w:color w:val="000000" w:themeColor="text1"/>
        </w:rPr>
      </w:pPr>
      <w:r w:rsidRPr="001440B7">
        <w:rPr>
          <w:color w:val="000000" w:themeColor="text1"/>
        </w:rPr>
        <w:t xml:space="preserve"> FI       G  2022 training_ict  48.37         High        4.57       39.93</w:t>
      </w:r>
    </w:p>
    <w:p w14:paraId="41703B27" w14:textId="77777777" w:rsidR="001440B7" w:rsidRPr="001440B7" w:rsidRDefault="001440B7" w:rsidP="001440B7">
      <w:pPr>
        <w:rPr>
          <w:color w:val="000000" w:themeColor="text1"/>
        </w:rPr>
      </w:pPr>
      <w:r w:rsidRPr="001440B7">
        <w:rPr>
          <w:color w:val="000000" w:themeColor="text1"/>
        </w:rPr>
        <w:t xml:space="preserve"> SE       G  2022 training_ict  40.35         High        4.57       39.93</w:t>
      </w:r>
    </w:p>
    <w:p w14:paraId="099A0BCE" w14:textId="77777777" w:rsidR="001440B7" w:rsidRPr="001440B7" w:rsidRDefault="001440B7" w:rsidP="001440B7">
      <w:pPr>
        <w:rPr>
          <w:color w:val="000000" w:themeColor="text1"/>
        </w:rPr>
      </w:pPr>
      <w:r w:rsidRPr="001440B7">
        <w:rPr>
          <w:color w:val="000000" w:themeColor="text1"/>
        </w:rPr>
        <w:t xml:space="preserve"> PL       I  2022 training_ict  20.83         High        2.42       14.93</w:t>
      </w:r>
    </w:p>
    <w:p w14:paraId="75C39FFF" w14:textId="77777777" w:rsidR="001440B7" w:rsidRPr="001440B7" w:rsidRDefault="001440B7" w:rsidP="001440B7">
      <w:pPr>
        <w:rPr>
          <w:color w:val="000000" w:themeColor="text1"/>
        </w:rPr>
      </w:pPr>
      <w:r w:rsidRPr="001440B7">
        <w:rPr>
          <w:color w:val="000000" w:themeColor="text1"/>
        </w:rPr>
        <w:t xml:space="preserve"> CY       H  2023 training_ict  34.59         High       -0.91       34.51</w:t>
      </w:r>
    </w:p>
    <w:p w14:paraId="6CDDE262" w14:textId="77777777" w:rsidR="001440B7" w:rsidRPr="001440B7" w:rsidRDefault="001440B7" w:rsidP="001440B7">
      <w:pPr>
        <w:rPr>
          <w:color w:val="000000" w:themeColor="text1"/>
        </w:rPr>
      </w:pPr>
      <w:r w:rsidRPr="001440B7">
        <w:rPr>
          <w:color w:val="000000" w:themeColor="text1"/>
        </w:rPr>
        <w:t xml:space="preserve"> FR       I  2023 training_ict   4.62          Low        5.95       14.58</w:t>
      </w:r>
    </w:p>
    <w:p w14:paraId="1742C769" w14:textId="77777777" w:rsidR="001440B7" w:rsidRPr="001440B7" w:rsidRDefault="001440B7" w:rsidP="001440B7">
      <w:pPr>
        <w:rPr>
          <w:color w:val="000000" w:themeColor="text1"/>
        </w:rPr>
      </w:pPr>
      <w:r w:rsidRPr="001440B7">
        <w:rPr>
          <w:color w:val="000000" w:themeColor="text1"/>
        </w:rPr>
        <w:t xml:space="preserve"> PL       I  2023 training_ict  23.48         High        5.95       14.58</w:t>
      </w:r>
    </w:p>
    <w:p w14:paraId="77E8B9B8" w14:textId="77777777" w:rsidR="001440B7" w:rsidRPr="001440B7" w:rsidRDefault="001440B7" w:rsidP="001440B7">
      <w:pPr>
        <w:rPr>
          <w:color w:val="000000" w:themeColor="text1"/>
        </w:rPr>
      </w:pPr>
      <w:r w:rsidRPr="001440B7">
        <w:rPr>
          <w:color w:val="000000" w:themeColor="text1"/>
        </w:rPr>
        <w:t xml:space="preserve"> CY       H  2024 training_ict  36.31         High        1.94       29.34</w:t>
      </w:r>
    </w:p>
    <w:p w14:paraId="3629B8FD" w14:textId="77777777" w:rsidR="001440B7" w:rsidRPr="001440B7" w:rsidRDefault="001440B7" w:rsidP="001440B7">
      <w:pPr>
        <w:rPr>
          <w:color w:val="000000" w:themeColor="text1"/>
        </w:rPr>
      </w:pPr>
      <w:r w:rsidRPr="001440B7">
        <w:rPr>
          <w:color w:val="000000" w:themeColor="text1"/>
        </w:rPr>
        <w:t xml:space="preserve"> DK       H  2024 training_ict  34.75         High        1.94       29.34</w:t>
      </w:r>
    </w:p>
    <w:p w14:paraId="79AA802C" w14:textId="77777777" w:rsidR="001440B7" w:rsidRPr="001440B7" w:rsidRDefault="001440B7" w:rsidP="001440B7">
      <w:pPr>
        <w:rPr>
          <w:color w:val="000000" w:themeColor="text1"/>
        </w:rPr>
      </w:pPr>
      <w:r w:rsidRPr="001440B7">
        <w:rPr>
          <w:color w:val="000000" w:themeColor="text1"/>
        </w:rPr>
        <w:t xml:space="preserve"> FR       I  2024 training_ict   3.03          Low        4.32       19.85</w:t>
      </w:r>
    </w:p>
    <w:p w14:paraId="654C035E" w14:textId="14D772FB" w:rsidR="00A2487F" w:rsidRPr="00531D6E" w:rsidRDefault="001440B7" w:rsidP="00531D6E">
      <w:pPr>
        <w:rPr>
          <w:color w:val="000000" w:themeColor="text1"/>
        </w:rPr>
      </w:pPr>
      <w:r w:rsidRPr="001440B7">
        <w:rPr>
          <w:color w:val="000000" w:themeColor="text1"/>
        </w:rPr>
        <w:t xml:space="preserve"> PL       I  2024 training_ict  26.13         High        4.32       19.85</w:t>
      </w:r>
    </w:p>
    <w:p w14:paraId="5140773B" w14:textId="07BE5918" w:rsidR="00A2487F" w:rsidRPr="00531D6E" w:rsidRDefault="00A2487F" w:rsidP="00531D6E">
      <w:pPr>
        <w:pStyle w:val="Heading2"/>
      </w:pPr>
      <w:bookmarkStart w:id="54" w:name="_Toc230044156"/>
      <w:r w:rsidRPr="003E008F">
        <w:rPr>
          <w:rStyle w:val="Heading2Char"/>
        </w:rPr>
        <w:t>CRE</w:t>
      </w:r>
      <w:bookmarkEnd w:id="54"/>
      <w:r>
        <w:br/>
      </w:r>
    </w:p>
    <w:p w14:paraId="054CECE9" w14:textId="53B95352" w:rsidR="00250E74"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r w:rsidR="00250E74" w:rsidRPr="00250E74">
        <w:rPr>
          <w:rFonts w:ascii="Consolas" w:eastAsia="Times New Roman" w:hAnsi="Consolas" w:cs="Times New Roman"/>
          <w:kern w:val="0"/>
          <w:sz w:val="21"/>
          <w:szCs w:val="21"/>
          <w:lang w:eastAsia="en-GB"/>
          <w14:ligatures w14:val="none"/>
        </w:rPr>
        <w:t>ROBUSTNESS CHECK 1 — CRE WITH MACRO TIME CONTROLS</w:t>
      </w:r>
      <w:r w:rsidRPr="00F853E5">
        <w:rPr>
          <w:rFonts w:ascii="Consolas" w:eastAsia="Times New Roman" w:hAnsi="Consolas" w:cs="Times New Roman"/>
          <w:kern w:val="0"/>
          <w:sz w:val="21"/>
          <w:szCs w:val="21"/>
          <w:lang w:eastAsia="en-GB"/>
          <w14:ligatures w14:val="none"/>
        </w:rPr>
        <w:t xml:space="preserve"> </w:t>
      </w:r>
    </w:p>
    <w:p w14:paraId="312AEB3A" w14:textId="2DF0ADEB"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(unempl_r + infl_r replace year dummies)</w:t>
      </w:r>
    </w:p>
    <w:p w14:paraId="568ECCE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ROBUSTNESS CHECK 2 — TWO-WAY FE (linearmodels</w:t>
      </w:r>
      <w:r>
        <w:rPr>
          <w:rFonts w:ascii="Consolas" w:eastAsia="Times New Roman" w:hAnsi="Consolas" w:cs="Times New Roman"/>
          <w:kern w:val="0"/>
          <w:sz w:val="21"/>
          <w:szCs w:val="21"/>
          <w:lang w:eastAsia="en-GB"/>
          <w14:ligatures w14:val="none"/>
        </w:rPr>
        <w:t>)</w:t>
      </w:r>
    </w:p>
    <w:p w14:paraId="3F57F35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estimated successfully.</w:t>
      </w:r>
    </w:p>
    <w:p w14:paraId="2C20262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686396A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4F98711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263878E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lastRenderedPageBreak/>
        <w:t xml:space="preserve">  COEFFICIENT COMPARISON — SPEC_ICT</w:t>
      </w:r>
    </w:p>
    <w:p w14:paraId="5F83B43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Col 1: CRE + year dummies | Col 2: CRE + macro controls | Col 3: Two-Way FE</w:t>
      </w:r>
    </w:p>
    <w:p w14:paraId="5AA5DB4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27DA1434"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Variable                             CRE+Year      CRE+Macro     Two-Way FE</w:t>
      </w:r>
    </w:p>
    <w:p w14:paraId="7445C77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3401D90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                       -0.00186       -0.01421***    -0.00355** </w:t>
      </w:r>
    </w:p>
    <w:p w14:paraId="45EFAF6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spec_ict                           0.00110        0.00176       -0.00060   </w:t>
      </w:r>
    </w:p>
    <w:p w14:paraId="172884F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ai_x_spec_ict                      0.00002        0.00011***     0.00003*  </w:t>
      </w:r>
    </w:p>
    <w:p w14:paraId="0881D85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Mundlak means ---</w:t>
      </w:r>
    </w:p>
    <w:p w14:paraId="7854541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ai_adoption_mean                   0.06418***     0.07390***              —</w:t>
      </w:r>
    </w:p>
    <w:p w14:paraId="562A1CAA"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spec_ict_mean                     -0.00309       -0.00336                 —</w:t>
      </w:r>
    </w:p>
    <w:p w14:paraId="289A95C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ai_x_spec_ict_mean                -0.00046***    -0.00054***              —</w:t>
      </w:r>
    </w:p>
    <w:p w14:paraId="4D70BBF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log_prod                           0.57011***     0.53161***     0.22547***</w:t>
      </w:r>
    </w:p>
    <w:p w14:paraId="78E820A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FSI                                0.00680***     0.00707***    -0.00221   </w:t>
      </w:r>
    </w:p>
    <w:p w14:paraId="7C38FD9B"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Macro controls ---</w:t>
      </w:r>
    </w:p>
    <w:p w14:paraId="31660ED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unempl_r                                    —    -0.00575                 —</w:t>
      </w:r>
    </w:p>
    <w:p w14:paraId="3353CE0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infl_r                                      —    -0.01913***              —</w:t>
      </w:r>
    </w:p>
    <w:p w14:paraId="3113DBC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61E3371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CRE+Year R² = 0.8398  Adj.R² = 0.8345  N = 536</w:t>
      </w:r>
    </w:p>
    <w:p w14:paraId="64C5200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CRE+Macro R² = 0.8475  Adj.R² = 0.8428  N = 536</w:t>
      </w:r>
    </w:p>
    <w:p w14:paraId="7969BE7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R² (within) = 0.2142  N = 536</w:t>
      </w:r>
    </w:p>
    <w:p w14:paraId="68BD0850"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Significance: * p&lt;0.1  ** p&lt;0.05  *** p&lt;0.01</w:t>
      </w:r>
    </w:p>
    <w:p w14:paraId="36F4D5A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Clustered SE at entity (geo×nace_r2) level throughout</w:t>
      </w:r>
    </w:p>
    <w:p w14:paraId="69B64E4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11E5BA0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351DABC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COEFFICIENT COMPARISON — TRAINING_ICT</w:t>
      </w:r>
    </w:p>
    <w:p w14:paraId="4E52DA7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Col 1: CRE + year dummies | Col 2: CRE + macro controls | Col 3: Two-Way FE</w:t>
      </w:r>
    </w:p>
    <w:p w14:paraId="5B93C86B"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4F7C8BC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Variable                             CRE+Year      CRE+Macro     Two-Way FE</w:t>
      </w:r>
    </w:p>
    <w:p w14:paraId="780A77FA"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44A99E3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                       -0.00093       -0.01598***    -0.00126   </w:t>
      </w:r>
    </w:p>
    <w:p w14:paraId="3A28841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training_ict                       0.00192       -0.00564**      0.00392** </w:t>
      </w:r>
    </w:p>
    <w:p w14:paraId="3F5F6E5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ai_x_training_ict                  0.00001        0.00017***     0.00000   </w:t>
      </w:r>
    </w:p>
    <w:p w14:paraId="4B181A14"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Mundlak means ---</w:t>
      </w:r>
      <w:r>
        <w:rPr>
          <w:rFonts w:ascii="Consolas" w:eastAsia="Times New Roman" w:hAnsi="Consolas" w:cs="Times New Roman"/>
          <w:kern w:val="0"/>
          <w:sz w:val="21"/>
          <w:szCs w:val="21"/>
          <w:lang w:eastAsia="en-GB"/>
          <w14:ligatures w14:val="none"/>
        </w:rPr>
        <w:tab/>
      </w:r>
    </w:p>
    <w:p w14:paraId="76AD466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ai_adoption_mean                   0.05944***     0.07141***              —</w:t>
      </w:r>
    </w:p>
    <w:p w14:paraId="707204A0"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training_ict_mean                  0.00563        0.01320***              —</w:t>
      </w:r>
    </w:p>
    <w:p w14:paraId="6128650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lastRenderedPageBreak/>
        <w:t xml:space="preserve">  ai_x_training_ict_mean            -0.00050***    -0.00065***              —</w:t>
      </w:r>
    </w:p>
    <w:p w14:paraId="65B8EE4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log_prod                           0.54386***     0.51061***     0.21492***</w:t>
      </w:r>
    </w:p>
    <w:p w14:paraId="029AC64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FSI                                0.00775***     0.00764***    -0.00203   </w:t>
      </w:r>
    </w:p>
    <w:p w14:paraId="06B493F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Macro controls ---</w:t>
      </w:r>
    </w:p>
    <w:p w14:paraId="589E2BB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unempl_r                                    —     0.00084                 —</w:t>
      </w:r>
    </w:p>
    <w:p w14:paraId="47004EB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infl_r                                      —    -0.01907***              —</w:t>
      </w:r>
    </w:p>
    <w:p w14:paraId="71D95A7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3A713F3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CRE+Year R² = 0.8357  Adj.R² = 0.8303  N = 536</w:t>
      </w:r>
    </w:p>
    <w:p w14:paraId="2593A1C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CRE+Macro R² = 0.8449  Adj.R² = 0.8401  N = 536</w:t>
      </w:r>
    </w:p>
    <w:p w14:paraId="2BB17BD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R² (within) = 0.2319  N = 536</w:t>
      </w:r>
    </w:p>
    <w:p w14:paraId="52E81A2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Significance: * p&lt;0.1  ** p&lt;0.05  *** p&lt;0.01</w:t>
      </w:r>
    </w:p>
    <w:p w14:paraId="2D403577" w14:textId="77777777" w:rsidR="00A2487F" w:rsidRPr="00F853E5" w:rsidRDefault="00A2487F" w:rsidP="00A2487F">
      <w:pPr>
        <w:ind w:left="-709"/>
        <w:rPr>
          <w:sz w:val="28"/>
          <w:szCs w:val="28"/>
        </w:rPr>
      </w:pPr>
      <w:r w:rsidRPr="00F853E5">
        <w:rPr>
          <w:rFonts w:ascii="Consolas" w:eastAsia="Times New Roman" w:hAnsi="Consolas" w:cs="Times New Roman"/>
          <w:kern w:val="0"/>
          <w:sz w:val="21"/>
          <w:szCs w:val="21"/>
          <w:lang w:eastAsia="en-GB"/>
          <w14:ligatures w14:val="none"/>
        </w:rPr>
        <w:t xml:space="preserve">  Clustered SE at entity (geo×nace_r2) level throughout</w:t>
      </w:r>
    </w:p>
    <w:p w14:paraId="5AFB5FCF" w14:textId="134FF445" w:rsidR="00A2487F" w:rsidRPr="00344FFA" w:rsidRDefault="00A2487F" w:rsidP="00A2487F">
      <w:pPr>
        <w:pStyle w:val="Heading2"/>
      </w:pPr>
    </w:p>
    <w:sectPr w:rsidR="00A2487F" w:rsidRPr="00344FFA" w:rsidSect="00CE2656">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Yuliya Martyniuk" w:date="2026-05-13T16:16:00Z" w:initials="YM">
    <w:p w14:paraId="17BE67F0" w14:textId="0E0B9326" w:rsidR="00326F7C" w:rsidRDefault="00326F7C">
      <w:pPr>
        <w:pStyle w:val="CommentText"/>
      </w:pPr>
      <w:r>
        <w:rPr>
          <w:rStyle w:val="CommentReference"/>
        </w:rPr>
        <w:annotationRef/>
      </w:r>
      <w:r w:rsidRPr="00326F7C">
        <w:t>While Madoń (2024) includes both country fixed effects and macro controls simultaneously — possible because his sector-level trade and output measures vary within countries — the present study's macro controls are defined at the country level only and are therefore fully absorbed by country dummies. This follows the standard panel data practice recommended by Wooldridge (2010).</w:t>
      </w:r>
    </w:p>
  </w:comment>
  <w:comment w:id="37" w:author="Yuliya Martyniuk" w:date="2026-05-13T15:52:00Z" w:initials="YM">
    <w:p w14:paraId="1D5038E3" w14:textId="06BF6ACC" w:rsidR="003C5253" w:rsidRDefault="003C5253">
      <w:pPr>
        <w:pStyle w:val="CommentText"/>
      </w:pPr>
      <w:r>
        <w:rPr>
          <w:rStyle w:val="CommentReference"/>
        </w:rPr>
        <w:annotationRef/>
      </w:r>
      <w:r w:rsidRPr="003C5253">
        <w:t>This is slightly backwards — the RESET test detects </w:t>
      </w:r>
      <w:r w:rsidRPr="003C5253">
        <w:rPr>
          <w:i/>
          <w:iCs/>
        </w:rPr>
        <w:t>unspecified</w:t>
      </w:r>
      <w:r w:rsidRPr="003C5253">
        <w:t> non-linearity, but it cannot tell you </w:t>
      </w:r>
      <w:r w:rsidRPr="003C5253">
        <w:rPr>
          <w:i/>
          <w:iCs/>
        </w:rPr>
        <w:t>what</w:t>
      </w:r>
      <w:r w:rsidRPr="003C5253">
        <w:t> non-linearity to add. The interaction term is motivated by your </w:t>
      </w:r>
      <w:r w:rsidRPr="003C5253">
        <w:rPr>
          <w:b/>
          <w:bCs/>
        </w:rPr>
        <w:t>theoretical hypothesis</w:t>
      </w:r>
      <w:r w:rsidRPr="003C5253">
        <w:t> (Brambor et al., the moderating role of ICT capacity), not by a RESET rejection. The RESET rejection </w:t>
      </w:r>
      <w:r w:rsidRPr="003C5253">
        <w:rPr>
          <w:i/>
          <w:iCs/>
        </w:rPr>
        <w:t>validates</w:t>
      </w:r>
      <w:r w:rsidRPr="003C5253">
        <w:t> that something non-linear is happening, but the </w:t>
      </w:r>
      <w:r w:rsidRPr="003C5253">
        <w:rPr>
          <w:i/>
          <w:iCs/>
        </w:rPr>
        <w:t>choice</w:t>
      </w:r>
      <w:r w:rsidRPr="003C5253">
        <w:t> of the interaction form comes from theory.</w:t>
      </w:r>
    </w:p>
  </w:comment>
  <w:comment w:id="38" w:author="Yuliya Martyniuk" w:date="2026-05-13T15:52:00Z" w:initials="YM">
    <w:p w14:paraId="6C27EF35" w14:textId="4170BAEC" w:rsidR="003C5253" w:rsidRDefault="003C5253">
      <w:pPr>
        <w:pStyle w:val="CommentText"/>
      </w:pPr>
      <w:r>
        <w:rPr>
          <w:rStyle w:val="CommentReference"/>
        </w:rPr>
        <w:annotationRef/>
      </w:r>
      <w:r w:rsidRPr="003C5253">
        <w:rPr>
          <w:i/>
          <w:iCs/>
        </w:rPr>
        <w:t>This confirmed the presence of non-linear structure in the wage–AI relationship. The theoretical framework of Brambor, Clark, and Golder (2006) and the moderating hypothesis H2 motivate the inclusion of multiplicative AI × ICT interaction terms as the theoretically grounded form of this non-linearity. Even with interaction terms, the RESET test continued to reject the null, which is treated as a model limitation rather than a ground for abandoning the specification</w:t>
      </w:r>
    </w:p>
  </w:comment>
  <w:comment w:id="40" w:author="Yuliya Martyniuk" w:date="2026-05-10T09:18:00Z" w:initials="YM">
    <w:p w14:paraId="62EEB157" w14:textId="1D7AB693" w:rsidR="000C7D8D" w:rsidRPr="000C7D8D" w:rsidRDefault="000C7D8D">
      <w:pPr>
        <w:pStyle w:val="CommentText"/>
        <w:rPr>
          <w:lang w:val="ru-RU"/>
        </w:rPr>
      </w:pPr>
      <w:r>
        <w:rPr>
          <w:rStyle w:val="CommentReference"/>
        </w:rPr>
        <w:annotationRef/>
      </w:r>
      <w:r>
        <w:rPr>
          <w:lang w:val="ru-RU"/>
        </w:rPr>
        <w:t>Е в степени бета хэт минус 1</w:t>
      </w:r>
    </w:p>
  </w:comment>
  <w:comment w:id="41" w:author="Yuliya Martyniuk" w:date="2026-05-11T20:07:00Z" w:initials="YM">
    <w:p w14:paraId="030CBA7D" w14:textId="425631CC" w:rsidR="003752B4" w:rsidRDefault="003752B4">
      <w:pPr>
        <w:pStyle w:val="CommentText"/>
      </w:pPr>
      <w:r>
        <w:rPr>
          <w:rStyle w:val="CommentReference"/>
        </w:rPr>
        <w:annotationRef/>
      </w:r>
      <w:r>
        <w:t>Add standard errors</w:t>
      </w:r>
    </w:p>
  </w:comment>
  <w:comment w:id="46" w:author="Yuliya Martyniuk" w:date="2026-05-18T21:05:00Z" w:initials="YM">
    <w:p w14:paraId="66767D1D" w14:textId="5435F921" w:rsidR="00971BB0" w:rsidRDefault="00971BB0">
      <w:pPr>
        <w:pStyle w:val="CommentText"/>
      </w:pPr>
      <w:r>
        <w:rPr>
          <w:rStyle w:val="CommentReference"/>
        </w:rPr>
        <w:annotationRef/>
      </w:r>
      <w:r>
        <w:t>Replace with topic name and link to repo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BE67F0" w15:done="0"/>
  <w15:commentEx w15:paraId="1D5038E3" w15:done="0"/>
  <w15:commentEx w15:paraId="6C27EF35" w15:paraIdParent="1D5038E3" w15:done="0"/>
  <w15:commentEx w15:paraId="62EEB157" w15:done="0"/>
  <w15:commentEx w15:paraId="030CBA7D" w15:done="0"/>
  <w15:commentEx w15:paraId="66767D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837508" w16cex:dateUtc="2026-05-13T14:16:00Z"/>
  <w16cex:commentExtensible w16cex:durableId="017E17C5" w16cex:dateUtc="2026-05-13T13:52:00Z"/>
  <w16cex:commentExtensible w16cex:durableId="72079413" w16cex:dateUtc="2026-05-13T13:52:00Z"/>
  <w16cex:commentExtensible w16cex:durableId="28D2A891" w16cex:dateUtc="2026-05-10T07:18:00Z"/>
  <w16cex:commentExtensible w16cex:durableId="57BF3C99" w16cex:dateUtc="2026-05-11T18:07:00Z"/>
  <w16cex:commentExtensible w16cex:durableId="7685CE02" w16cex:dateUtc="2026-05-18T19: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BE67F0" w16cid:durableId="51837508"/>
  <w16cid:commentId w16cid:paraId="1D5038E3" w16cid:durableId="017E17C5"/>
  <w16cid:commentId w16cid:paraId="6C27EF35" w16cid:durableId="72079413"/>
  <w16cid:commentId w16cid:paraId="62EEB157" w16cid:durableId="28D2A891"/>
  <w16cid:commentId w16cid:paraId="030CBA7D" w16cid:durableId="57BF3C99"/>
  <w16cid:commentId w16cid:paraId="66767D1D" w16cid:durableId="7685CE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E86AF" w14:textId="77777777" w:rsidR="00B176C1" w:rsidRDefault="00B176C1" w:rsidP="00FC7D23">
      <w:pPr>
        <w:spacing w:after="0" w:line="240" w:lineRule="auto"/>
      </w:pPr>
      <w:r>
        <w:separator/>
      </w:r>
    </w:p>
  </w:endnote>
  <w:endnote w:type="continuationSeparator" w:id="0">
    <w:p w14:paraId="18FF3E0B" w14:textId="77777777" w:rsidR="00B176C1" w:rsidRDefault="00B176C1" w:rsidP="00FC7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5D2C2" w14:textId="77777777" w:rsidR="00676734" w:rsidRDefault="00676734">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3487D" w14:textId="77777777" w:rsidR="00676734" w:rsidRDefault="00676734">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107143E3" wp14:editId="64461A07">
              <wp:simplePos x="0" y="0"/>
              <wp:positionH relativeFrom="page">
                <wp:posOffset>3692144</wp:posOffset>
              </wp:positionH>
              <wp:positionV relativeFrom="page">
                <wp:posOffset>10062294</wp:posOffset>
              </wp:positionV>
              <wp:extent cx="177800" cy="19431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C345648" w14:textId="77777777" w:rsidR="00676734" w:rsidRPr="00FC7D23" w:rsidRDefault="00676734">
                          <w:pPr>
                            <w:spacing w:before="10"/>
                            <w:ind w:left="20"/>
                            <w:rPr>
                              <w:rFonts w:ascii="Times New Roman"/>
                              <w:sz w:val="24"/>
                              <w:lang w:val="pl-PL"/>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07143E3" id="_x0000_t202" coordsize="21600,21600" o:spt="202" path="m,l,21600r21600,l21600,xe">
              <v:stroke joinstyle="miter"/>
              <v:path gradientshapeok="t" o:connecttype="rect"/>
            </v:shapetype>
            <v:shape id="Textbox 53" o:spid="_x0000_s1026" type="#_x0000_t202" style="position:absolute;margin-left:290.7pt;margin-top:792.3pt;width:14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" filled="f" stroked="f">
              <v:textbox inset="0,0,0,0">
                <w:txbxContent>
                  <w:p w14:paraId="1C345648" w14:textId="77777777" w:rsidR="00676734" w:rsidRPr="00FC7D23" w:rsidRDefault="00676734">
                    <w:pPr>
                      <w:spacing w:before="10"/>
                      <w:ind w:left="20"/>
                      <w:rPr>
                        <w:rFonts w:ascii="Times New Roman"/>
                        <w:sz w:val="24"/>
                        <w:lang w:val="pl-PL"/>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21"/>
      <w:docPartObj>
        <w:docPartGallery w:val="Page Numbers (Bottom of Page)"/>
        <w:docPartUnique/>
      </w:docPartObj>
    </w:sdtPr>
    <w:sdtContent>
      <w:p w14:paraId="07C4A678" w14:textId="1B5DD648" w:rsidR="006E5558" w:rsidRDefault="006E5558">
        <w:pPr>
          <w:pStyle w:val="Footer"/>
          <w:jc w:val="center"/>
        </w:pPr>
        <w:r>
          <w:fldChar w:fldCharType="begin"/>
        </w:r>
        <w:r>
          <w:instrText>PAGE   \* MERGEFORMAT</w:instrText>
        </w:r>
        <w:r>
          <w:fldChar w:fldCharType="separate"/>
        </w:r>
        <w:r>
          <w:t>2</w:t>
        </w:r>
        <w:r>
          <w:fldChar w:fldCharType="end"/>
        </w:r>
      </w:p>
    </w:sdtContent>
  </w:sdt>
  <w:p w14:paraId="4A19EE0E" w14:textId="77777777" w:rsidR="00A1390F" w:rsidRDefault="00A1390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FFD4D" w14:textId="77777777" w:rsidR="00B176C1" w:rsidRDefault="00B176C1" w:rsidP="00FC7D23">
      <w:pPr>
        <w:spacing w:after="0" w:line="240" w:lineRule="auto"/>
      </w:pPr>
      <w:r>
        <w:separator/>
      </w:r>
    </w:p>
  </w:footnote>
  <w:footnote w:type="continuationSeparator" w:id="0">
    <w:p w14:paraId="0AA53ADD" w14:textId="77777777" w:rsidR="00B176C1" w:rsidRDefault="00B176C1" w:rsidP="00FC7D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A627D"/>
    <w:multiLevelType w:val="multilevel"/>
    <w:tmpl w:val="21B6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6B1314"/>
    <w:multiLevelType w:val="hybridMultilevel"/>
    <w:tmpl w:val="601C8E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C8B488F"/>
    <w:multiLevelType w:val="multilevel"/>
    <w:tmpl w:val="B37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5770EF"/>
    <w:multiLevelType w:val="multilevel"/>
    <w:tmpl w:val="C42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7937DA"/>
    <w:multiLevelType w:val="multilevel"/>
    <w:tmpl w:val="B4B2A20A"/>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247A0A74"/>
    <w:multiLevelType w:val="multilevel"/>
    <w:tmpl w:val="8562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CF74751"/>
    <w:multiLevelType w:val="multilevel"/>
    <w:tmpl w:val="7E3A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F66C3D"/>
    <w:multiLevelType w:val="multilevel"/>
    <w:tmpl w:val="7BE2267A"/>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413E1EB6"/>
    <w:multiLevelType w:val="multilevel"/>
    <w:tmpl w:val="BB9C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8D5BBE"/>
    <w:multiLevelType w:val="multilevel"/>
    <w:tmpl w:val="8C64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3C06F16"/>
    <w:multiLevelType w:val="multilevel"/>
    <w:tmpl w:val="494AF40A"/>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4D1AC4"/>
    <w:multiLevelType w:val="multilevel"/>
    <w:tmpl w:val="2B2EF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B4255D"/>
    <w:multiLevelType w:val="hybridMultilevel"/>
    <w:tmpl w:val="3880D1D0"/>
    <w:lvl w:ilvl="0" w:tplc="B46C328C">
      <w:numFmt w:val="bullet"/>
      <w:lvlText w:val="*"/>
      <w:lvlJc w:val="left"/>
      <w:pPr>
        <w:ind w:left="1135" w:hanging="195"/>
      </w:pPr>
      <w:rPr>
        <w:rFonts w:ascii="Times New Roman" w:eastAsia="Times New Roman" w:hAnsi="Times New Roman" w:cs="Times New Roman" w:hint="default"/>
        <w:spacing w:val="0"/>
        <w:w w:val="100"/>
        <w:lang w:val="pl-PL" w:eastAsia="en-US" w:bidi="ar-SA"/>
      </w:rPr>
    </w:lvl>
    <w:lvl w:ilvl="1" w:tplc="7A30F766">
      <w:numFmt w:val="bullet"/>
      <w:lvlText w:val="•"/>
      <w:lvlJc w:val="left"/>
      <w:pPr>
        <w:ind w:left="2188" w:hanging="195"/>
      </w:pPr>
      <w:rPr>
        <w:rFonts w:hint="default"/>
        <w:lang w:val="pl-PL" w:eastAsia="en-US" w:bidi="ar-SA"/>
      </w:rPr>
    </w:lvl>
    <w:lvl w:ilvl="2" w:tplc="A6EE96E4">
      <w:numFmt w:val="bullet"/>
      <w:lvlText w:val="•"/>
      <w:lvlJc w:val="left"/>
      <w:pPr>
        <w:ind w:left="3236" w:hanging="195"/>
      </w:pPr>
      <w:rPr>
        <w:rFonts w:hint="default"/>
        <w:lang w:val="pl-PL" w:eastAsia="en-US" w:bidi="ar-SA"/>
      </w:rPr>
    </w:lvl>
    <w:lvl w:ilvl="3" w:tplc="2A60EC2C">
      <w:numFmt w:val="bullet"/>
      <w:lvlText w:val="•"/>
      <w:lvlJc w:val="left"/>
      <w:pPr>
        <w:ind w:left="4285" w:hanging="195"/>
      </w:pPr>
      <w:rPr>
        <w:rFonts w:hint="default"/>
        <w:lang w:val="pl-PL" w:eastAsia="en-US" w:bidi="ar-SA"/>
      </w:rPr>
    </w:lvl>
    <w:lvl w:ilvl="4" w:tplc="E3642AF0">
      <w:numFmt w:val="bullet"/>
      <w:lvlText w:val="•"/>
      <w:lvlJc w:val="left"/>
      <w:pPr>
        <w:ind w:left="5333" w:hanging="195"/>
      </w:pPr>
      <w:rPr>
        <w:rFonts w:hint="default"/>
        <w:lang w:val="pl-PL" w:eastAsia="en-US" w:bidi="ar-SA"/>
      </w:rPr>
    </w:lvl>
    <w:lvl w:ilvl="5" w:tplc="938ABC40">
      <w:numFmt w:val="bullet"/>
      <w:lvlText w:val="•"/>
      <w:lvlJc w:val="left"/>
      <w:pPr>
        <w:ind w:left="6381" w:hanging="195"/>
      </w:pPr>
      <w:rPr>
        <w:rFonts w:hint="default"/>
        <w:lang w:val="pl-PL" w:eastAsia="en-US" w:bidi="ar-SA"/>
      </w:rPr>
    </w:lvl>
    <w:lvl w:ilvl="6" w:tplc="88C0D5AA">
      <w:numFmt w:val="bullet"/>
      <w:lvlText w:val="•"/>
      <w:lvlJc w:val="left"/>
      <w:pPr>
        <w:ind w:left="7430" w:hanging="195"/>
      </w:pPr>
      <w:rPr>
        <w:rFonts w:hint="default"/>
        <w:lang w:val="pl-PL" w:eastAsia="en-US" w:bidi="ar-SA"/>
      </w:rPr>
    </w:lvl>
    <w:lvl w:ilvl="7" w:tplc="50F09CEA">
      <w:numFmt w:val="bullet"/>
      <w:lvlText w:val="•"/>
      <w:lvlJc w:val="left"/>
      <w:pPr>
        <w:ind w:left="8478" w:hanging="195"/>
      </w:pPr>
      <w:rPr>
        <w:rFonts w:hint="default"/>
        <w:lang w:val="pl-PL" w:eastAsia="en-US" w:bidi="ar-SA"/>
      </w:rPr>
    </w:lvl>
    <w:lvl w:ilvl="8" w:tplc="5A8C3798">
      <w:numFmt w:val="bullet"/>
      <w:lvlText w:val="•"/>
      <w:lvlJc w:val="left"/>
      <w:pPr>
        <w:ind w:left="9526" w:hanging="195"/>
      </w:pPr>
      <w:rPr>
        <w:rFonts w:hint="default"/>
        <w:lang w:val="pl-PL" w:eastAsia="en-US" w:bidi="ar-SA"/>
      </w:rPr>
    </w:lvl>
  </w:abstractNum>
  <w:abstractNum w:abstractNumId="13" w15:restartNumberingAfterBreak="0">
    <w:nsid w:val="52AA0E4D"/>
    <w:multiLevelType w:val="multilevel"/>
    <w:tmpl w:val="BF7C9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951739"/>
    <w:multiLevelType w:val="hybridMultilevel"/>
    <w:tmpl w:val="C7E88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BDB2C74"/>
    <w:multiLevelType w:val="multilevel"/>
    <w:tmpl w:val="1F44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6B7A16"/>
    <w:multiLevelType w:val="multilevel"/>
    <w:tmpl w:val="D9AA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FCB10E2"/>
    <w:multiLevelType w:val="multilevel"/>
    <w:tmpl w:val="C91A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2E2282B"/>
    <w:multiLevelType w:val="multilevel"/>
    <w:tmpl w:val="7C26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3816DC3"/>
    <w:multiLevelType w:val="multilevel"/>
    <w:tmpl w:val="5374DB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42F7B1F"/>
    <w:multiLevelType w:val="multilevel"/>
    <w:tmpl w:val="6F24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49C553C"/>
    <w:multiLevelType w:val="hybridMultilevel"/>
    <w:tmpl w:val="E1CE35BC"/>
    <w:lvl w:ilvl="0" w:tplc="E918D8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762373FC"/>
    <w:multiLevelType w:val="multilevel"/>
    <w:tmpl w:val="AE8EF1B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CB20227"/>
    <w:multiLevelType w:val="multilevel"/>
    <w:tmpl w:val="9FC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DE46203"/>
    <w:multiLevelType w:val="multilevel"/>
    <w:tmpl w:val="B6EE610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610746491">
    <w:abstractNumId w:val="13"/>
  </w:num>
  <w:num w:numId="2" w16cid:durableId="119735955">
    <w:abstractNumId w:val="9"/>
  </w:num>
  <w:num w:numId="3" w16cid:durableId="1285499782">
    <w:abstractNumId w:val="14"/>
  </w:num>
  <w:num w:numId="4" w16cid:durableId="936056160">
    <w:abstractNumId w:val="10"/>
  </w:num>
  <w:num w:numId="5" w16cid:durableId="1659378244">
    <w:abstractNumId w:val="11"/>
  </w:num>
  <w:num w:numId="6" w16cid:durableId="1398893691">
    <w:abstractNumId w:val="16"/>
  </w:num>
  <w:num w:numId="7" w16cid:durableId="85078705">
    <w:abstractNumId w:val="18"/>
  </w:num>
  <w:num w:numId="8" w16cid:durableId="1156453506">
    <w:abstractNumId w:val="15"/>
  </w:num>
  <w:num w:numId="9" w16cid:durableId="987900129">
    <w:abstractNumId w:val="23"/>
  </w:num>
  <w:num w:numId="10" w16cid:durableId="1747071249">
    <w:abstractNumId w:val="0"/>
  </w:num>
  <w:num w:numId="11" w16cid:durableId="1362512916">
    <w:abstractNumId w:val="3"/>
  </w:num>
  <w:num w:numId="12" w16cid:durableId="2062751798">
    <w:abstractNumId w:val="17"/>
  </w:num>
  <w:num w:numId="13" w16cid:durableId="427892765">
    <w:abstractNumId w:val="20"/>
  </w:num>
  <w:num w:numId="14" w16cid:durableId="2019767168">
    <w:abstractNumId w:val="5"/>
  </w:num>
  <w:num w:numId="15" w16cid:durableId="399445549">
    <w:abstractNumId w:val="21"/>
  </w:num>
  <w:num w:numId="16" w16cid:durableId="1541237541">
    <w:abstractNumId w:val="8"/>
  </w:num>
  <w:num w:numId="17" w16cid:durableId="345791927">
    <w:abstractNumId w:val="6"/>
  </w:num>
  <w:num w:numId="18" w16cid:durableId="2017489890">
    <w:abstractNumId w:val="2"/>
  </w:num>
  <w:num w:numId="19" w16cid:durableId="1915814541">
    <w:abstractNumId w:val="12"/>
  </w:num>
  <w:num w:numId="20" w16cid:durableId="643195984">
    <w:abstractNumId w:val="1"/>
  </w:num>
  <w:num w:numId="21" w16cid:durableId="2051102579">
    <w:abstractNumId w:val="4"/>
  </w:num>
  <w:num w:numId="22" w16cid:durableId="831724473">
    <w:abstractNumId w:val="22"/>
  </w:num>
  <w:num w:numId="23" w16cid:durableId="1253661830">
    <w:abstractNumId w:val="7"/>
  </w:num>
  <w:num w:numId="24" w16cid:durableId="84158016">
    <w:abstractNumId w:val="19"/>
  </w:num>
  <w:num w:numId="25" w16cid:durableId="1704554275">
    <w:abstractNumId w:val="24"/>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uliya Martyniuk">
    <w15:presenceInfo w15:providerId="None" w15:userId="Yuliya Martyniu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0370"/>
    <w:rsid w:val="00000386"/>
    <w:rsid w:val="00001E22"/>
    <w:rsid w:val="00002B71"/>
    <w:rsid w:val="0000724A"/>
    <w:rsid w:val="000077FF"/>
    <w:rsid w:val="0001106C"/>
    <w:rsid w:val="00011561"/>
    <w:rsid w:val="00012450"/>
    <w:rsid w:val="000134C0"/>
    <w:rsid w:val="000176F0"/>
    <w:rsid w:val="0002237D"/>
    <w:rsid w:val="00022A06"/>
    <w:rsid w:val="00023AAF"/>
    <w:rsid w:val="0002485C"/>
    <w:rsid w:val="00024B25"/>
    <w:rsid w:val="00025177"/>
    <w:rsid w:val="000258D7"/>
    <w:rsid w:val="00025AAD"/>
    <w:rsid w:val="0002694C"/>
    <w:rsid w:val="000272BC"/>
    <w:rsid w:val="00030394"/>
    <w:rsid w:val="000317D6"/>
    <w:rsid w:val="00031A54"/>
    <w:rsid w:val="00034892"/>
    <w:rsid w:val="00034ADA"/>
    <w:rsid w:val="00034CC2"/>
    <w:rsid w:val="000379D9"/>
    <w:rsid w:val="00042904"/>
    <w:rsid w:val="00042FA9"/>
    <w:rsid w:val="00044162"/>
    <w:rsid w:val="0004489E"/>
    <w:rsid w:val="000505B9"/>
    <w:rsid w:val="00051BCC"/>
    <w:rsid w:val="00053133"/>
    <w:rsid w:val="00055C4D"/>
    <w:rsid w:val="00056002"/>
    <w:rsid w:val="00060349"/>
    <w:rsid w:val="0006314B"/>
    <w:rsid w:val="000648F1"/>
    <w:rsid w:val="00064A75"/>
    <w:rsid w:val="000653BE"/>
    <w:rsid w:val="000679C1"/>
    <w:rsid w:val="00067BFB"/>
    <w:rsid w:val="00067CE1"/>
    <w:rsid w:val="00070972"/>
    <w:rsid w:val="00070E1C"/>
    <w:rsid w:val="0007359B"/>
    <w:rsid w:val="00073FF4"/>
    <w:rsid w:val="000744C5"/>
    <w:rsid w:val="00074D35"/>
    <w:rsid w:val="000753E4"/>
    <w:rsid w:val="00076BE5"/>
    <w:rsid w:val="000801AF"/>
    <w:rsid w:val="0008263E"/>
    <w:rsid w:val="00082679"/>
    <w:rsid w:val="0008276D"/>
    <w:rsid w:val="00082B81"/>
    <w:rsid w:val="0008304C"/>
    <w:rsid w:val="00083FB5"/>
    <w:rsid w:val="000840F3"/>
    <w:rsid w:val="00084F64"/>
    <w:rsid w:val="00090160"/>
    <w:rsid w:val="00090A8C"/>
    <w:rsid w:val="00091CB5"/>
    <w:rsid w:val="00092E13"/>
    <w:rsid w:val="00093FA9"/>
    <w:rsid w:val="00094F29"/>
    <w:rsid w:val="00095D46"/>
    <w:rsid w:val="00095E9F"/>
    <w:rsid w:val="000969F7"/>
    <w:rsid w:val="000A00E4"/>
    <w:rsid w:val="000A23DC"/>
    <w:rsid w:val="000A4C3C"/>
    <w:rsid w:val="000A6BC9"/>
    <w:rsid w:val="000A7786"/>
    <w:rsid w:val="000A7A0D"/>
    <w:rsid w:val="000B0499"/>
    <w:rsid w:val="000B06D0"/>
    <w:rsid w:val="000B0F98"/>
    <w:rsid w:val="000B1714"/>
    <w:rsid w:val="000B27B6"/>
    <w:rsid w:val="000B4898"/>
    <w:rsid w:val="000B4A65"/>
    <w:rsid w:val="000B5B8B"/>
    <w:rsid w:val="000B609C"/>
    <w:rsid w:val="000B675D"/>
    <w:rsid w:val="000B6FB3"/>
    <w:rsid w:val="000C1353"/>
    <w:rsid w:val="000C155A"/>
    <w:rsid w:val="000C1E69"/>
    <w:rsid w:val="000C27BD"/>
    <w:rsid w:val="000C4AFF"/>
    <w:rsid w:val="000C6080"/>
    <w:rsid w:val="000C74C9"/>
    <w:rsid w:val="000C7D8D"/>
    <w:rsid w:val="000D07D8"/>
    <w:rsid w:val="000D0FE8"/>
    <w:rsid w:val="000D1290"/>
    <w:rsid w:val="000D43FD"/>
    <w:rsid w:val="000D46BC"/>
    <w:rsid w:val="000D6782"/>
    <w:rsid w:val="000E2B10"/>
    <w:rsid w:val="000E2D6B"/>
    <w:rsid w:val="000E3FA6"/>
    <w:rsid w:val="000E430A"/>
    <w:rsid w:val="000E5008"/>
    <w:rsid w:val="000E64E9"/>
    <w:rsid w:val="000F1454"/>
    <w:rsid w:val="000F1CEB"/>
    <w:rsid w:val="000F219E"/>
    <w:rsid w:val="000F3BF6"/>
    <w:rsid w:val="000F45B7"/>
    <w:rsid w:val="000F4E89"/>
    <w:rsid w:val="000F5BA8"/>
    <w:rsid w:val="000F6B76"/>
    <w:rsid w:val="000F7181"/>
    <w:rsid w:val="001014C6"/>
    <w:rsid w:val="001017A3"/>
    <w:rsid w:val="001024CB"/>
    <w:rsid w:val="00102FDB"/>
    <w:rsid w:val="00103F2F"/>
    <w:rsid w:val="00105114"/>
    <w:rsid w:val="001056CB"/>
    <w:rsid w:val="00106F03"/>
    <w:rsid w:val="00107870"/>
    <w:rsid w:val="00107A08"/>
    <w:rsid w:val="0011053D"/>
    <w:rsid w:val="001125B3"/>
    <w:rsid w:val="001130EB"/>
    <w:rsid w:val="00113185"/>
    <w:rsid w:val="0011420F"/>
    <w:rsid w:val="00116A82"/>
    <w:rsid w:val="00120270"/>
    <w:rsid w:val="00121246"/>
    <w:rsid w:val="00121550"/>
    <w:rsid w:val="00122515"/>
    <w:rsid w:val="00122850"/>
    <w:rsid w:val="0012415D"/>
    <w:rsid w:val="00125443"/>
    <w:rsid w:val="00126439"/>
    <w:rsid w:val="00126440"/>
    <w:rsid w:val="00131562"/>
    <w:rsid w:val="001323DA"/>
    <w:rsid w:val="001324E6"/>
    <w:rsid w:val="00133EE4"/>
    <w:rsid w:val="00134E2B"/>
    <w:rsid w:val="00136D1E"/>
    <w:rsid w:val="00137345"/>
    <w:rsid w:val="0014243C"/>
    <w:rsid w:val="0014329D"/>
    <w:rsid w:val="001440B7"/>
    <w:rsid w:val="00145151"/>
    <w:rsid w:val="0014520A"/>
    <w:rsid w:val="00146573"/>
    <w:rsid w:val="00151A2D"/>
    <w:rsid w:val="00151FD0"/>
    <w:rsid w:val="001547AF"/>
    <w:rsid w:val="00156514"/>
    <w:rsid w:val="00156658"/>
    <w:rsid w:val="00156B18"/>
    <w:rsid w:val="00156BEE"/>
    <w:rsid w:val="001571E4"/>
    <w:rsid w:val="00157291"/>
    <w:rsid w:val="00157A5E"/>
    <w:rsid w:val="00160357"/>
    <w:rsid w:val="00164100"/>
    <w:rsid w:val="00164479"/>
    <w:rsid w:val="00165B4C"/>
    <w:rsid w:val="00167924"/>
    <w:rsid w:val="00170249"/>
    <w:rsid w:val="001707C6"/>
    <w:rsid w:val="00170E6E"/>
    <w:rsid w:val="001720E3"/>
    <w:rsid w:val="00174AC1"/>
    <w:rsid w:val="0017519E"/>
    <w:rsid w:val="00175E8A"/>
    <w:rsid w:val="001803DC"/>
    <w:rsid w:val="0018310F"/>
    <w:rsid w:val="001867C6"/>
    <w:rsid w:val="00192DB1"/>
    <w:rsid w:val="00193420"/>
    <w:rsid w:val="0019520C"/>
    <w:rsid w:val="001961C0"/>
    <w:rsid w:val="00196233"/>
    <w:rsid w:val="00196FA4"/>
    <w:rsid w:val="001A12CB"/>
    <w:rsid w:val="001A1C59"/>
    <w:rsid w:val="001A2169"/>
    <w:rsid w:val="001A3241"/>
    <w:rsid w:val="001A3EF6"/>
    <w:rsid w:val="001A418D"/>
    <w:rsid w:val="001A4C87"/>
    <w:rsid w:val="001A6025"/>
    <w:rsid w:val="001A74AF"/>
    <w:rsid w:val="001A76B7"/>
    <w:rsid w:val="001A76C3"/>
    <w:rsid w:val="001B1C57"/>
    <w:rsid w:val="001B2EF8"/>
    <w:rsid w:val="001B51E8"/>
    <w:rsid w:val="001B64B8"/>
    <w:rsid w:val="001B6E0C"/>
    <w:rsid w:val="001C0014"/>
    <w:rsid w:val="001C0EFF"/>
    <w:rsid w:val="001C1ADF"/>
    <w:rsid w:val="001C39DB"/>
    <w:rsid w:val="001C4C54"/>
    <w:rsid w:val="001C696E"/>
    <w:rsid w:val="001D308E"/>
    <w:rsid w:val="001D3E76"/>
    <w:rsid w:val="001D5824"/>
    <w:rsid w:val="001E018C"/>
    <w:rsid w:val="001E1C33"/>
    <w:rsid w:val="001E39A7"/>
    <w:rsid w:val="001E3DC6"/>
    <w:rsid w:val="001E5997"/>
    <w:rsid w:val="001E5CE5"/>
    <w:rsid w:val="001E5D65"/>
    <w:rsid w:val="001E6877"/>
    <w:rsid w:val="001E7BF2"/>
    <w:rsid w:val="001E7EC8"/>
    <w:rsid w:val="001F155F"/>
    <w:rsid w:val="001F2912"/>
    <w:rsid w:val="001F3809"/>
    <w:rsid w:val="001F3F60"/>
    <w:rsid w:val="001F451E"/>
    <w:rsid w:val="001F6DD2"/>
    <w:rsid w:val="00200366"/>
    <w:rsid w:val="002015C2"/>
    <w:rsid w:val="00201DFF"/>
    <w:rsid w:val="00203ED3"/>
    <w:rsid w:val="00206E53"/>
    <w:rsid w:val="00207795"/>
    <w:rsid w:val="0021014A"/>
    <w:rsid w:val="002113D3"/>
    <w:rsid w:val="00213601"/>
    <w:rsid w:val="002203D0"/>
    <w:rsid w:val="00220971"/>
    <w:rsid w:val="00221117"/>
    <w:rsid w:val="00225E31"/>
    <w:rsid w:val="00226565"/>
    <w:rsid w:val="002274BB"/>
    <w:rsid w:val="00230037"/>
    <w:rsid w:val="00230CCF"/>
    <w:rsid w:val="0023208B"/>
    <w:rsid w:val="002343EA"/>
    <w:rsid w:val="00234537"/>
    <w:rsid w:val="0023465D"/>
    <w:rsid w:val="00234EDD"/>
    <w:rsid w:val="00235151"/>
    <w:rsid w:val="00237095"/>
    <w:rsid w:val="002400DB"/>
    <w:rsid w:val="00241019"/>
    <w:rsid w:val="00241E99"/>
    <w:rsid w:val="00245B20"/>
    <w:rsid w:val="00250E74"/>
    <w:rsid w:val="002546A6"/>
    <w:rsid w:val="0025608E"/>
    <w:rsid w:val="0025612C"/>
    <w:rsid w:val="002578DF"/>
    <w:rsid w:val="00257C51"/>
    <w:rsid w:val="00260E50"/>
    <w:rsid w:val="00261818"/>
    <w:rsid w:val="002618CA"/>
    <w:rsid w:val="00262BBA"/>
    <w:rsid w:val="002634DD"/>
    <w:rsid w:val="00264048"/>
    <w:rsid w:val="0026461C"/>
    <w:rsid w:val="00264E66"/>
    <w:rsid w:val="0026538A"/>
    <w:rsid w:val="00267F7F"/>
    <w:rsid w:val="002700A2"/>
    <w:rsid w:val="00272AAC"/>
    <w:rsid w:val="00272AE7"/>
    <w:rsid w:val="00273603"/>
    <w:rsid w:val="00273FCA"/>
    <w:rsid w:val="0027451D"/>
    <w:rsid w:val="0027554F"/>
    <w:rsid w:val="00275605"/>
    <w:rsid w:val="0027670A"/>
    <w:rsid w:val="002800D5"/>
    <w:rsid w:val="002812AC"/>
    <w:rsid w:val="002817A2"/>
    <w:rsid w:val="00282970"/>
    <w:rsid w:val="00282FE1"/>
    <w:rsid w:val="002836BC"/>
    <w:rsid w:val="00283EC9"/>
    <w:rsid w:val="002906AE"/>
    <w:rsid w:val="0029141E"/>
    <w:rsid w:val="00291A5F"/>
    <w:rsid w:val="00293775"/>
    <w:rsid w:val="0029396C"/>
    <w:rsid w:val="00296F31"/>
    <w:rsid w:val="002A0653"/>
    <w:rsid w:val="002A1101"/>
    <w:rsid w:val="002A2CAF"/>
    <w:rsid w:val="002A46E6"/>
    <w:rsid w:val="002A6D9C"/>
    <w:rsid w:val="002B07E7"/>
    <w:rsid w:val="002B22C2"/>
    <w:rsid w:val="002B4EED"/>
    <w:rsid w:val="002B62C4"/>
    <w:rsid w:val="002B77A4"/>
    <w:rsid w:val="002C002E"/>
    <w:rsid w:val="002C1466"/>
    <w:rsid w:val="002C2E74"/>
    <w:rsid w:val="002C39BE"/>
    <w:rsid w:val="002C4421"/>
    <w:rsid w:val="002C4BE9"/>
    <w:rsid w:val="002C6C48"/>
    <w:rsid w:val="002D17FF"/>
    <w:rsid w:val="002D202A"/>
    <w:rsid w:val="002D462F"/>
    <w:rsid w:val="002D4F7C"/>
    <w:rsid w:val="002D5F2A"/>
    <w:rsid w:val="002E0F4F"/>
    <w:rsid w:val="002E230A"/>
    <w:rsid w:val="002E344C"/>
    <w:rsid w:val="002E6D57"/>
    <w:rsid w:val="002F0D83"/>
    <w:rsid w:val="002F13F0"/>
    <w:rsid w:val="002F1C77"/>
    <w:rsid w:val="002F2780"/>
    <w:rsid w:val="002F34D7"/>
    <w:rsid w:val="002F4C0C"/>
    <w:rsid w:val="002F51B0"/>
    <w:rsid w:val="002F54DE"/>
    <w:rsid w:val="002F7BDF"/>
    <w:rsid w:val="003016D0"/>
    <w:rsid w:val="003023A3"/>
    <w:rsid w:val="003038C8"/>
    <w:rsid w:val="00304D7C"/>
    <w:rsid w:val="00305F2F"/>
    <w:rsid w:val="003104F4"/>
    <w:rsid w:val="00310A5C"/>
    <w:rsid w:val="003121BC"/>
    <w:rsid w:val="0031252A"/>
    <w:rsid w:val="00312A2A"/>
    <w:rsid w:val="00312EE7"/>
    <w:rsid w:val="0031557B"/>
    <w:rsid w:val="00316167"/>
    <w:rsid w:val="0031789C"/>
    <w:rsid w:val="00320785"/>
    <w:rsid w:val="00320E7F"/>
    <w:rsid w:val="00321225"/>
    <w:rsid w:val="00321B2D"/>
    <w:rsid w:val="00324147"/>
    <w:rsid w:val="00325064"/>
    <w:rsid w:val="00326A5F"/>
    <w:rsid w:val="00326F7C"/>
    <w:rsid w:val="00327839"/>
    <w:rsid w:val="0033201D"/>
    <w:rsid w:val="00332CEF"/>
    <w:rsid w:val="003336EF"/>
    <w:rsid w:val="00335C3B"/>
    <w:rsid w:val="0034233F"/>
    <w:rsid w:val="00342882"/>
    <w:rsid w:val="00342FDD"/>
    <w:rsid w:val="00343B38"/>
    <w:rsid w:val="00344289"/>
    <w:rsid w:val="00344FFA"/>
    <w:rsid w:val="00345979"/>
    <w:rsid w:val="003459DE"/>
    <w:rsid w:val="003460B2"/>
    <w:rsid w:val="003462CD"/>
    <w:rsid w:val="00350288"/>
    <w:rsid w:val="003518DB"/>
    <w:rsid w:val="003520B1"/>
    <w:rsid w:val="003535AD"/>
    <w:rsid w:val="00353FEA"/>
    <w:rsid w:val="00354E4F"/>
    <w:rsid w:val="00354F8B"/>
    <w:rsid w:val="00361A41"/>
    <w:rsid w:val="00362BEB"/>
    <w:rsid w:val="00366733"/>
    <w:rsid w:val="003668A0"/>
    <w:rsid w:val="0036696C"/>
    <w:rsid w:val="00366CA7"/>
    <w:rsid w:val="00367191"/>
    <w:rsid w:val="00372814"/>
    <w:rsid w:val="003731E4"/>
    <w:rsid w:val="003752B4"/>
    <w:rsid w:val="00376185"/>
    <w:rsid w:val="00376730"/>
    <w:rsid w:val="003767E7"/>
    <w:rsid w:val="00380127"/>
    <w:rsid w:val="00380795"/>
    <w:rsid w:val="003854AC"/>
    <w:rsid w:val="00385A0E"/>
    <w:rsid w:val="00386278"/>
    <w:rsid w:val="00386665"/>
    <w:rsid w:val="00386C2D"/>
    <w:rsid w:val="00386F66"/>
    <w:rsid w:val="003873F8"/>
    <w:rsid w:val="00387E9E"/>
    <w:rsid w:val="0039083B"/>
    <w:rsid w:val="003927BC"/>
    <w:rsid w:val="00392BA4"/>
    <w:rsid w:val="003938F8"/>
    <w:rsid w:val="0039541B"/>
    <w:rsid w:val="0039755F"/>
    <w:rsid w:val="003A2F3E"/>
    <w:rsid w:val="003A4080"/>
    <w:rsid w:val="003A50A9"/>
    <w:rsid w:val="003A5CF2"/>
    <w:rsid w:val="003A5D1B"/>
    <w:rsid w:val="003A60A7"/>
    <w:rsid w:val="003A6C35"/>
    <w:rsid w:val="003A72A3"/>
    <w:rsid w:val="003B0112"/>
    <w:rsid w:val="003B0667"/>
    <w:rsid w:val="003B3177"/>
    <w:rsid w:val="003B492C"/>
    <w:rsid w:val="003B4C92"/>
    <w:rsid w:val="003B5EE3"/>
    <w:rsid w:val="003B5F84"/>
    <w:rsid w:val="003B632F"/>
    <w:rsid w:val="003C0BE5"/>
    <w:rsid w:val="003C143B"/>
    <w:rsid w:val="003C239C"/>
    <w:rsid w:val="003C2915"/>
    <w:rsid w:val="003C2B06"/>
    <w:rsid w:val="003C32EC"/>
    <w:rsid w:val="003C38C0"/>
    <w:rsid w:val="003C3E87"/>
    <w:rsid w:val="003C40E4"/>
    <w:rsid w:val="003C5253"/>
    <w:rsid w:val="003C567D"/>
    <w:rsid w:val="003C78BF"/>
    <w:rsid w:val="003D1A43"/>
    <w:rsid w:val="003D32EE"/>
    <w:rsid w:val="003D3808"/>
    <w:rsid w:val="003E008F"/>
    <w:rsid w:val="003E145F"/>
    <w:rsid w:val="003E1F47"/>
    <w:rsid w:val="003E24EF"/>
    <w:rsid w:val="003E2727"/>
    <w:rsid w:val="003E313A"/>
    <w:rsid w:val="003E3B01"/>
    <w:rsid w:val="003E42F9"/>
    <w:rsid w:val="003E43C6"/>
    <w:rsid w:val="003E5AF7"/>
    <w:rsid w:val="003E5DEC"/>
    <w:rsid w:val="003E5F21"/>
    <w:rsid w:val="003E61CC"/>
    <w:rsid w:val="003E6EC9"/>
    <w:rsid w:val="003F0091"/>
    <w:rsid w:val="003F0306"/>
    <w:rsid w:val="003F0442"/>
    <w:rsid w:val="003F27E5"/>
    <w:rsid w:val="003F29DF"/>
    <w:rsid w:val="003F2E2B"/>
    <w:rsid w:val="003F39E3"/>
    <w:rsid w:val="003F3B4F"/>
    <w:rsid w:val="003F64E5"/>
    <w:rsid w:val="00400315"/>
    <w:rsid w:val="004004A6"/>
    <w:rsid w:val="00401783"/>
    <w:rsid w:val="0040196C"/>
    <w:rsid w:val="00401F99"/>
    <w:rsid w:val="00402F60"/>
    <w:rsid w:val="00404577"/>
    <w:rsid w:val="00407216"/>
    <w:rsid w:val="00410019"/>
    <w:rsid w:val="00410354"/>
    <w:rsid w:val="00410498"/>
    <w:rsid w:val="004104FC"/>
    <w:rsid w:val="00411AB3"/>
    <w:rsid w:val="00411AC8"/>
    <w:rsid w:val="004121FE"/>
    <w:rsid w:val="00413E7D"/>
    <w:rsid w:val="00414F2D"/>
    <w:rsid w:val="00417A15"/>
    <w:rsid w:val="00417F4F"/>
    <w:rsid w:val="004203E2"/>
    <w:rsid w:val="00425797"/>
    <w:rsid w:val="00425DBC"/>
    <w:rsid w:val="00427AE4"/>
    <w:rsid w:val="004301D5"/>
    <w:rsid w:val="00430752"/>
    <w:rsid w:val="004311AF"/>
    <w:rsid w:val="00431E4F"/>
    <w:rsid w:val="00433EA4"/>
    <w:rsid w:val="00434F38"/>
    <w:rsid w:val="00435030"/>
    <w:rsid w:val="00435037"/>
    <w:rsid w:val="004355B1"/>
    <w:rsid w:val="00435C6B"/>
    <w:rsid w:val="00435D93"/>
    <w:rsid w:val="0043607D"/>
    <w:rsid w:val="004415F4"/>
    <w:rsid w:val="00445B6E"/>
    <w:rsid w:val="00447213"/>
    <w:rsid w:val="00450833"/>
    <w:rsid w:val="00450BB5"/>
    <w:rsid w:val="00452A39"/>
    <w:rsid w:val="00452AF4"/>
    <w:rsid w:val="00453167"/>
    <w:rsid w:val="004559F7"/>
    <w:rsid w:val="00455DC8"/>
    <w:rsid w:val="0046056A"/>
    <w:rsid w:val="0046122E"/>
    <w:rsid w:val="004616B2"/>
    <w:rsid w:val="004621BC"/>
    <w:rsid w:val="00465A69"/>
    <w:rsid w:val="00465F13"/>
    <w:rsid w:val="00466B13"/>
    <w:rsid w:val="004679BD"/>
    <w:rsid w:val="004703BE"/>
    <w:rsid w:val="00470FCB"/>
    <w:rsid w:val="004724F2"/>
    <w:rsid w:val="00472DA8"/>
    <w:rsid w:val="004733DD"/>
    <w:rsid w:val="0047501C"/>
    <w:rsid w:val="00475074"/>
    <w:rsid w:val="004751B7"/>
    <w:rsid w:val="00475234"/>
    <w:rsid w:val="00475A82"/>
    <w:rsid w:val="00475B00"/>
    <w:rsid w:val="0048157D"/>
    <w:rsid w:val="00482273"/>
    <w:rsid w:val="0048246E"/>
    <w:rsid w:val="00483AB2"/>
    <w:rsid w:val="00484C90"/>
    <w:rsid w:val="00484CAE"/>
    <w:rsid w:val="00486C60"/>
    <w:rsid w:val="00486F8E"/>
    <w:rsid w:val="004902B2"/>
    <w:rsid w:val="00490DF4"/>
    <w:rsid w:val="00492EAF"/>
    <w:rsid w:val="00493265"/>
    <w:rsid w:val="004944B3"/>
    <w:rsid w:val="004945F5"/>
    <w:rsid w:val="00494A19"/>
    <w:rsid w:val="00496269"/>
    <w:rsid w:val="00497D83"/>
    <w:rsid w:val="004A0946"/>
    <w:rsid w:val="004A1B0B"/>
    <w:rsid w:val="004A21BF"/>
    <w:rsid w:val="004A2FB7"/>
    <w:rsid w:val="004A2FE9"/>
    <w:rsid w:val="004A3C17"/>
    <w:rsid w:val="004A524F"/>
    <w:rsid w:val="004A6596"/>
    <w:rsid w:val="004A6ACC"/>
    <w:rsid w:val="004A6BAD"/>
    <w:rsid w:val="004B03EE"/>
    <w:rsid w:val="004B1E6F"/>
    <w:rsid w:val="004B2248"/>
    <w:rsid w:val="004B294B"/>
    <w:rsid w:val="004B2C8B"/>
    <w:rsid w:val="004B2F82"/>
    <w:rsid w:val="004B4A6C"/>
    <w:rsid w:val="004B4BF0"/>
    <w:rsid w:val="004B5572"/>
    <w:rsid w:val="004B5B14"/>
    <w:rsid w:val="004B5B5B"/>
    <w:rsid w:val="004B6E9F"/>
    <w:rsid w:val="004B796B"/>
    <w:rsid w:val="004C0DF2"/>
    <w:rsid w:val="004C327E"/>
    <w:rsid w:val="004C49A0"/>
    <w:rsid w:val="004D0ADC"/>
    <w:rsid w:val="004D2C86"/>
    <w:rsid w:val="004D5B75"/>
    <w:rsid w:val="004E0087"/>
    <w:rsid w:val="004E088A"/>
    <w:rsid w:val="004E0EBD"/>
    <w:rsid w:val="004E16F2"/>
    <w:rsid w:val="004E175A"/>
    <w:rsid w:val="004E1C53"/>
    <w:rsid w:val="004E2B1C"/>
    <w:rsid w:val="004E2BE8"/>
    <w:rsid w:val="004E4D83"/>
    <w:rsid w:val="004E6558"/>
    <w:rsid w:val="004F037D"/>
    <w:rsid w:val="004F27A3"/>
    <w:rsid w:val="004F2C56"/>
    <w:rsid w:val="004F41F9"/>
    <w:rsid w:val="004F4749"/>
    <w:rsid w:val="004F640C"/>
    <w:rsid w:val="004F70E3"/>
    <w:rsid w:val="004F75F5"/>
    <w:rsid w:val="00500B63"/>
    <w:rsid w:val="00500C3C"/>
    <w:rsid w:val="00501FE1"/>
    <w:rsid w:val="00502336"/>
    <w:rsid w:val="00502C04"/>
    <w:rsid w:val="00502F57"/>
    <w:rsid w:val="0050387D"/>
    <w:rsid w:val="0051185F"/>
    <w:rsid w:val="005125EE"/>
    <w:rsid w:val="005130DE"/>
    <w:rsid w:val="0051341D"/>
    <w:rsid w:val="005173A6"/>
    <w:rsid w:val="005216CC"/>
    <w:rsid w:val="005231F0"/>
    <w:rsid w:val="005235EB"/>
    <w:rsid w:val="005241AD"/>
    <w:rsid w:val="005260E7"/>
    <w:rsid w:val="00526708"/>
    <w:rsid w:val="00530830"/>
    <w:rsid w:val="00530A58"/>
    <w:rsid w:val="00531D6E"/>
    <w:rsid w:val="0053344B"/>
    <w:rsid w:val="00535687"/>
    <w:rsid w:val="00536229"/>
    <w:rsid w:val="005369BA"/>
    <w:rsid w:val="00536F6B"/>
    <w:rsid w:val="00541248"/>
    <w:rsid w:val="0054124C"/>
    <w:rsid w:val="00541A3A"/>
    <w:rsid w:val="00543585"/>
    <w:rsid w:val="00545A31"/>
    <w:rsid w:val="00546833"/>
    <w:rsid w:val="00546B18"/>
    <w:rsid w:val="00547DEC"/>
    <w:rsid w:val="0055074A"/>
    <w:rsid w:val="00550ECC"/>
    <w:rsid w:val="00553D40"/>
    <w:rsid w:val="00557346"/>
    <w:rsid w:val="0055758C"/>
    <w:rsid w:val="005618EA"/>
    <w:rsid w:val="00564997"/>
    <w:rsid w:val="00567DB8"/>
    <w:rsid w:val="005700D6"/>
    <w:rsid w:val="00570ECB"/>
    <w:rsid w:val="00571B2F"/>
    <w:rsid w:val="00572C59"/>
    <w:rsid w:val="00572D8D"/>
    <w:rsid w:val="00573BE8"/>
    <w:rsid w:val="00577BC1"/>
    <w:rsid w:val="00577F81"/>
    <w:rsid w:val="00580E91"/>
    <w:rsid w:val="00583607"/>
    <w:rsid w:val="00583DD4"/>
    <w:rsid w:val="0058508D"/>
    <w:rsid w:val="00586672"/>
    <w:rsid w:val="00586BE6"/>
    <w:rsid w:val="00590EF7"/>
    <w:rsid w:val="00592298"/>
    <w:rsid w:val="00592828"/>
    <w:rsid w:val="0059342C"/>
    <w:rsid w:val="00593444"/>
    <w:rsid w:val="0059477A"/>
    <w:rsid w:val="00594F3C"/>
    <w:rsid w:val="005950D0"/>
    <w:rsid w:val="00595BD5"/>
    <w:rsid w:val="005A0917"/>
    <w:rsid w:val="005A19FC"/>
    <w:rsid w:val="005A42C3"/>
    <w:rsid w:val="005A690C"/>
    <w:rsid w:val="005A6F53"/>
    <w:rsid w:val="005A75D3"/>
    <w:rsid w:val="005B24F2"/>
    <w:rsid w:val="005B2AF9"/>
    <w:rsid w:val="005B2E33"/>
    <w:rsid w:val="005B5C62"/>
    <w:rsid w:val="005B692E"/>
    <w:rsid w:val="005B70C6"/>
    <w:rsid w:val="005C086B"/>
    <w:rsid w:val="005C0CA5"/>
    <w:rsid w:val="005C100C"/>
    <w:rsid w:val="005C2CAA"/>
    <w:rsid w:val="005C5B81"/>
    <w:rsid w:val="005C68B0"/>
    <w:rsid w:val="005C75C1"/>
    <w:rsid w:val="005D136C"/>
    <w:rsid w:val="005D3BBA"/>
    <w:rsid w:val="005D6DB5"/>
    <w:rsid w:val="005D7498"/>
    <w:rsid w:val="005D7D6D"/>
    <w:rsid w:val="005D7E81"/>
    <w:rsid w:val="005E18C8"/>
    <w:rsid w:val="005E3931"/>
    <w:rsid w:val="005E3E57"/>
    <w:rsid w:val="005E4D4D"/>
    <w:rsid w:val="005E63FC"/>
    <w:rsid w:val="005E6AFE"/>
    <w:rsid w:val="005F0C83"/>
    <w:rsid w:val="005F1D39"/>
    <w:rsid w:val="005F2B16"/>
    <w:rsid w:val="005F319B"/>
    <w:rsid w:val="005F3B79"/>
    <w:rsid w:val="005F3D1E"/>
    <w:rsid w:val="005F4407"/>
    <w:rsid w:val="005F7568"/>
    <w:rsid w:val="005F75A0"/>
    <w:rsid w:val="0060015D"/>
    <w:rsid w:val="006005CD"/>
    <w:rsid w:val="00604E07"/>
    <w:rsid w:val="00606790"/>
    <w:rsid w:val="006068F4"/>
    <w:rsid w:val="00606FF0"/>
    <w:rsid w:val="006072D6"/>
    <w:rsid w:val="00607349"/>
    <w:rsid w:val="00607520"/>
    <w:rsid w:val="00612103"/>
    <w:rsid w:val="00614D9D"/>
    <w:rsid w:val="006152CB"/>
    <w:rsid w:val="006160FD"/>
    <w:rsid w:val="00620136"/>
    <w:rsid w:val="00620BDC"/>
    <w:rsid w:val="00623B69"/>
    <w:rsid w:val="006258E0"/>
    <w:rsid w:val="0062678D"/>
    <w:rsid w:val="00627361"/>
    <w:rsid w:val="006306D4"/>
    <w:rsid w:val="006315AE"/>
    <w:rsid w:val="00631872"/>
    <w:rsid w:val="00631B51"/>
    <w:rsid w:val="00632890"/>
    <w:rsid w:val="006342A9"/>
    <w:rsid w:val="00634A2C"/>
    <w:rsid w:val="00636C91"/>
    <w:rsid w:val="006371AF"/>
    <w:rsid w:val="00637DB5"/>
    <w:rsid w:val="00640587"/>
    <w:rsid w:val="006409B7"/>
    <w:rsid w:val="006409FF"/>
    <w:rsid w:val="00643F3D"/>
    <w:rsid w:val="006442EA"/>
    <w:rsid w:val="00644966"/>
    <w:rsid w:val="0064550D"/>
    <w:rsid w:val="00645BB5"/>
    <w:rsid w:val="00651063"/>
    <w:rsid w:val="00652909"/>
    <w:rsid w:val="006537AE"/>
    <w:rsid w:val="00653CC6"/>
    <w:rsid w:val="0065464D"/>
    <w:rsid w:val="00655348"/>
    <w:rsid w:val="0065590B"/>
    <w:rsid w:val="00656048"/>
    <w:rsid w:val="00656369"/>
    <w:rsid w:val="006573C0"/>
    <w:rsid w:val="006579C8"/>
    <w:rsid w:val="00660C4E"/>
    <w:rsid w:val="0066146A"/>
    <w:rsid w:val="006623E9"/>
    <w:rsid w:val="00664E54"/>
    <w:rsid w:val="00670B92"/>
    <w:rsid w:val="00671C5E"/>
    <w:rsid w:val="00671EDD"/>
    <w:rsid w:val="00672597"/>
    <w:rsid w:val="0067328D"/>
    <w:rsid w:val="00673569"/>
    <w:rsid w:val="00673606"/>
    <w:rsid w:val="00673E46"/>
    <w:rsid w:val="00676734"/>
    <w:rsid w:val="00676E65"/>
    <w:rsid w:val="006771DA"/>
    <w:rsid w:val="0068377B"/>
    <w:rsid w:val="00685729"/>
    <w:rsid w:val="0068586B"/>
    <w:rsid w:val="006864D7"/>
    <w:rsid w:val="00686E46"/>
    <w:rsid w:val="00692648"/>
    <w:rsid w:val="006938E9"/>
    <w:rsid w:val="00693DD8"/>
    <w:rsid w:val="00694668"/>
    <w:rsid w:val="00695A51"/>
    <w:rsid w:val="00696EEB"/>
    <w:rsid w:val="006A00F0"/>
    <w:rsid w:val="006A0450"/>
    <w:rsid w:val="006A3D5C"/>
    <w:rsid w:val="006A4174"/>
    <w:rsid w:val="006A4B20"/>
    <w:rsid w:val="006A52FF"/>
    <w:rsid w:val="006A59A3"/>
    <w:rsid w:val="006A5B7E"/>
    <w:rsid w:val="006A5B9F"/>
    <w:rsid w:val="006B0452"/>
    <w:rsid w:val="006B07AD"/>
    <w:rsid w:val="006B07CD"/>
    <w:rsid w:val="006B1265"/>
    <w:rsid w:val="006B185D"/>
    <w:rsid w:val="006B3FAF"/>
    <w:rsid w:val="006B59C6"/>
    <w:rsid w:val="006B7BD4"/>
    <w:rsid w:val="006C160A"/>
    <w:rsid w:val="006C4832"/>
    <w:rsid w:val="006C56F7"/>
    <w:rsid w:val="006C5C30"/>
    <w:rsid w:val="006C5EC2"/>
    <w:rsid w:val="006D093B"/>
    <w:rsid w:val="006D2A09"/>
    <w:rsid w:val="006D3DCC"/>
    <w:rsid w:val="006D420B"/>
    <w:rsid w:val="006D493A"/>
    <w:rsid w:val="006D5E23"/>
    <w:rsid w:val="006D77CB"/>
    <w:rsid w:val="006D794C"/>
    <w:rsid w:val="006E0ABF"/>
    <w:rsid w:val="006E0EB6"/>
    <w:rsid w:val="006E1C7D"/>
    <w:rsid w:val="006E4850"/>
    <w:rsid w:val="006E4945"/>
    <w:rsid w:val="006E5558"/>
    <w:rsid w:val="006E5D30"/>
    <w:rsid w:val="006F16C5"/>
    <w:rsid w:val="006F287E"/>
    <w:rsid w:val="006F3AD9"/>
    <w:rsid w:val="006F6C4D"/>
    <w:rsid w:val="006F7F40"/>
    <w:rsid w:val="00701FB7"/>
    <w:rsid w:val="007022D1"/>
    <w:rsid w:val="00704439"/>
    <w:rsid w:val="007048B4"/>
    <w:rsid w:val="0070518E"/>
    <w:rsid w:val="00707662"/>
    <w:rsid w:val="007077F9"/>
    <w:rsid w:val="007079A5"/>
    <w:rsid w:val="00707D65"/>
    <w:rsid w:val="007103A8"/>
    <w:rsid w:val="00710825"/>
    <w:rsid w:val="0071133C"/>
    <w:rsid w:val="0071433C"/>
    <w:rsid w:val="007205B0"/>
    <w:rsid w:val="00721F3F"/>
    <w:rsid w:val="00722783"/>
    <w:rsid w:val="00723A10"/>
    <w:rsid w:val="00725768"/>
    <w:rsid w:val="0072684E"/>
    <w:rsid w:val="007270AB"/>
    <w:rsid w:val="007274DA"/>
    <w:rsid w:val="00730099"/>
    <w:rsid w:val="007313AA"/>
    <w:rsid w:val="00733374"/>
    <w:rsid w:val="0073360E"/>
    <w:rsid w:val="0073417B"/>
    <w:rsid w:val="007360CE"/>
    <w:rsid w:val="007363EE"/>
    <w:rsid w:val="00736803"/>
    <w:rsid w:val="00736D35"/>
    <w:rsid w:val="007412D7"/>
    <w:rsid w:val="00741DFA"/>
    <w:rsid w:val="0074622F"/>
    <w:rsid w:val="0074633A"/>
    <w:rsid w:val="007503F1"/>
    <w:rsid w:val="00751B5C"/>
    <w:rsid w:val="00751E9E"/>
    <w:rsid w:val="00752328"/>
    <w:rsid w:val="007524D2"/>
    <w:rsid w:val="007530D6"/>
    <w:rsid w:val="007546B8"/>
    <w:rsid w:val="00754833"/>
    <w:rsid w:val="007560DA"/>
    <w:rsid w:val="007568ED"/>
    <w:rsid w:val="00756A59"/>
    <w:rsid w:val="00756E79"/>
    <w:rsid w:val="0076182E"/>
    <w:rsid w:val="00763807"/>
    <w:rsid w:val="00764B7C"/>
    <w:rsid w:val="007651EB"/>
    <w:rsid w:val="007654E0"/>
    <w:rsid w:val="00766294"/>
    <w:rsid w:val="00767C7A"/>
    <w:rsid w:val="0077016F"/>
    <w:rsid w:val="00770185"/>
    <w:rsid w:val="00770AED"/>
    <w:rsid w:val="00777489"/>
    <w:rsid w:val="00777913"/>
    <w:rsid w:val="007800BC"/>
    <w:rsid w:val="007804B8"/>
    <w:rsid w:val="00782423"/>
    <w:rsid w:val="007829D3"/>
    <w:rsid w:val="0078579A"/>
    <w:rsid w:val="00787E78"/>
    <w:rsid w:val="007907C7"/>
    <w:rsid w:val="007924EE"/>
    <w:rsid w:val="007939FD"/>
    <w:rsid w:val="00793BB8"/>
    <w:rsid w:val="007942C6"/>
    <w:rsid w:val="00794AA4"/>
    <w:rsid w:val="007952B3"/>
    <w:rsid w:val="007954C1"/>
    <w:rsid w:val="007954EF"/>
    <w:rsid w:val="007A1D91"/>
    <w:rsid w:val="007A2D3E"/>
    <w:rsid w:val="007A3AB1"/>
    <w:rsid w:val="007A5407"/>
    <w:rsid w:val="007A5AA5"/>
    <w:rsid w:val="007A61E1"/>
    <w:rsid w:val="007A6E9C"/>
    <w:rsid w:val="007B0A66"/>
    <w:rsid w:val="007B0D5A"/>
    <w:rsid w:val="007B3D10"/>
    <w:rsid w:val="007B4967"/>
    <w:rsid w:val="007B538A"/>
    <w:rsid w:val="007B54D2"/>
    <w:rsid w:val="007B5A57"/>
    <w:rsid w:val="007B5E76"/>
    <w:rsid w:val="007B6824"/>
    <w:rsid w:val="007B6CE3"/>
    <w:rsid w:val="007C0C22"/>
    <w:rsid w:val="007C1018"/>
    <w:rsid w:val="007C2101"/>
    <w:rsid w:val="007C3489"/>
    <w:rsid w:val="007C3B8B"/>
    <w:rsid w:val="007C3C76"/>
    <w:rsid w:val="007C7535"/>
    <w:rsid w:val="007D19AB"/>
    <w:rsid w:val="007D2A82"/>
    <w:rsid w:val="007D2F25"/>
    <w:rsid w:val="007D31FE"/>
    <w:rsid w:val="007D494E"/>
    <w:rsid w:val="007D5C0D"/>
    <w:rsid w:val="007E0994"/>
    <w:rsid w:val="007E0D89"/>
    <w:rsid w:val="007E221C"/>
    <w:rsid w:val="007E36DD"/>
    <w:rsid w:val="007E4A67"/>
    <w:rsid w:val="007E664E"/>
    <w:rsid w:val="007F12B3"/>
    <w:rsid w:val="007F14B4"/>
    <w:rsid w:val="007F20B8"/>
    <w:rsid w:val="007F36BE"/>
    <w:rsid w:val="007F75A8"/>
    <w:rsid w:val="007F7BC5"/>
    <w:rsid w:val="00800C1E"/>
    <w:rsid w:val="0080166C"/>
    <w:rsid w:val="00801C60"/>
    <w:rsid w:val="00803CCA"/>
    <w:rsid w:val="0080577A"/>
    <w:rsid w:val="00805991"/>
    <w:rsid w:val="00807552"/>
    <w:rsid w:val="008104C2"/>
    <w:rsid w:val="0081246E"/>
    <w:rsid w:val="00815CD3"/>
    <w:rsid w:val="00816DB1"/>
    <w:rsid w:val="00817B65"/>
    <w:rsid w:val="00820C02"/>
    <w:rsid w:val="00824ED7"/>
    <w:rsid w:val="008257B3"/>
    <w:rsid w:val="00825B29"/>
    <w:rsid w:val="00831124"/>
    <w:rsid w:val="0083398E"/>
    <w:rsid w:val="00834420"/>
    <w:rsid w:val="008361E9"/>
    <w:rsid w:val="00837E64"/>
    <w:rsid w:val="00837EC3"/>
    <w:rsid w:val="00842BD7"/>
    <w:rsid w:val="00843491"/>
    <w:rsid w:val="00843A5F"/>
    <w:rsid w:val="00846682"/>
    <w:rsid w:val="00847486"/>
    <w:rsid w:val="00847678"/>
    <w:rsid w:val="00847ED2"/>
    <w:rsid w:val="008518B0"/>
    <w:rsid w:val="00851EFB"/>
    <w:rsid w:val="00854747"/>
    <w:rsid w:val="00855A14"/>
    <w:rsid w:val="00856393"/>
    <w:rsid w:val="0085663C"/>
    <w:rsid w:val="00857237"/>
    <w:rsid w:val="00860183"/>
    <w:rsid w:val="008615BB"/>
    <w:rsid w:val="008627D3"/>
    <w:rsid w:val="00862C55"/>
    <w:rsid w:val="00863F86"/>
    <w:rsid w:val="008647AD"/>
    <w:rsid w:val="00865419"/>
    <w:rsid w:val="0087010E"/>
    <w:rsid w:val="00871CB6"/>
    <w:rsid w:val="0087327E"/>
    <w:rsid w:val="00873377"/>
    <w:rsid w:val="00873B04"/>
    <w:rsid w:val="00874051"/>
    <w:rsid w:val="008746BA"/>
    <w:rsid w:val="008757F2"/>
    <w:rsid w:val="00875C8E"/>
    <w:rsid w:val="00876959"/>
    <w:rsid w:val="00876FA7"/>
    <w:rsid w:val="008771D0"/>
    <w:rsid w:val="00877DCD"/>
    <w:rsid w:val="008805E5"/>
    <w:rsid w:val="00881874"/>
    <w:rsid w:val="00882A6E"/>
    <w:rsid w:val="00882EA2"/>
    <w:rsid w:val="0088313C"/>
    <w:rsid w:val="00883560"/>
    <w:rsid w:val="00884E91"/>
    <w:rsid w:val="008870C8"/>
    <w:rsid w:val="00887C20"/>
    <w:rsid w:val="0089012C"/>
    <w:rsid w:val="00892545"/>
    <w:rsid w:val="00892A47"/>
    <w:rsid w:val="008953E4"/>
    <w:rsid w:val="00897217"/>
    <w:rsid w:val="008975EC"/>
    <w:rsid w:val="008A062F"/>
    <w:rsid w:val="008A1680"/>
    <w:rsid w:val="008A28BB"/>
    <w:rsid w:val="008A3449"/>
    <w:rsid w:val="008A37C4"/>
    <w:rsid w:val="008A39F8"/>
    <w:rsid w:val="008A4ACA"/>
    <w:rsid w:val="008A5988"/>
    <w:rsid w:val="008A6478"/>
    <w:rsid w:val="008A77BA"/>
    <w:rsid w:val="008A7E19"/>
    <w:rsid w:val="008B11FC"/>
    <w:rsid w:val="008B1FB1"/>
    <w:rsid w:val="008B6251"/>
    <w:rsid w:val="008B685C"/>
    <w:rsid w:val="008B68DA"/>
    <w:rsid w:val="008B6C77"/>
    <w:rsid w:val="008C1504"/>
    <w:rsid w:val="008C1C0A"/>
    <w:rsid w:val="008C5FDA"/>
    <w:rsid w:val="008C5FFF"/>
    <w:rsid w:val="008C7EFA"/>
    <w:rsid w:val="008D095D"/>
    <w:rsid w:val="008D0FF7"/>
    <w:rsid w:val="008D3E01"/>
    <w:rsid w:val="008D45D4"/>
    <w:rsid w:val="008D520F"/>
    <w:rsid w:val="008D530C"/>
    <w:rsid w:val="008D766A"/>
    <w:rsid w:val="008E2476"/>
    <w:rsid w:val="008E4AF2"/>
    <w:rsid w:val="008F23B1"/>
    <w:rsid w:val="008F2C31"/>
    <w:rsid w:val="008F3EF4"/>
    <w:rsid w:val="008F5032"/>
    <w:rsid w:val="008F5C9A"/>
    <w:rsid w:val="008F7358"/>
    <w:rsid w:val="009026C0"/>
    <w:rsid w:val="009033EF"/>
    <w:rsid w:val="009042F6"/>
    <w:rsid w:val="0090702C"/>
    <w:rsid w:val="00910E45"/>
    <w:rsid w:val="009114CF"/>
    <w:rsid w:val="0091292D"/>
    <w:rsid w:val="009150C9"/>
    <w:rsid w:val="009157E3"/>
    <w:rsid w:val="00915EA7"/>
    <w:rsid w:val="00920431"/>
    <w:rsid w:val="00922502"/>
    <w:rsid w:val="00922787"/>
    <w:rsid w:val="00923501"/>
    <w:rsid w:val="00924E4D"/>
    <w:rsid w:val="00926A5E"/>
    <w:rsid w:val="00926ACC"/>
    <w:rsid w:val="0092780F"/>
    <w:rsid w:val="00927E31"/>
    <w:rsid w:val="00932981"/>
    <w:rsid w:val="00932BFD"/>
    <w:rsid w:val="00933E16"/>
    <w:rsid w:val="00935144"/>
    <w:rsid w:val="009405B4"/>
    <w:rsid w:val="00941C95"/>
    <w:rsid w:val="00941F9A"/>
    <w:rsid w:val="00943227"/>
    <w:rsid w:val="00943C5E"/>
    <w:rsid w:val="0094504B"/>
    <w:rsid w:val="0094533E"/>
    <w:rsid w:val="00946687"/>
    <w:rsid w:val="00946D48"/>
    <w:rsid w:val="009476DC"/>
    <w:rsid w:val="00950BE5"/>
    <w:rsid w:val="00953F2A"/>
    <w:rsid w:val="00954039"/>
    <w:rsid w:val="00954437"/>
    <w:rsid w:val="0095603D"/>
    <w:rsid w:val="00960BD7"/>
    <w:rsid w:val="00960E90"/>
    <w:rsid w:val="00961085"/>
    <w:rsid w:val="00961513"/>
    <w:rsid w:val="00961F62"/>
    <w:rsid w:val="009628CA"/>
    <w:rsid w:val="00964B95"/>
    <w:rsid w:val="00965410"/>
    <w:rsid w:val="00966592"/>
    <w:rsid w:val="009673D0"/>
    <w:rsid w:val="0096767A"/>
    <w:rsid w:val="00967FBB"/>
    <w:rsid w:val="009701F5"/>
    <w:rsid w:val="00970D68"/>
    <w:rsid w:val="00971BB0"/>
    <w:rsid w:val="009720E4"/>
    <w:rsid w:val="009739E0"/>
    <w:rsid w:val="00974879"/>
    <w:rsid w:val="00974FF9"/>
    <w:rsid w:val="00981D92"/>
    <w:rsid w:val="00982253"/>
    <w:rsid w:val="0098459F"/>
    <w:rsid w:val="009856FB"/>
    <w:rsid w:val="00985994"/>
    <w:rsid w:val="009860D3"/>
    <w:rsid w:val="0098689D"/>
    <w:rsid w:val="009873BD"/>
    <w:rsid w:val="009874D2"/>
    <w:rsid w:val="00987506"/>
    <w:rsid w:val="00987BA6"/>
    <w:rsid w:val="00990B0F"/>
    <w:rsid w:val="00992CAC"/>
    <w:rsid w:val="009930C1"/>
    <w:rsid w:val="009939A1"/>
    <w:rsid w:val="00993BE4"/>
    <w:rsid w:val="00993EF9"/>
    <w:rsid w:val="00995883"/>
    <w:rsid w:val="009964B4"/>
    <w:rsid w:val="009971FB"/>
    <w:rsid w:val="00997AB4"/>
    <w:rsid w:val="00997AE2"/>
    <w:rsid w:val="00997F77"/>
    <w:rsid w:val="009A12A8"/>
    <w:rsid w:val="009A1C14"/>
    <w:rsid w:val="009A2F5E"/>
    <w:rsid w:val="009A3B06"/>
    <w:rsid w:val="009A41CE"/>
    <w:rsid w:val="009A4E65"/>
    <w:rsid w:val="009A5610"/>
    <w:rsid w:val="009A5FC4"/>
    <w:rsid w:val="009A7B38"/>
    <w:rsid w:val="009A7B62"/>
    <w:rsid w:val="009B00EA"/>
    <w:rsid w:val="009B52B6"/>
    <w:rsid w:val="009B6842"/>
    <w:rsid w:val="009B6A74"/>
    <w:rsid w:val="009B6EE4"/>
    <w:rsid w:val="009C0F4B"/>
    <w:rsid w:val="009C2743"/>
    <w:rsid w:val="009C2B42"/>
    <w:rsid w:val="009C2B82"/>
    <w:rsid w:val="009C66BF"/>
    <w:rsid w:val="009C6902"/>
    <w:rsid w:val="009C761A"/>
    <w:rsid w:val="009C791A"/>
    <w:rsid w:val="009D0F23"/>
    <w:rsid w:val="009D1FAD"/>
    <w:rsid w:val="009D248B"/>
    <w:rsid w:val="009D24B4"/>
    <w:rsid w:val="009D3F53"/>
    <w:rsid w:val="009D47B2"/>
    <w:rsid w:val="009D54CF"/>
    <w:rsid w:val="009D7239"/>
    <w:rsid w:val="009D7320"/>
    <w:rsid w:val="009D79DC"/>
    <w:rsid w:val="009E0010"/>
    <w:rsid w:val="009E2DCC"/>
    <w:rsid w:val="009E3479"/>
    <w:rsid w:val="009E4475"/>
    <w:rsid w:val="009E4FA4"/>
    <w:rsid w:val="009E5EFD"/>
    <w:rsid w:val="009E5FBE"/>
    <w:rsid w:val="009F1284"/>
    <w:rsid w:val="009F3D6F"/>
    <w:rsid w:val="009F4123"/>
    <w:rsid w:val="009F5531"/>
    <w:rsid w:val="009F776D"/>
    <w:rsid w:val="009F79D6"/>
    <w:rsid w:val="009F7A61"/>
    <w:rsid w:val="00A02FB1"/>
    <w:rsid w:val="00A03A35"/>
    <w:rsid w:val="00A05740"/>
    <w:rsid w:val="00A07C1B"/>
    <w:rsid w:val="00A11828"/>
    <w:rsid w:val="00A11BBC"/>
    <w:rsid w:val="00A11FA9"/>
    <w:rsid w:val="00A1390F"/>
    <w:rsid w:val="00A13AFF"/>
    <w:rsid w:val="00A17B75"/>
    <w:rsid w:val="00A20874"/>
    <w:rsid w:val="00A21E20"/>
    <w:rsid w:val="00A236CB"/>
    <w:rsid w:val="00A2476A"/>
    <w:rsid w:val="00A2487F"/>
    <w:rsid w:val="00A25171"/>
    <w:rsid w:val="00A25698"/>
    <w:rsid w:val="00A2759B"/>
    <w:rsid w:val="00A275F5"/>
    <w:rsid w:val="00A2797E"/>
    <w:rsid w:val="00A27B52"/>
    <w:rsid w:val="00A305BF"/>
    <w:rsid w:val="00A31473"/>
    <w:rsid w:val="00A314C8"/>
    <w:rsid w:val="00A325E4"/>
    <w:rsid w:val="00A3389B"/>
    <w:rsid w:val="00A33BD2"/>
    <w:rsid w:val="00A345D2"/>
    <w:rsid w:val="00A34DFF"/>
    <w:rsid w:val="00A37208"/>
    <w:rsid w:val="00A37B3C"/>
    <w:rsid w:val="00A446AE"/>
    <w:rsid w:val="00A4500A"/>
    <w:rsid w:val="00A45A71"/>
    <w:rsid w:val="00A45B4D"/>
    <w:rsid w:val="00A46619"/>
    <w:rsid w:val="00A532CE"/>
    <w:rsid w:val="00A53A78"/>
    <w:rsid w:val="00A53C33"/>
    <w:rsid w:val="00A53C93"/>
    <w:rsid w:val="00A5424D"/>
    <w:rsid w:val="00A54B69"/>
    <w:rsid w:val="00A5688C"/>
    <w:rsid w:val="00A56E64"/>
    <w:rsid w:val="00A57F19"/>
    <w:rsid w:val="00A60EF4"/>
    <w:rsid w:val="00A617E8"/>
    <w:rsid w:val="00A6215A"/>
    <w:rsid w:val="00A627A1"/>
    <w:rsid w:val="00A641CF"/>
    <w:rsid w:val="00A64234"/>
    <w:rsid w:val="00A643E7"/>
    <w:rsid w:val="00A64EA6"/>
    <w:rsid w:val="00A6764B"/>
    <w:rsid w:val="00A70FD6"/>
    <w:rsid w:val="00A710D3"/>
    <w:rsid w:val="00A725F8"/>
    <w:rsid w:val="00A737A0"/>
    <w:rsid w:val="00A74987"/>
    <w:rsid w:val="00A75A2D"/>
    <w:rsid w:val="00A75F5E"/>
    <w:rsid w:val="00A77A64"/>
    <w:rsid w:val="00A77D52"/>
    <w:rsid w:val="00A80F6C"/>
    <w:rsid w:val="00A81CBD"/>
    <w:rsid w:val="00A820B6"/>
    <w:rsid w:val="00A83C80"/>
    <w:rsid w:val="00A8444C"/>
    <w:rsid w:val="00A85879"/>
    <w:rsid w:val="00A861EF"/>
    <w:rsid w:val="00A90B2F"/>
    <w:rsid w:val="00A9107E"/>
    <w:rsid w:val="00A911C4"/>
    <w:rsid w:val="00A91E4C"/>
    <w:rsid w:val="00A92E89"/>
    <w:rsid w:val="00A93088"/>
    <w:rsid w:val="00A944FB"/>
    <w:rsid w:val="00AA0A82"/>
    <w:rsid w:val="00AA2D2E"/>
    <w:rsid w:val="00AA44C2"/>
    <w:rsid w:val="00AA4B88"/>
    <w:rsid w:val="00AA58D0"/>
    <w:rsid w:val="00AA6F26"/>
    <w:rsid w:val="00AA7186"/>
    <w:rsid w:val="00AA7798"/>
    <w:rsid w:val="00AB0090"/>
    <w:rsid w:val="00AB1C3D"/>
    <w:rsid w:val="00AB2CE3"/>
    <w:rsid w:val="00AB4014"/>
    <w:rsid w:val="00AB4BE7"/>
    <w:rsid w:val="00AB4D92"/>
    <w:rsid w:val="00AB51B9"/>
    <w:rsid w:val="00AB5730"/>
    <w:rsid w:val="00AB6FC0"/>
    <w:rsid w:val="00AB76FE"/>
    <w:rsid w:val="00AB7912"/>
    <w:rsid w:val="00AC0941"/>
    <w:rsid w:val="00AC10A0"/>
    <w:rsid w:val="00AC1227"/>
    <w:rsid w:val="00AC2167"/>
    <w:rsid w:val="00AC3EC1"/>
    <w:rsid w:val="00AC4016"/>
    <w:rsid w:val="00AC4519"/>
    <w:rsid w:val="00AC63B5"/>
    <w:rsid w:val="00AC6749"/>
    <w:rsid w:val="00AC756F"/>
    <w:rsid w:val="00AD0252"/>
    <w:rsid w:val="00AD121E"/>
    <w:rsid w:val="00AD29B6"/>
    <w:rsid w:val="00AD5919"/>
    <w:rsid w:val="00AD6869"/>
    <w:rsid w:val="00AD7069"/>
    <w:rsid w:val="00AD799D"/>
    <w:rsid w:val="00AE1D0E"/>
    <w:rsid w:val="00AE28B0"/>
    <w:rsid w:val="00AE3DB6"/>
    <w:rsid w:val="00AE4ACD"/>
    <w:rsid w:val="00AE7433"/>
    <w:rsid w:val="00AE7AD3"/>
    <w:rsid w:val="00AE7CF2"/>
    <w:rsid w:val="00AF0BAD"/>
    <w:rsid w:val="00AF129C"/>
    <w:rsid w:val="00AF25DE"/>
    <w:rsid w:val="00AF27EE"/>
    <w:rsid w:val="00AF2D53"/>
    <w:rsid w:val="00AF2F47"/>
    <w:rsid w:val="00AF4940"/>
    <w:rsid w:val="00AF6287"/>
    <w:rsid w:val="00AF729D"/>
    <w:rsid w:val="00B00F6F"/>
    <w:rsid w:val="00B017F7"/>
    <w:rsid w:val="00B01FAA"/>
    <w:rsid w:val="00B029A7"/>
    <w:rsid w:val="00B07B54"/>
    <w:rsid w:val="00B10688"/>
    <w:rsid w:val="00B130D1"/>
    <w:rsid w:val="00B17530"/>
    <w:rsid w:val="00B176C1"/>
    <w:rsid w:val="00B240DB"/>
    <w:rsid w:val="00B24293"/>
    <w:rsid w:val="00B24AFF"/>
    <w:rsid w:val="00B2580E"/>
    <w:rsid w:val="00B25ADB"/>
    <w:rsid w:val="00B271CB"/>
    <w:rsid w:val="00B30118"/>
    <w:rsid w:val="00B30877"/>
    <w:rsid w:val="00B3087A"/>
    <w:rsid w:val="00B3252D"/>
    <w:rsid w:val="00B328B5"/>
    <w:rsid w:val="00B32E64"/>
    <w:rsid w:val="00B331FC"/>
    <w:rsid w:val="00B34642"/>
    <w:rsid w:val="00B34B21"/>
    <w:rsid w:val="00B34E8A"/>
    <w:rsid w:val="00B35183"/>
    <w:rsid w:val="00B35F34"/>
    <w:rsid w:val="00B36513"/>
    <w:rsid w:val="00B36CE9"/>
    <w:rsid w:val="00B43065"/>
    <w:rsid w:val="00B43DB3"/>
    <w:rsid w:val="00B44A79"/>
    <w:rsid w:val="00B45B0D"/>
    <w:rsid w:val="00B52771"/>
    <w:rsid w:val="00B528F2"/>
    <w:rsid w:val="00B532AD"/>
    <w:rsid w:val="00B53EC8"/>
    <w:rsid w:val="00B5416C"/>
    <w:rsid w:val="00B54924"/>
    <w:rsid w:val="00B556A4"/>
    <w:rsid w:val="00B56186"/>
    <w:rsid w:val="00B57251"/>
    <w:rsid w:val="00B62C81"/>
    <w:rsid w:val="00B63BCF"/>
    <w:rsid w:val="00B64021"/>
    <w:rsid w:val="00B64946"/>
    <w:rsid w:val="00B65E69"/>
    <w:rsid w:val="00B660D9"/>
    <w:rsid w:val="00B668B2"/>
    <w:rsid w:val="00B67BB9"/>
    <w:rsid w:val="00B67CAF"/>
    <w:rsid w:val="00B67F04"/>
    <w:rsid w:val="00B701AF"/>
    <w:rsid w:val="00B709C0"/>
    <w:rsid w:val="00B7154B"/>
    <w:rsid w:val="00B756E1"/>
    <w:rsid w:val="00B7700A"/>
    <w:rsid w:val="00B776CE"/>
    <w:rsid w:val="00B80B3B"/>
    <w:rsid w:val="00B82539"/>
    <w:rsid w:val="00B85BA5"/>
    <w:rsid w:val="00B872A2"/>
    <w:rsid w:val="00B9055E"/>
    <w:rsid w:val="00B90B6C"/>
    <w:rsid w:val="00B9153E"/>
    <w:rsid w:val="00B92182"/>
    <w:rsid w:val="00B92753"/>
    <w:rsid w:val="00B92D91"/>
    <w:rsid w:val="00B935A7"/>
    <w:rsid w:val="00B94DE9"/>
    <w:rsid w:val="00B969AE"/>
    <w:rsid w:val="00BA11DC"/>
    <w:rsid w:val="00BA3ADE"/>
    <w:rsid w:val="00BA588F"/>
    <w:rsid w:val="00BA5ADA"/>
    <w:rsid w:val="00BB0164"/>
    <w:rsid w:val="00BB2F9A"/>
    <w:rsid w:val="00BB3400"/>
    <w:rsid w:val="00BB470A"/>
    <w:rsid w:val="00BB4E69"/>
    <w:rsid w:val="00BB55C5"/>
    <w:rsid w:val="00BB7181"/>
    <w:rsid w:val="00BB7892"/>
    <w:rsid w:val="00BC1536"/>
    <w:rsid w:val="00BC1CA8"/>
    <w:rsid w:val="00BC26E4"/>
    <w:rsid w:val="00BC29CB"/>
    <w:rsid w:val="00BC4D47"/>
    <w:rsid w:val="00BC538B"/>
    <w:rsid w:val="00BC5A2B"/>
    <w:rsid w:val="00BC6B8D"/>
    <w:rsid w:val="00BC6CB8"/>
    <w:rsid w:val="00BC7F08"/>
    <w:rsid w:val="00BD1FC2"/>
    <w:rsid w:val="00BD3838"/>
    <w:rsid w:val="00BD3D95"/>
    <w:rsid w:val="00BD4B52"/>
    <w:rsid w:val="00BD50A7"/>
    <w:rsid w:val="00BD5372"/>
    <w:rsid w:val="00BD5425"/>
    <w:rsid w:val="00BD5502"/>
    <w:rsid w:val="00BD7C7C"/>
    <w:rsid w:val="00BE0D5C"/>
    <w:rsid w:val="00BE1D66"/>
    <w:rsid w:val="00BE1F80"/>
    <w:rsid w:val="00BE40A0"/>
    <w:rsid w:val="00BE4B03"/>
    <w:rsid w:val="00BE602F"/>
    <w:rsid w:val="00BE78F8"/>
    <w:rsid w:val="00BF024B"/>
    <w:rsid w:val="00BF16CD"/>
    <w:rsid w:val="00BF2454"/>
    <w:rsid w:val="00BF4B9C"/>
    <w:rsid w:val="00BF6964"/>
    <w:rsid w:val="00C03DA6"/>
    <w:rsid w:val="00C043A5"/>
    <w:rsid w:val="00C04F48"/>
    <w:rsid w:val="00C0616A"/>
    <w:rsid w:val="00C12C53"/>
    <w:rsid w:val="00C12F87"/>
    <w:rsid w:val="00C1367A"/>
    <w:rsid w:val="00C15FAC"/>
    <w:rsid w:val="00C16088"/>
    <w:rsid w:val="00C17DF2"/>
    <w:rsid w:val="00C21181"/>
    <w:rsid w:val="00C22FF9"/>
    <w:rsid w:val="00C3098A"/>
    <w:rsid w:val="00C30DB3"/>
    <w:rsid w:val="00C31EDE"/>
    <w:rsid w:val="00C32093"/>
    <w:rsid w:val="00C320A8"/>
    <w:rsid w:val="00C321DA"/>
    <w:rsid w:val="00C321DB"/>
    <w:rsid w:val="00C321E7"/>
    <w:rsid w:val="00C34351"/>
    <w:rsid w:val="00C35731"/>
    <w:rsid w:val="00C360E8"/>
    <w:rsid w:val="00C36369"/>
    <w:rsid w:val="00C36E32"/>
    <w:rsid w:val="00C40137"/>
    <w:rsid w:val="00C404D7"/>
    <w:rsid w:val="00C408D1"/>
    <w:rsid w:val="00C40F5C"/>
    <w:rsid w:val="00C42784"/>
    <w:rsid w:val="00C43756"/>
    <w:rsid w:val="00C439F5"/>
    <w:rsid w:val="00C4490D"/>
    <w:rsid w:val="00C46B09"/>
    <w:rsid w:val="00C504F1"/>
    <w:rsid w:val="00C505FD"/>
    <w:rsid w:val="00C50692"/>
    <w:rsid w:val="00C5082B"/>
    <w:rsid w:val="00C50E4E"/>
    <w:rsid w:val="00C52F2B"/>
    <w:rsid w:val="00C54A4B"/>
    <w:rsid w:val="00C564E6"/>
    <w:rsid w:val="00C5669B"/>
    <w:rsid w:val="00C57453"/>
    <w:rsid w:val="00C610E5"/>
    <w:rsid w:val="00C62826"/>
    <w:rsid w:val="00C66573"/>
    <w:rsid w:val="00C67A3A"/>
    <w:rsid w:val="00C70929"/>
    <w:rsid w:val="00C714E2"/>
    <w:rsid w:val="00C716BD"/>
    <w:rsid w:val="00C73D5D"/>
    <w:rsid w:val="00C74A98"/>
    <w:rsid w:val="00C76877"/>
    <w:rsid w:val="00C77B6A"/>
    <w:rsid w:val="00C8063B"/>
    <w:rsid w:val="00C81C09"/>
    <w:rsid w:val="00C82AB2"/>
    <w:rsid w:val="00C83436"/>
    <w:rsid w:val="00C83A31"/>
    <w:rsid w:val="00C9291A"/>
    <w:rsid w:val="00C934F9"/>
    <w:rsid w:val="00C970CD"/>
    <w:rsid w:val="00CA070F"/>
    <w:rsid w:val="00CA094A"/>
    <w:rsid w:val="00CA0E53"/>
    <w:rsid w:val="00CA1F6E"/>
    <w:rsid w:val="00CA27EF"/>
    <w:rsid w:val="00CA57C6"/>
    <w:rsid w:val="00CA5E42"/>
    <w:rsid w:val="00CA701C"/>
    <w:rsid w:val="00CA731D"/>
    <w:rsid w:val="00CA7432"/>
    <w:rsid w:val="00CB251A"/>
    <w:rsid w:val="00CB4108"/>
    <w:rsid w:val="00CB552C"/>
    <w:rsid w:val="00CB662E"/>
    <w:rsid w:val="00CB749E"/>
    <w:rsid w:val="00CB7822"/>
    <w:rsid w:val="00CC075D"/>
    <w:rsid w:val="00CC1C30"/>
    <w:rsid w:val="00CC2E19"/>
    <w:rsid w:val="00CC43EB"/>
    <w:rsid w:val="00CC461A"/>
    <w:rsid w:val="00CC693E"/>
    <w:rsid w:val="00CD026B"/>
    <w:rsid w:val="00CD08A7"/>
    <w:rsid w:val="00CD0C17"/>
    <w:rsid w:val="00CD16BF"/>
    <w:rsid w:val="00CD37A2"/>
    <w:rsid w:val="00CD3CD1"/>
    <w:rsid w:val="00CD6AA7"/>
    <w:rsid w:val="00CD7F77"/>
    <w:rsid w:val="00CE2656"/>
    <w:rsid w:val="00CE27BE"/>
    <w:rsid w:val="00CE3CC2"/>
    <w:rsid w:val="00CE3FE8"/>
    <w:rsid w:val="00CE4794"/>
    <w:rsid w:val="00CE57D9"/>
    <w:rsid w:val="00CE58E8"/>
    <w:rsid w:val="00CE596C"/>
    <w:rsid w:val="00CE5C7C"/>
    <w:rsid w:val="00CF09BA"/>
    <w:rsid w:val="00CF0D22"/>
    <w:rsid w:val="00CF200B"/>
    <w:rsid w:val="00CF4FDB"/>
    <w:rsid w:val="00CF57C2"/>
    <w:rsid w:val="00CF6443"/>
    <w:rsid w:val="00CF7972"/>
    <w:rsid w:val="00D01307"/>
    <w:rsid w:val="00D01B56"/>
    <w:rsid w:val="00D04B23"/>
    <w:rsid w:val="00D06206"/>
    <w:rsid w:val="00D104DD"/>
    <w:rsid w:val="00D10908"/>
    <w:rsid w:val="00D122E6"/>
    <w:rsid w:val="00D14050"/>
    <w:rsid w:val="00D165B9"/>
    <w:rsid w:val="00D16FD6"/>
    <w:rsid w:val="00D173C8"/>
    <w:rsid w:val="00D20D69"/>
    <w:rsid w:val="00D2505E"/>
    <w:rsid w:val="00D25C57"/>
    <w:rsid w:val="00D279D0"/>
    <w:rsid w:val="00D3195F"/>
    <w:rsid w:val="00D31F38"/>
    <w:rsid w:val="00D322E1"/>
    <w:rsid w:val="00D32E89"/>
    <w:rsid w:val="00D338A5"/>
    <w:rsid w:val="00D3555C"/>
    <w:rsid w:val="00D35BA3"/>
    <w:rsid w:val="00D37EE9"/>
    <w:rsid w:val="00D40BFE"/>
    <w:rsid w:val="00D43651"/>
    <w:rsid w:val="00D44014"/>
    <w:rsid w:val="00D44993"/>
    <w:rsid w:val="00D45586"/>
    <w:rsid w:val="00D4748E"/>
    <w:rsid w:val="00D4791D"/>
    <w:rsid w:val="00D51DAC"/>
    <w:rsid w:val="00D52857"/>
    <w:rsid w:val="00D536A0"/>
    <w:rsid w:val="00D618FF"/>
    <w:rsid w:val="00D619E2"/>
    <w:rsid w:val="00D61C82"/>
    <w:rsid w:val="00D62378"/>
    <w:rsid w:val="00D62A36"/>
    <w:rsid w:val="00D656A2"/>
    <w:rsid w:val="00D6678C"/>
    <w:rsid w:val="00D67EE9"/>
    <w:rsid w:val="00D70353"/>
    <w:rsid w:val="00D70697"/>
    <w:rsid w:val="00D7091B"/>
    <w:rsid w:val="00D7124B"/>
    <w:rsid w:val="00D71E9B"/>
    <w:rsid w:val="00D721EB"/>
    <w:rsid w:val="00D731E8"/>
    <w:rsid w:val="00D75B47"/>
    <w:rsid w:val="00D7658B"/>
    <w:rsid w:val="00D778D2"/>
    <w:rsid w:val="00D80D45"/>
    <w:rsid w:val="00D810F2"/>
    <w:rsid w:val="00D82992"/>
    <w:rsid w:val="00D853E6"/>
    <w:rsid w:val="00D867FB"/>
    <w:rsid w:val="00D86E31"/>
    <w:rsid w:val="00D87A0F"/>
    <w:rsid w:val="00D87B89"/>
    <w:rsid w:val="00D919EB"/>
    <w:rsid w:val="00D96152"/>
    <w:rsid w:val="00D969D7"/>
    <w:rsid w:val="00DA09D0"/>
    <w:rsid w:val="00DA0B7F"/>
    <w:rsid w:val="00DA175C"/>
    <w:rsid w:val="00DA1FF1"/>
    <w:rsid w:val="00DA2155"/>
    <w:rsid w:val="00DA46FA"/>
    <w:rsid w:val="00DA4E69"/>
    <w:rsid w:val="00DA77FD"/>
    <w:rsid w:val="00DB1CA4"/>
    <w:rsid w:val="00DB3228"/>
    <w:rsid w:val="00DB35FA"/>
    <w:rsid w:val="00DB7922"/>
    <w:rsid w:val="00DB7CDC"/>
    <w:rsid w:val="00DC0DE2"/>
    <w:rsid w:val="00DC0FC1"/>
    <w:rsid w:val="00DC1B8F"/>
    <w:rsid w:val="00DC1D75"/>
    <w:rsid w:val="00DC4270"/>
    <w:rsid w:val="00DC63AF"/>
    <w:rsid w:val="00DC6B31"/>
    <w:rsid w:val="00DC7257"/>
    <w:rsid w:val="00DD01BC"/>
    <w:rsid w:val="00DD0BFA"/>
    <w:rsid w:val="00DD1390"/>
    <w:rsid w:val="00DD33FA"/>
    <w:rsid w:val="00DD5B10"/>
    <w:rsid w:val="00DE09BB"/>
    <w:rsid w:val="00DE0D4E"/>
    <w:rsid w:val="00DE1F9C"/>
    <w:rsid w:val="00DE3B63"/>
    <w:rsid w:val="00DE5C8B"/>
    <w:rsid w:val="00DE683A"/>
    <w:rsid w:val="00DE76E2"/>
    <w:rsid w:val="00DE78FE"/>
    <w:rsid w:val="00DF057D"/>
    <w:rsid w:val="00DF0878"/>
    <w:rsid w:val="00DF13EA"/>
    <w:rsid w:val="00DF1C6F"/>
    <w:rsid w:val="00DF1FAC"/>
    <w:rsid w:val="00DF4F98"/>
    <w:rsid w:val="00DF795B"/>
    <w:rsid w:val="00DF7F88"/>
    <w:rsid w:val="00E009F0"/>
    <w:rsid w:val="00E00AE0"/>
    <w:rsid w:val="00E00E31"/>
    <w:rsid w:val="00E020C5"/>
    <w:rsid w:val="00E04704"/>
    <w:rsid w:val="00E04D37"/>
    <w:rsid w:val="00E05294"/>
    <w:rsid w:val="00E060B6"/>
    <w:rsid w:val="00E06243"/>
    <w:rsid w:val="00E0730A"/>
    <w:rsid w:val="00E07849"/>
    <w:rsid w:val="00E10014"/>
    <w:rsid w:val="00E10B09"/>
    <w:rsid w:val="00E123DC"/>
    <w:rsid w:val="00E124E8"/>
    <w:rsid w:val="00E12CF4"/>
    <w:rsid w:val="00E138ED"/>
    <w:rsid w:val="00E14846"/>
    <w:rsid w:val="00E16397"/>
    <w:rsid w:val="00E16CF4"/>
    <w:rsid w:val="00E17AED"/>
    <w:rsid w:val="00E17C82"/>
    <w:rsid w:val="00E215B8"/>
    <w:rsid w:val="00E21666"/>
    <w:rsid w:val="00E22D0D"/>
    <w:rsid w:val="00E23EB7"/>
    <w:rsid w:val="00E3307D"/>
    <w:rsid w:val="00E33472"/>
    <w:rsid w:val="00E33C89"/>
    <w:rsid w:val="00E3420F"/>
    <w:rsid w:val="00E3498A"/>
    <w:rsid w:val="00E3675A"/>
    <w:rsid w:val="00E368D5"/>
    <w:rsid w:val="00E36B3C"/>
    <w:rsid w:val="00E37E4E"/>
    <w:rsid w:val="00E37FEA"/>
    <w:rsid w:val="00E40716"/>
    <w:rsid w:val="00E423F6"/>
    <w:rsid w:val="00E42BE4"/>
    <w:rsid w:val="00E459AF"/>
    <w:rsid w:val="00E45CD5"/>
    <w:rsid w:val="00E473DF"/>
    <w:rsid w:val="00E47A87"/>
    <w:rsid w:val="00E47E59"/>
    <w:rsid w:val="00E512C1"/>
    <w:rsid w:val="00E512CC"/>
    <w:rsid w:val="00E518E1"/>
    <w:rsid w:val="00E52367"/>
    <w:rsid w:val="00E538D4"/>
    <w:rsid w:val="00E553A3"/>
    <w:rsid w:val="00E5629A"/>
    <w:rsid w:val="00E57321"/>
    <w:rsid w:val="00E57728"/>
    <w:rsid w:val="00E57AC5"/>
    <w:rsid w:val="00E60B72"/>
    <w:rsid w:val="00E61E41"/>
    <w:rsid w:val="00E62826"/>
    <w:rsid w:val="00E707E6"/>
    <w:rsid w:val="00E70D48"/>
    <w:rsid w:val="00E70DD2"/>
    <w:rsid w:val="00E71058"/>
    <w:rsid w:val="00E72C6B"/>
    <w:rsid w:val="00E736BF"/>
    <w:rsid w:val="00E7515C"/>
    <w:rsid w:val="00E76979"/>
    <w:rsid w:val="00E77A51"/>
    <w:rsid w:val="00E802D1"/>
    <w:rsid w:val="00E832A1"/>
    <w:rsid w:val="00E83372"/>
    <w:rsid w:val="00E845C7"/>
    <w:rsid w:val="00E856BA"/>
    <w:rsid w:val="00E861C7"/>
    <w:rsid w:val="00E874A9"/>
    <w:rsid w:val="00E87906"/>
    <w:rsid w:val="00E906A9"/>
    <w:rsid w:val="00E91088"/>
    <w:rsid w:val="00E91965"/>
    <w:rsid w:val="00E96BB2"/>
    <w:rsid w:val="00E971E5"/>
    <w:rsid w:val="00EA04C9"/>
    <w:rsid w:val="00EA2429"/>
    <w:rsid w:val="00EA4CB5"/>
    <w:rsid w:val="00EB2360"/>
    <w:rsid w:val="00EB27AC"/>
    <w:rsid w:val="00EB3FE4"/>
    <w:rsid w:val="00EB49B5"/>
    <w:rsid w:val="00EB51CF"/>
    <w:rsid w:val="00EB5A84"/>
    <w:rsid w:val="00EB6E29"/>
    <w:rsid w:val="00EC070C"/>
    <w:rsid w:val="00EC085F"/>
    <w:rsid w:val="00EC14CE"/>
    <w:rsid w:val="00EC25D3"/>
    <w:rsid w:val="00EC31BD"/>
    <w:rsid w:val="00EC4B58"/>
    <w:rsid w:val="00EC4E83"/>
    <w:rsid w:val="00EC5944"/>
    <w:rsid w:val="00EC60D3"/>
    <w:rsid w:val="00EC6298"/>
    <w:rsid w:val="00EC6704"/>
    <w:rsid w:val="00EC7952"/>
    <w:rsid w:val="00ED141C"/>
    <w:rsid w:val="00ED1D16"/>
    <w:rsid w:val="00ED353B"/>
    <w:rsid w:val="00ED4806"/>
    <w:rsid w:val="00ED6007"/>
    <w:rsid w:val="00ED76C8"/>
    <w:rsid w:val="00EE0BF5"/>
    <w:rsid w:val="00EE2B4C"/>
    <w:rsid w:val="00EE39B8"/>
    <w:rsid w:val="00EE5154"/>
    <w:rsid w:val="00EE538D"/>
    <w:rsid w:val="00EE6CB0"/>
    <w:rsid w:val="00EE7A29"/>
    <w:rsid w:val="00EF27B1"/>
    <w:rsid w:val="00EF374B"/>
    <w:rsid w:val="00EF64A5"/>
    <w:rsid w:val="00EF71CB"/>
    <w:rsid w:val="00EF7427"/>
    <w:rsid w:val="00EF75DB"/>
    <w:rsid w:val="00F012E0"/>
    <w:rsid w:val="00F02D8E"/>
    <w:rsid w:val="00F03135"/>
    <w:rsid w:val="00F03A58"/>
    <w:rsid w:val="00F0483C"/>
    <w:rsid w:val="00F05F54"/>
    <w:rsid w:val="00F1177C"/>
    <w:rsid w:val="00F11941"/>
    <w:rsid w:val="00F12C89"/>
    <w:rsid w:val="00F149B4"/>
    <w:rsid w:val="00F14EA9"/>
    <w:rsid w:val="00F1595B"/>
    <w:rsid w:val="00F15E46"/>
    <w:rsid w:val="00F20A34"/>
    <w:rsid w:val="00F21964"/>
    <w:rsid w:val="00F22A74"/>
    <w:rsid w:val="00F2348E"/>
    <w:rsid w:val="00F23CA3"/>
    <w:rsid w:val="00F23D18"/>
    <w:rsid w:val="00F243CE"/>
    <w:rsid w:val="00F24C8B"/>
    <w:rsid w:val="00F265B6"/>
    <w:rsid w:val="00F2784F"/>
    <w:rsid w:val="00F27958"/>
    <w:rsid w:val="00F36124"/>
    <w:rsid w:val="00F3734B"/>
    <w:rsid w:val="00F403F3"/>
    <w:rsid w:val="00F41525"/>
    <w:rsid w:val="00F425F0"/>
    <w:rsid w:val="00F4390B"/>
    <w:rsid w:val="00F44B3F"/>
    <w:rsid w:val="00F461FF"/>
    <w:rsid w:val="00F46B54"/>
    <w:rsid w:val="00F46FB2"/>
    <w:rsid w:val="00F47255"/>
    <w:rsid w:val="00F508A7"/>
    <w:rsid w:val="00F53973"/>
    <w:rsid w:val="00F53CEF"/>
    <w:rsid w:val="00F54289"/>
    <w:rsid w:val="00F550C8"/>
    <w:rsid w:val="00F5777F"/>
    <w:rsid w:val="00F603BD"/>
    <w:rsid w:val="00F608F9"/>
    <w:rsid w:val="00F62002"/>
    <w:rsid w:val="00F637B0"/>
    <w:rsid w:val="00F63CEB"/>
    <w:rsid w:val="00F63E9D"/>
    <w:rsid w:val="00F66C2B"/>
    <w:rsid w:val="00F677EA"/>
    <w:rsid w:val="00F7011D"/>
    <w:rsid w:val="00F73CB6"/>
    <w:rsid w:val="00F7548D"/>
    <w:rsid w:val="00F761B4"/>
    <w:rsid w:val="00F77E5B"/>
    <w:rsid w:val="00F8137D"/>
    <w:rsid w:val="00F816F4"/>
    <w:rsid w:val="00F823DB"/>
    <w:rsid w:val="00F83C9C"/>
    <w:rsid w:val="00F849CA"/>
    <w:rsid w:val="00F907EA"/>
    <w:rsid w:val="00F91FC4"/>
    <w:rsid w:val="00F93364"/>
    <w:rsid w:val="00F94AEB"/>
    <w:rsid w:val="00F95BC2"/>
    <w:rsid w:val="00F95FA6"/>
    <w:rsid w:val="00FA0A90"/>
    <w:rsid w:val="00FA119B"/>
    <w:rsid w:val="00FA12C2"/>
    <w:rsid w:val="00FA1A38"/>
    <w:rsid w:val="00FA22C5"/>
    <w:rsid w:val="00FA309E"/>
    <w:rsid w:val="00FA3BC9"/>
    <w:rsid w:val="00FA4229"/>
    <w:rsid w:val="00FA45BB"/>
    <w:rsid w:val="00FA52A1"/>
    <w:rsid w:val="00FA5549"/>
    <w:rsid w:val="00FA6383"/>
    <w:rsid w:val="00FA763D"/>
    <w:rsid w:val="00FB39E7"/>
    <w:rsid w:val="00FB3A59"/>
    <w:rsid w:val="00FB4BE9"/>
    <w:rsid w:val="00FB66FB"/>
    <w:rsid w:val="00FB7760"/>
    <w:rsid w:val="00FC001F"/>
    <w:rsid w:val="00FC0EEE"/>
    <w:rsid w:val="00FC475E"/>
    <w:rsid w:val="00FC4D91"/>
    <w:rsid w:val="00FC5130"/>
    <w:rsid w:val="00FC6A86"/>
    <w:rsid w:val="00FC7085"/>
    <w:rsid w:val="00FC72C1"/>
    <w:rsid w:val="00FC79F0"/>
    <w:rsid w:val="00FC7D23"/>
    <w:rsid w:val="00FD2175"/>
    <w:rsid w:val="00FD306F"/>
    <w:rsid w:val="00FD5E5C"/>
    <w:rsid w:val="00FD5EB4"/>
    <w:rsid w:val="00FE0DA7"/>
    <w:rsid w:val="00FE0E72"/>
    <w:rsid w:val="00FE0F16"/>
    <w:rsid w:val="00FE5C3C"/>
    <w:rsid w:val="00FE7F2B"/>
    <w:rsid w:val="00FF2169"/>
    <w:rsid w:val="00FF34D4"/>
    <w:rsid w:val="00FF6378"/>
    <w:rsid w:val="00FF7143"/>
    <w:rsid w:val="00FF78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4DE"/>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 w:type="character" w:styleId="PlaceholderText">
    <w:name w:val="Placeholder Text"/>
    <w:basedOn w:val="DefaultParagraphFont"/>
    <w:uiPriority w:val="99"/>
    <w:semiHidden/>
    <w:rsid w:val="00A27B52"/>
    <w:rPr>
      <w:color w:val="666666"/>
    </w:rPr>
  </w:style>
  <w:style w:type="character" w:styleId="CommentReference">
    <w:name w:val="annotation reference"/>
    <w:basedOn w:val="DefaultParagraphFont"/>
    <w:uiPriority w:val="99"/>
    <w:semiHidden/>
    <w:unhideWhenUsed/>
    <w:rsid w:val="000679C1"/>
    <w:rPr>
      <w:sz w:val="16"/>
      <w:szCs w:val="16"/>
    </w:rPr>
  </w:style>
  <w:style w:type="paragraph" w:styleId="CommentText">
    <w:name w:val="annotation text"/>
    <w:basedOn w:val="Normal"/>
    <w:link w:val="CommentTextChar"/>
    <w:uiPriority w:val="99"/>
    <w:semiHidden/>
    <w:unhideWhenUsed/>
    <w:rsid w:val="000679C1"/>
    <w:pPr>
      <w:spacing w:line="240" w:lineRule="auto"/>
    </w:pPr>
    <w:rPr>
      <w:sz w:val="20"/>
      <w:szCs w:val="20"/>
    </w:rPr>
  </w:style>
  <w:style w:type="character" w:customStyle="1" w:styleId="CommentTextChar">
    <w:name w:val="Comment Text Char"/>
    <w:basedOn w:val="DefaultParagraphFont"/>
    <w:link w:val="CommentText"/>
    <w:uiPriority w:val="99"/>
    <w:semiHidden/>
    <w:rsid w:val="000679C1"/>
    <w:rPr>
      <w:sz w:val="20"/>
      <w:szCs w:val="20"/>
    </w:rPr>
  </w:style>
  <w:style w:type="paragraph" w:styleId="CommentSubject">
    <w:name w:val="annotation subject"/>
    <w:basedOn w:val="CommentText"/>
    <w:next w:val="CommentText"/>
    <w:link w:val="CommentSubjectChar"/>
    <w:uiPriority w:val="99"/>
    <w:semiHidden/>
    <w:unhideWhenUsed/>
    <w:rsid w:val="000679C1"/>
    <w:rPr>
      <w:b/>
      <w:bCs/>
    </w:rPr>
  </w:style>
  <w:style w:type="character" w:customStyle="1" w:styleId="CommentSubjectChar">
    <w:name w:val="Comment Subject Char"/>
    <w:basedOn w:val="CommentTextChar"/>
    <w:link w:val="CommentSubject"/>
    <w:uiPriority w:val="99"/>
    <w:semiHidden/>
    <w:rsid w:val="000679C1"/>
    <w:rPr>
      <w:b/>
      <w:bCs/>
      <w:sz w:val="20"/>
      <w:szCs w:val="20"/>
    </w:rPr>
  </w:style>
  <w:style w:type="paragraph" w:styleId="TOCHeading">
    <w:name w:val="TOC Heading"/>
    <w:basedOn w:val="Heading1"/>
    <w:next w:val="Normal"/>
    <w:uiPriority w:val="39"/>
    <w:unhideWhenUsed/>
    <w:qFormat/>
    <w:rsid w:val="007A5AA5"/>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7A5AA5"/>
    <w:pPr>
      <w:spacing w:after="100"/>
      <w:ind w:left="220"/>
    </w:pPr>
  </w:style>
  <w:style w:type="paragraph" w:styleId="TOC1">
    <w:name w:val="toc 1"/>
    <w:basedOn w:val="Normal"/>
    <w:next w:val="Normal"/>
    <w:autoRedefine/>
    <w:uiPriority w:val="39"/>
    <w:unhideWhenUsed/>
    <w:rsid w:val="007A5AA5"/>
    <w:pPr>
      <w:spacing w:after="100"/>
    </w:pPr>
    <w:rPr>
      <w:rFonts w:eastAsiaTheme="minorEastAsia" w:cs="Times New Roman"/>
      <w:kern w:val="0"/>
      <w:lang w:eastAsia="en-GB"/>
      <w14:ligatures w14:val="none"/>
    </w:rPr>
  </w:style>
  <w:style w:type="paragraph" w:styleId="TOC3">
    <w:name w:val="toc 3"/>
    <w:basedOn w:val="Normal"/>
    <w:next w:val="Normal"/>
    <w:autoRedefine/>
    <w:uiPriority w:val="39"/>
    <w:unhideWhenUsed/>
    <w:rsid w:val="007A5AA5"/>
    <w:pPr>
      <w:spacing w:after="100"/>
      <w:ind w:left="440"/>
    </w:pPr>
    <w:rPr>
      <w:rFonts w:eastAsiaTheme="minorEastAsia" w:cs="Times New Roman"/>
      <w:kern w:val="0"/>
      <w:lang w:eastAsia="en-GB"/>
      <w14:ligatures w14:val="none"/>
    </w:rPr>
  </w:style>
  <w:style w:type="paragraph" w:styleId="BodyText">
    <w:name w:val="Body Text"/>
    <w:basedOn w:val="Normal"/>
    <w:link w:val="BodyTextChar"/>
    <w:uiPriority w:val="1"/>
    <w:qFormat/>
    <w:rsid w:val="00A1390F"/>
    <w:pPr>
      <w:widowControl w:val="0"/>
      <w:autoSpaceDE w:val="0"/>
      <w:autoSpaceDN w:val="0"/>
      <w:spacing w:after="0" w:line="240" w:lineRule="auto"/>
    </w:pPr>
    <w:rPr>
      <w:rFonts w:ascii="Arial MT" w:eastAsia="Arial MT" w:hAnsi="Arial MT" w:cs="Arial MT"/>
      <w:kern w:val="0"/>
      <w:lang w:val="pl-PL"/>
      <w14:ligatures w14:val="none"/>
    </w:rPr>
  </w:style>
  <w:style w:type="character" w:customStyle="1" w:styleId="BodyTextChar">
    <w:name w:val="Body Text Char"/>
    <w:basedOn w:val="DefaultParagraphFont"/>
    <w:link w:val="BodyText"/>
    <w:uiPriority w:val="1"/>
    <w:rsid w:val="00A1390F"/>
    <w:rPr>
      <w:rFonts w:ascii="Arial MT" w:eastAsia="Arial MT" w:hAnsi="Arial MT" w:cs="Arial MT"/>
      <w:kern w:val="0"/>
      <w:lang w:val="pl-PL"/>
      <w14:ligatures w14:val="none"/>
    </w:rPr>
  </w:style>
  <w:style w:type="paragraph" w:styleId="Header">
    <w:name w:val="header"/>
    <w:basedOn w:val="Normal"/>
    <w:link w:val="HeaderChar"/>
    <w:uiPriority w:val="99"/>
    <w:unhideWhenUsed/>
    <w:rsid w:val="00FC7D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7D23"/>
  </w:style>
  <w:style w:type="paragraph" w:styleId="Footer">
    <w:name w:val="footer"/>
    <w:basedOn w:val="Normal"/>
    <w:link w:val="FooterChar"/>
    <w:uiPriority w:val="99"/>
    <w:unhideWhenUsed/>
    <w:rsid w:val="00FC7D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7D23"/>
  </w:style>
  <w:style w:type="paragraph" w:customStyle="1" w:styleId="Thesisbody">
    <w:name w:val="Thesis body"/>
    <w:basedOn w:val="Normal"/>
    <w:link w:val="ThesisbodyChar"/>
    <w:qFormat/>
    <w:rsid w:val="004B2248"/>
    <w:pPr>
      <w:spacing w:line="360" w:lineRule="auto"/>
      <w:ind w:firstLine="567"/>
      <w:jc w:val="both"/>
    </w:pPr>
    <w:rPr>
      <w:rFonts w:ascii="Times New Roman" w:hAnsi="Times New Roman" w:cs="Times New Roman"/>
      <w:sz w:val="24"/>
      <w:szCs w:val="24"/>
    </w:rPr>
  </w:style>
  <w:style w:type="character" w:customStyle="1" w:styleId="ThesisbodyChar">
    <w:name w:val="Thesis body Char"/>
    <w:basedOn w:val="DefaultParagraphFont"/>
    <w:link w:val="Thesisbody"/>
    <w:rsid w:val="004B2248"/>
    <w:rPr>
      <w:rFonts w:ascii="Times New Roman" w:hAnsi="Times New Roman" w:cs="Times New Roman"/>
      <w:sz w:val="24"/>
      <w:szCs w:val="24"/>
    </w:rPr>
  </w:style>
  <w:style w:type="paragraph" w:customStyle="1" w:styleId="Thesisheading1">
    <w:name w:val="Thesis heading 1"/>
    <w:basedOn w:val="Heading1"/>
    <w:link w:val="Thesisheading1Char"/>
    <w:qFormat/>
    <w:rsid w:val="00570ECB"/>
    <w:pPr>
      <w:spacing w:line="360" w:lineRule="auto"/>
      <w:jc w:val="center"/>
    </w:pPr>
    <w:rPr>
      <w:rFonts w:ascii="Times New Roman" w:hAnsi="Times New Roman"/>
      <w:caps/>
      <w:color w:val="000000" w:themeColor="text1"/>
      <w:sz w:val="24"/>
    </w:rPr>
  </w:style>
  <w:style w:type="character" w:customStyle="1" w:styleId="Thesisheading1Char">
    <w:name w:val="Thesis heading 1 Char"/>
    <w:basedOn w:val="ThesisbodyChar"/>
    <w:link w:val="Thesisheading1"/>
    <w:rsid w:val="00570ECB"/>
    <w:rPr>
      <w:rFonts w:ascii="Times New Roman" w:eastAsiaTheme="majorEastAsia" w:hAnsi="Times New Roman" w:cstheme="majorBidi"/>
      <w:caps/>
      <w:color w:val="000000" w:themeColor="text1"/>
      <w:sz w:val="24"/>
      <w:szCs w:val="40"/>
    </w:rPr>
  </w:style>
  <w:style w:type="paragraph" w:customStyle="1" w:styleId="Thesisheading2">
    <w:name w:val="Thesis heading 2"/>
    <w:basedOn w:val="Heading2"/>
    <w:link w:val="Thesisheading2Char"/>
    <w:qFormat/>
    <w:rsid w:val="001F451E"/>
    <w:pPr>
      <w:spacing w:before="360" w:after="360" w:line="360" w:lineRule="auto"/>
    </w:pPr>
    <w:rPr>
      <w:rFonts w:ascii="Times New Roman" w:hAnsi="Times New Roman" w:cs="Times New Roman"/>
      <w:b/>
      <w:bCs/>
      <w:color w:val="000000" w:themeColor="text1"/>
      <w:sz w:val="24"/>
      <w:szCs w:val="24"/>
    </w:rPr>
  </w:style>
  <w:style w:type="character" w:customStyle="1" w:styleId="Thesisheading2Char">
    <w:name w:val="Thesis heading 2 Char"/>
    <w:basedOn w:val="Heading2Char"/>
    <w:link w:val="Thesisheading2"/>
    <w:rsid w:val="001F451E"/>
    <w:rPr>
      <w:rFonts w:ascii="Times New Roman" w:eastAsiaTheme="majorEastAsia" w:hAnsi="Times New Roman" w:cs="Times New Roman"/>
      <w:b/>
      <w:bCs/>
      <w:color w:val="000000" w:themeColor="text1"/>
      <w:sz w:val="24"/>
      <w:szCs w:val="24"/>
    </w:rPr>
  </w:style>
  <w:style w:type="paragraph" w:customStyle="1" w:styleId="Figurethesis">
    <w:name w:val="Figure thesis"/>
    <w:basedOn w:val="Normal"/>
    <w:next w:val="Normal"/>
    <w:link w:val="FigurethesisChar"/>
    <w:autoRedefine/>
    <w:qFormat/>
    <w:rsid w:val="00D7658B"/>
    <w:pPr>
      <w:spacing w:before="120" w:after="120" w:line="240" w:lineRule="auto"/>
    </w:pPr>
    <w:rPr>
      <w:rFonts w:ascii="Times New Roman" w:hAnsi="Times New Roman"/>
      <w:sz w:val="24"/>
    </w:rPr>
  </w:style>
  <w:style w:type="character" w:customStyle="1" w:styleId="FigurethesisChar">
    <w:name w:val="Figure thesis Char"/>
    <w:basedOn w:val="ThesisbodyChar"/>
    <w:link w:val="Figurethesis"/>
    <w:rsid w:val="00D7658B"/>
    <w:rPr>
      <w:rFonts w:ascii="Times New Roman" w:hAnsi="Times New Roman" w:cs="Times New Roman"/>
      <w:sz w:val="24"/>
      <w:szCs w:val="24"/>
    </w:rPr>
  </w:style>
  <w:style w:type="paragraph" w:customStyle="1" w:styleId="fig3thesis">
    <w:name w:val="fig 3 thesis"/>
    <w:basedOn w:val="Normal"/>
    <w:next w:val="Normal"/>
    <w:link w:val="fig3thesisChar"/>
    <w:qFormat/>
    <w:rsid w:val="00D7658B"/>
    <w:pPr>
      <w:spacing w:before="120" w:after="120" w:line="240" w:lineRule="auto"/>
      <w:ind w:firstLine="567"/>
    </w:pPr>
    <w:rPr>
      <w:rFonts w:ascii="Times New Roman" w:hAnsi="Times New Roman" w:cs="Times New Roman"/>
      <w:i/>
      <w:sz w:val="20"/>
      <w:szCs w:val="24"/>
    </w:rPr>
  </w:style>
  <w:style w:type="character" w:customStyle="1" w:styleId="fig3thesisChar">
    <w:name w:val="fig 3 thesis Char"/>
    <w:basedOn w:val="DefaultParagraphFont"/>
    <w:link w:val="fig3thesis"/>
    <w:rsid w:val="00D7658B"/>
    <w:rPr>
      <w:rFonts w:ascii="Times New Roman" w:hAnsi="Times New Roman" w:cs="Times New Roman"/>
      <w:i/>
      <w:sz w:val="20"/>
      <w:szCs w:val="24"/>
    </w:rPr>
  </w:style>
  <w:style w:type="paragraph" w:customStyle="1" w:styleId="thesisheading3">
    <w:name w:val="thesis heading 3"/>
    <w:basedOn w:val="Heading3"/>
    <w:link w:val="thesisheading3Char"/>
    <w:qFormat/>
    <w:rsid w:val="00577BC1"/>
    <w:pPr>
      <w:spacing w:before="360" w:after="360" w:line="360" w:lineRule="auto"/>
    </w:pPr>
    <w:rPr>
      <w:rFonts w:ascii="Times New Roman" w:hAnsi="Times New Roman"/>
      <w:b/>
      <w:color w:val="000000" w:themeColor="text1"/>
      <w:sz w:val="24"/>
    </w:rPr>
  </w:style>
  <w:style w:type="character" w:customStyle="1" w:styleId="thesisheading3Char">
    <w:name w:val="thesis heading 3 Char"/>
    <w:basedOn w:val="Thesisheading2Char"/>
    <w:link w:val="thesisheading3"/>
    <w:rsid w:val="00577BC1"/>
    <w:rPr>
      <w:rFonts w:ascii="Times New Roman" w:eastAsiaTheme="majorEastAsia" w:hAnsi="Times New Roman" w:cstheme="majorBidi"/>
      <w:b/>
      <w:bCs w:val="0"/>
      <w:color w:val="000000" w:themeColor="text1"/>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pubs.aeaweb.org/doi/pdfplus/10.1257/jep.33.2.229" TargetMode="External"/><Relationship Id="rId26" Type="http://schemas.openxmlformats.org/officeDocument/2006/relationships/hyperlink" Target="https://www.nber.org/system/files/working_papers/w25148/w25148.pdf" TargetMode="External"/><Relationship Id="rId39" Type="http://schemas.openxmlformats.org/officeDocument/2006/relationships/hyperlink" Target="https://economicgraph.linkedin.com/content/dam/me/economicgraph/en-us/PDF/linkedIn-labor-market-report-building-a-future-of-work-that-works-jan-2026.pdf" TargetMode="External"/><Relationship Id="rId21" Type="http://schemas.openxmlformats.org/officeDocument/2006/relationships/hyperlink" Target="https://www.bls.gov/bls/congressional-reports/assessing-the-impact-of-new-technologies-on-the-labor-market.pdf" TargetMode="External"/><Relationship Id="rId34" Type="http://schemas.openxmlformats.org/officeDocument/2006/relationships/hyperlink" Target="https://www.imf.org/-/media/files/publications/wp/2025/english/wpiea2025067-print-pdf.pdf" TargetMode="External"/><Relationship Id="rId42" Type="http://schemas.openxmlformats.org/officeDocument/2006/relationships/hyperlink" Target="https://ipcid.org/evaluation/apoio/Wooldridge%20-%20Cross-section%20and%20Panel%20Data.pdf" TargetMode="External"/><Relationship Id="rId47" Type="http://schemas.openxmlformats.org/officeDocument/2006/relationships/hyperlink" Target="https://nielsen.sites.oasis.unc.edu/soci709/odocs/00TAS.pdf" TargetMode="External"/><Relationship Id="rId50" Type="http://schemas.openxmlformats.org/officeDocument/2006/relationships/hyperlink" Target="https://spia.uga.edu/faculty_pages/tyler.scott/teaching/PADP8130_Spring2017/readings/brambor.et.al.2006.pdf" TargetMode="External"/><Relationship Id="rId55" Type="http://schemas.openxmlformats.org/officeDocument/2006/relationships/hyperlink" Target="https://www.jayskaufman.com/uploads/3/0/8/9/30891283/clark_linzer_use_fixed_or_random_effects_political_science_research_&amp;_methods_2015.pdf" TargetMode="External"/><Relationship Id="rId63"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hyperlink" Target="https://economics.mit.edu/sites/default/files/publications/computing%20inequality%201998.pdf" TargetMode="External"/><Relationship Id="rId11" Type="http://schemas.openxmlformats.org/officeDocument/2006/relationships/image" Target="media/image2.png"/><Relationship Id="rId24" Type="http://schemas.openxmlformats.org/officeDocument/2006/relationships/hyperlink" Target="https://www.nber.org/system/files/working_papers/w11093/w11093.pdf" TargetMode="External"/><Relationship Id="rId32" Type="http://schemas.openxmlformats.org/officeDocument/2006/relationships/hyperlink" Target="https://economics.mit.edu/sites/default/files/2022-10/Tasks%20Automation%20and%20the%20Rise%20in%20US%20Wage%20Inequality.pdf" TargetMode="External"/><Relationship Id="rId37" Type="http://schemas.openxmlformats.org/officeDocument/2006/relationships/hyperlink" Target="https://www.pwc.com/gx/en/issues/artificial-intelligence/job-barometer/2025/report.pdf" TargetMode="External"/><Relationship Id="rId40" Type="http://schemas.openxmlformats.org/officeDocument/2006/relationships/hyperlink" Target="https://ec.europa.eu/eurostat/web/products-statistical-reports/w/ks-01-26-009" TargetMode="External"/><Relationship Id="rId45" Type="http://schemas.openxmlformats.org/officeDocument/2006/relationships/hyperlink" Target="https://cbpbu.ac.in/userfiles/file/2020/STUDY_MAT/ECO/2.pdf" TargetMode="External"/><Relationship Id="rId53" Type="http://schemas.openxmlformats.org/officeDocument/2006/relationships/hyperlink" Target="https://wiiw.ac.at/assessing-the-impact-of-new-technologies-on-wages-and-labour-income-shares-dlp-6773.pdf" TargetMode="External"/><Relationship Id="rId58" Type="http://schemas.openxmlformats.org/officeDocument/2006/relationships/hyperlink" Target="https://journals.plos.org/plosone/article?id=10.1371/journal.pone.0231349" TargetMode="External"/><Relationship Id="rId5" Type="http://schemas.openxmlformats.org/officeDocument/2006/relationships/webSettings" Target="webSettings.xml"/><Relationship Id="rId61" Type="http://schemas.openxmlformats.org/officeDocument/2006/relationships/footer" Target="footer3.xml"/><Relationship Id="rId19" Type="http://schemas.openxmlformats.org/officeDocument/2006/relationships/hyperlink" Target="https://gutenberg.ca/ebooks/keynes-essaysinpersuasion/keynes-essaysinpersuasion-00-h.html" TargetMode="External"/><Relationship Id="rId14" Type="http://schemas.openxmlformats.org/officeDocument/2006/relationships/comments" Target="comments.xml"/><Relationship Id="rId22" Type="http://schemas.openxmlformats.org/officeDocument/2006/relationships/hyperlink" Target="https://www.sciencedirect.com/science/article/pii/030440769401598T" TargetMode="External"/><Relationship Id="rId27" Type="http://schemas.openxmlformats.org/officeDocument/2006/relationships/hyperlink" Target="https://www.nber.org/system/files/working_papers/w28076/w28076.pdf" TargetMode="External"/><Relationship Id="rId30" Type="http://schemas.openxmlformats.org/officeDocument/2006/relationships/hyperlink" Target="https://www.nber.org/system/files/working_papers/w26705/w26705.pdf" TargetMode="External"/><Relationship Id="rId35" Type="http://schemas.openxmlformats.org/officeDocument/2006/relationships/hyperlink" Target="https://economics.mit.edu/sites/default/files/2024-10/The%20Simple%20Macroeconomics%20of%20AI.pdf" TargetMode="External"/><Relationship Id="rId43" Type="http://schemas.openxmlformats.org/officeDocument/2006/relationships/hyperlink" Target="https://retractionwatch.com/2024/02/21/how-not-to-deal-with-missing-data-an-economists-take-on-a-controversial-study/" TargetMode="External"/><Relationship Id="rId48" Type="http://schemas.openxmlformats.org/officeDocument/2006/relationships/hyperlink" Target="https://www.econstor.eu/bitstream/10419/189084/1/qed_wp_0537.pdf" TargetMode="External"/><Relationship Id="rId56" Type="http://schemas.openxmlformats.org/officeDocument/2006/relationships/hyperlink" Target="https://personal.lse.ac.uk/michaels/graetz_michaels_robots.pdf" TargetMode="External"/><Relationship Id="rId64"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www.oecd.org/content/dam/oecd/en/publications/reports/2016/05/returns-to-ict-skills_g17a27d2/5jlzfl2p5rzq-en.pdf" TargetMode="External"/><Relationship Id="rId3" Type="http://schemas.openxmlformats.org/officeDocument/2006/relationships/styles" Target="styles.xml"/><Relationship Id="rId12" Type="http://schemas.openxmlformats.org/officeDocument/2006/relationships/image" Target="media/image3.png"/><Relationship Id="rId17" Type="http://schemas.microsoft.com/office/2018/08/relationships/commentsExtensible" Target="commentsExtensible.xml"/><Relationship Id="rId25" Type="http://schemas.openxmlformats.org/officeDocument/2006/relationships/hyperlink" Target="https://www.rfberlin.com/research-insights/from-steam-power-to-artificial-intelligence/" TargetMode="External"/><Relationship Id="rId33" Type="http://schemas.openxmlformats.org/officeDocument/2006/relationships/hyperlink" Target="https://shapingwork.mit.edu/wp-content/uploads/2023/10/Robots-and-Jobs-Evidence-from-US-Labor-Markets.p.pdf" TargetMode="External"/><Relationship Id="rId38" Type="http://schemas.openxmlformats.org/officeDocument/2006/relationships/hyperlink" Target="https://oecd.ai/en/wonk/ai-workforce-what-linkedin-data-reveals-about-ai-talent-trends-in-oecd-ai-live-data" TargetMode="External"/><Relationship Id="rId46" Type="http://schemas.openxmlformats.org/officeDocument/2006/relationships/hyperlink" Target="https://pages.stern.nyu.edu/~wgreene/Econometrics/Mundlak-1978.pdf" TargetMode="External"/><Relationship Id="rId59" Type="http://schemas.openxmlformats.org/officeDocument/2006/relationships/image" Target="media/image5.png"/><Relationship Id="rId20" Type="http://schemas.openxmlformats.org/officeDocument/2006/relationships/hyperlink" Target="https://pubs.aeaweb.org/doi/pdfplus/10.1257/jep.33.2.3" TargetMode="External"/><Relationship Id="rId41" Type="http://schemas.openxmlformats.org/officeDocument/2006/relationships/hyperlink" Target="https://ibs.org.pl/wp-content/uploads/2025/03/Madon_the_relationship_between_AI_exposure_and_return_to_education.pdf" TargetMode="External"/><Relationship Id="rId54" Type="http://schemas.openxmlformats.org/officeDocument/2006/relationships/hyperlink" Target="https://www.ecb.europa.eu/press/research-publications/resbull/2024/html/ecb.rb240220~a77abebe0e.en.html"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yperlink" Target="https://researchonline.lse.ac.uk/id/eprint/22354/1/wp75.pdf" TargetMode="External"/><Relationship Id="rId28" Type="http://schemas.openxmlformats.org/officeDocument/2006/relationships/hyperlink" Target="https://www.nber.org/system/files/working_papers/w12984/w12984.pdf" TargetMode="External"/><Relationship Id="rId36" Type="http://schemas.openxmlformats.org/officeDocument/2006/relationships/hyperlink" Target="https://www.oecd.org/content/dam/oecd/en/publications/reports/2023/10/emerging-trends-in-ai-skill-demand-across-14-oecd-countries_faabbb45/7c691b9a-en.pdf" TargetMode="External"/><Relationship Id="rId49" Type="http://schemas.openxmlformats.org/officeDocument/2006/relationships/hyperlink" Target="https://statisticalhorizons.com/multicollinearity/" TargetMode="External"/><Relationship Id="rId57" Type="http://schemas.openxmlformats.org/officeDocument/2006/relationships/hyperlink" Target="https://www.econstor.eu/bitstream/10419/71451/1/497258285.pdf" TargetMode="External"/><Relationship Id="rId10" Type="http://schemas.openxmlformats.org/officeDocument/2006/relationships/image" Target="media/image1.png"/><Relationship Id="rId31" Type="http://schemas.openxmlformats.org/officeDocument/2006/relationships/hyperlink" Target="https://www.nber.org/system/files/working_papers/w8337/w8337.pdf" TargetMode="External"/><Relationship Id="rId44" Type="http://schemas.openxmlformats.org/officeDocument/2006/relationships/hyperlink" Target="https://www.ecb.europa.eu/press/economic-bulletin/html/eb202401.en.html" TargetMode="External"/><Relationship Id="rId52" Type="http://schemas.openxmlformats.org/officeDocument/2006/relationships/hyperlink" Target="https://irvapp.fbk.eu/wp-content/uploads/2025/08/WP_IRVAPP_2025_4.pdf" TargetMode="External"/><Relationship Id="rId6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12138</TotalTime>
  <Pages>75</Pages>
  <Words>26919</Words>
  <Characters>153443</Characters>
  <Application>Microsoft Office Word</Application>
  <DocSecurity>0</DocSecurity>
  <Lines>1278</Lines>
  <Paragraphs>360</Paragraphs>
  <ScaleCrop>false</ScaleCrop>
  <Company/>
  <LinksUpToDate>false</LinksUpToDate>
  <CharactersWithSpaces>180002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1839</cp:revision>
  <dcterms:created xsi:type="dcterms:W3CDTF">2026-02-15T16:53:00Z</dcterms:created>
  <dcterms:modified xsi:type="dcterms:W3CDTF">2026-05-18T22:48:00Z</dcterms:modified>
</cp:coreProperties>
</file>