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5702C" w14:textId="77777777" w:rsidR="00676734" w:rsidRDefault="00676734" w:rsidP="00676734">
      <w:pPr>
        <w:pStyle w:val="BodyText"/>
        <w:rPr>
          <w:rFonts w:ascii="Arial"/>
          <w:b/>
          <w:sz w:val="20"/>
        </w:rPr>
      </w:pPr>
    </w:p>
    <w:p w14:paraId="218D4604" w14:textId="2764E62C" w:rsidR="00676734" w:rsidRDefault="00676734" w:rsidP="00676734">
      <w:pPr>
        <w:pStyle w:val="BodyText"/>
        <w:rPr>
          <w:rFonts w:ascii="Arial"/>
          <w:b/>
          <w:sz w:val="20"/>
        </w:rPr>
      </w:pPr>
    </w:p>
    <w:p w14:paraId="43C3CF02" w14:textId="3684445C" w:rsidR="00676734" w:rsidRDefault="00676734" w:rsidP="00676734">
      <w:pPr>
        <w:pStyle w:val="BodyText"/>
        <w:rPr>
          <w:rFonts w:ascii="Arial"/>
          <w:b/>
          <w:sz w:val="20"/>
        </w:rPr>
      </w:pPr>
    </w:p>
    <w:p w14:paraId="49E96B79" w14:textId="77777777" w:rsidR="00676734" w:rsidRDefault="00676734" w:rsidP="00676734">
      <w:pPr>
        <w:pStyle w:val="BodyText"/>
        <w:spacing w:before="147"/>
        <w:rPr>
          <w:rFonts w:ascii="Arial"/>
          <w:b/>
          <w:sz w:val="20"/>
        </w:rPr>
      </w:pPr>
    </w:p>
    <w:p w14:paraId="1ACCE271" w14:textId="7C3409B5" w:rsidR="00676734" w:rsidRDefault="00676734" w:rsidP="00676734">
      <w:pPr>
        <w:spacing w:line="124" w:lineRule="exact"/>
        <w:ind w:left="-286"/>
        <w:rPr>
          <w:rFonts w:ascii="Arial"/>
          <w:position w:val="-1"/>
          <w:sz w:val="12"/>
        </w:rPr>
      </w:pPr>
    </w:p>
    <w:p w14:paraId="4117C897" w14:textId="77777777" w:rsidR="00676734" w:rsidRDefault="00676734" w:rsidP="00676734">
      <w:pPr>
        <w:spacing w:line="124" w:lineRule="exact"/>
        <w:rPr>
          <w:rFonts w:ascii="Arial"/>
          <w:position w:val="-1"/>
          <w:sz w:val="12"/>
        </w:rPr>
        <w:sectPr w:rsidR="00676734" w:rsidSect="00676734">
          <w:footerReference w:type="default" r:id="rId8"/>
          <w:type w:val="continuous"/>
          <w:pgSz w:w="11910" w:h="16850"/>
          <w:pgMar w:top="0" w:right="0" w:bottom="0" w:left="283" w:header="0" w:footer="0" w:gutter="0"/>
          <w:cols w:space="720"/>
        </w:sectPr>
      </w:pPr>
    </w:p>
    <w:p w14:paraId="487723E5" w14:textId="77777777" w:rsidR="00676734" w:rsidRDefault="00676734" w:rsidP="00676734">
      <w:pPr>
        <w:pStyle w:val="BodyText"/>
        <w:spacing w:before="138"/>
        <w:rPr>
          <w:rFonts w:ascii="Arial"/>
          <w:b/>
          <w:sz w:val="20"/>
        </w:rPr>
      </w:pPr>
    </w:p>
    <w:p w14:paraId="1DA8D645" w14:textId="0B3F5BE9" w:rsidR="00676734" w:rsidRPr="00676734" w:rsidRDefault="00676734" w:rsidP="00676734">
      <w:pPr>
        <w:spacing w:before="1"/>
        <w:ind w:left="141"/>
        <w:rPr>
          <w:rFonts w:ascii="Times New Roman"/>
          <w:sz w:val="20"/>
          <w:lang w:val="pl-PL"/>
        </w:rPr>
      </w:pPr>
    </w:p>
    <w:p w14:paraId="7130D2E1" w14:textId="2325CD1A" w:rsidR="00676734" w:rsidRPr="00627361" w:rsidRDefault="00676734" w:rsidP="00676734">
      <w:pPr>
        <w:spacing w:line="410" w:lineRule="exact"/>
        <w:ind w:left="102"/>
        <w:jc w:val="center"/>
        <w:rPr>
          <w:rFonts w:ascii="Times New Roman"/>
          <w:sz w:val="36"/>
        </w:rPr>
      </w:pPr>
      <w:r w:rsidRPr="00627361">
        <w:br w:type="column"/>
      </w:r>
      <w:r w:rsidR="00627361" w:rsidRPr="00627361">
        <w:rPr>
          <w:rFonts w:ascii="Times New Roman"/>
          <w:sz w:val="36"/>
        </w:rPr>
        <w:t>University of Wars</w:t>
      </w:r>
      <w:r w:rsidR="00627361">
        <w:rPr>
          <w:rFonts w:ascii="Times New Roman"/>
          <w:sz w:val="36"/>
        </w:rPr>
        <w:t>aw</w:t>
      </w:r>
    </w:p>
    <w:p w14:paraId="01DAB5ED" w14:textId="1E089366" w:rsidR="00676734" w:rsidRPr="00627361" w:rsidRDefault="00627361" w:rsidP="00627361">
      <w:pPr>
        <w:pStyle w:val="BodyText"/>
        <w:jc w:val="center"/>
        <w:rPr>
          <w:rFonts w:ascii="Times New Roman"/>
          <w:sz w:val="36"/>
          <w:lang w:val="en-GB"/>
        </w:rPr>
      </w:pPr>
      <w:r w:rsidRPr="00627361">
        <w:rPr>
          <w:rFonts w:ascii="Times New Roman" w:eastAsiaTheme="minorHAnsi" w:hAnsi="Times New Roman" w:cstheme="minorBidi"/>
          <w:kern w:val="2"/>
          <w:sz w:val="36"/>
          <w:lang w:val="en-GB"/>
          <w14:ligatures w14:val="standardContextual"/>
        </w:rPr>
        <w:t>Faculty of Economic Sci</w:t>
      </w:r>
      <w:r>
        <w:rPr>
          <w:rFonts w:ascii="Times New Roman" w:eastAsiaTheme="minorHAnsi" w:hAnsi="Times New Roman" w:cstheme="minorBidi"/>
          <w:kern w:val="2"/>
          <w:sz w:val="36"/>
          <w:lang w:val="en-GB"/>
          <w14:ligatures w14:val="standardContextual"/>
        </w:rPr>
        <w:t>ences</w:t>
      </w:r>
    </w:p>
    <w:p w14:paraId="3E81FA5F" w14:textId="77777777" w:rsidR="00676734" w:rsidRPr="00627361" w:rsidRDefault="00676734" w:rsidP="00676734">
      <w:pPr>
        <w:pStyle w:val="BodyText"/>
        <w:rPr>
          <w:rFonts w:ascii="Times New Roman"/>
          <w:sz w:val="36"/>
          <w:lang w:val="en-GB"/>
        </w:rPr>
      </w:pPr>
    </w:p>
    <w:p w14:paraId="1B6EEDFA" w14:textId="77777777" w:rsidR="00676734" w:rsidRPr="00627361" w:rsidRDefault="00676734" w:rsidP="00676734">
      <w:pPr>
        <w:pStyle w:val="BodyText"/>
        <w:rPr>
          <w:rFonts w:ascii="Times New Roman"/>
          <w:sz w:val="36"/>
          <w:lang w:val="en-GB"/>
        </w:rPr>
      </w:pPr>
    </w:p>
    <w:p w14:paraId="09AC43AD" w14:textId="77777777" w:rsidR="00676734" w:rsidRPr="00627361" w:rsidRDefault="00676734" w:rsidP="00676734">
      <w:pPr>
        <w:pStyle w:val="BodyText"/>
        <w:spacing w:before="138"/>
        <w:rPr>
          <w:rFonts w:ascii="Times New Roman"/>
          <w:sz w:val="36"/>
          <w:lang w:val="en-GB"/>
        </w:rPr>
      </w:pPr>
    </w:p>
    <w:p w14:paraId="30ACEBA3" w14:textId="001A7A8E" w:rsidR="00676734" w:rsidRPr="00627361" w:rsidRDefault="00627361" w:rsidP="00676734">
      <w:pPr>
        <w:spacing w:line="321" w:lineRule="exact"/>
        <w:ind w:left="104"/>
        <w:jc w:val="center"/>
        <w:rPr>
          <w:rFonts w:ascii="Times New Roman"/>
          <w:sz w:val="28"/>
        </w:rPr>
      </w:pPr>
      <w:r w:rsidRPr="00627361">
        <w:rPr>
          <w:rFonts w:ascii="Times New Roman"/>
          <w:sz w:val="28"/>
        </w:rPr>
        <w:t>Yuliya Martyniuk</w:t>
      </w:r>
    </w:p>
    <w:p w14:paraId="74D890FF" w14:textId="0D01BCA5" w:rsidR="00676734" w:rsidRPr="004E16F2" w:rsidRDefault="00627361" w:rsidP="00676734">
      <w:pPr>
        <w:spacing w:line="275" w:lineRule="exact"/>
        <w:ind w:left="100"/>
        <w:jc w:val="center"/>
        <w:rPr>
          <w:rFonts w:ascii="Times New Roman"/>
          <w:sz w:val="24"/>
        </w:rPr>
      </w:pPr>
      <w:r w:rsidRPr="004E16F2">
        <w:rPr>
          <w:rFonts w:ascii="Times New Roman"/>
          <w:sz w:val="24"/>
        </w:rPr>
        <w:t xml:space="preserve">Album </w:t>
      </w:r>
      <w:r w:rsidRPr="00627361">
        <w:rPr>
          <w:rFonts w:ascii="Times New Roman"/>
          <w:sz w:val="24"/>
        </w:rPr>
        <w:t>N</w:t>
      </w:r>
      <w:r w:rsidRPr="00627361">
        <w:rPr>
          <w:rFonts w:ascii="Times New Roman"/>
          <w:sz w:val="24"/>
        </w:rPr>
        <w:t>°</w:t>
      </w:r>
      <w:r w:rsidR="00676734" w:rsidRPr="004E16F2">
        <w:rPr>
          <w:rFonts w:ascii="Times New Roman"/>
          <w:sz w:val="24"/>
        </w:rPr>
        <w:t>:</w:t>
      </w:r>
      <w:r w:rsidR="00676734" w:rsidRPr="004E16F2">
        <w:rPr>
          <w:rFonts w:ascii="Times New Roman"/>
          <w:spacing w:val="-1"/>
          <w:sz w:val="24"/>
        </w:rPr>
        <w:t xml:space="preserve"> </w:t>
      </w:r>
      <w:r w:rsidR="00676734" w:rsidRPr="004E16F2">
        <w:rPr>
          <w:rFonts w:ascii="Times New Roman"/>
          <w:spacing w:val="-2"/>
          <w:sz w:val="24"/>
          <w:highlight w:val="yellow"/>
        </w:rPr>
        <w:t>12345</w:t>
      </w:r>
    </w:p>
    <w:p w14:paraId="333F7D19" w14:textId="77777777" w:rsidR="00676734" w:rsidRPr="004E16F2" w:rsidRDefault="00676734" w:rsidP="00676734">
      <w:pPr>
        <w:pStyle w:val="BodyText"/>
        <w:rPr>
          <w:rFonts w:ascii="Times New Roman"/>
          <w:sz w:val="24"/>
          <w:lang w:val="en-GB"/>
        </w:rPr>
      </w:pPr>
    </w:p>
    <w:p w14:paraId="25AF08AB" w14:textId="77777777" w:rsidR="00676734" w:rsidRPr="004E16F2" w:rsidRDefault="00676734" w:rsidP="00676734">
      <w:pPr>
        <w:pStyle w:val="BodyText"/>
        <w:spacing w:before="2"/>
        <w:rPr>
          <w:rFonts w:ascii="Times New Roman"/>
          <w:sz w:val="24"/>
          <w:lang w:val="en-GB"/>
        </w:rPr>
      </w:pPr>
    </w:p>
    <w:p w14:paraId="7B815796" w14:textId="77777777" w:rsidR="004E16F2" w:rsidRPr="004E16F2" w:rsidRDefault="004E16F2" w:rsidP="004E16F2">
      <w:pPr>
        <w:pStyle w:val="BodyText"/>
        <w:jc w:val="center"/>
        <w:rPr>
          <w:rFonts w:ascii="Times New Roman" w:hAnsi="Times New Roman"/>
          <w:b/>
          <w:bCs/>
          <w:sz w:val="40"/>
          <w:lang w:val="en-GB"/>
        </w:rPr>
      </w:pPr>
      <w:bookmarkStart w:id="0" w:name="Analiza_ekonomiczna_problemu._Nowa_ekono"/>
      <w:bookmarkStart w:id="1" w:name="-_podejście_w_UE"/>
      <w:bookmarkEnd w:id="0"/>
      <w:bookmarkEnd w:id="1"/>
      <w:r w:rsidRPr="004E16F2">
        <w:rPr>
          <w:rFonts w:ascii="Times New Roman" w:hAnsi="Times New Roman"/>
          <w:b/>
          <w:bCs/>
          <w:sz w:val="40"/>
          <w:highlight w:val="yellow"/>
          <w:lang w:val="en-GB"/>
        </w:rPr>
        <w:t>Title of the degree thesis</w:t>
      </w:r>
    </w:p>
    <w:p w14:paraId="1A70D776" w14:textId="77777777" w:rsidR="00676734" w:rsidRPr="004E16F2" w:rsidRDefault="00676734" w:rsidP="00676734">
      <w:pPr>
        <w:pStyle w:val="BodyText"/>
        <w:rPr>
          <w:rFonts w:ascii="Times New Roman"/>
          <w:b/>
          <w:sz w:val="40"/>
          <w:lang w:val="en-GB"/>
        </w:rPr>
      </w:pPr>
    </w:p>
    <w:p w14:paraId="76068BBA" w14:textId="77777777" w:rsidR="00676734" w:rsidRPr="004E16F2" w:rsidRDefault="00676734" w:rsidP="00676734">
      <w:pPr>
        <w:pStyle w:val="BodyText"/>
        <w:spacing w:before="183"/>
        <w:rPr>
          <w:rFonts w:ascii="Times New Roman"/>
          <w:b/>
          <w:sz w:val="40"/>
          <w:lang w:val="en-GB"/>
        </w:rPr>
      </w:pPr>
    </w:p>
    <w:p w14:paraId="5B8EE219" w14:textId="77777777" w:rsidR="004E16F2" w:rsidRPr="004E16F2" w:rsidRDefault="004E16F2" w:rsidP="004E16F2">
      <w:pPr>
        <w:pStyle w:val="BodyText"/>
        <w:spacing w:before="138"/>
        <w:jc w:val="center"/>
        <w:rPr>
          <w:rFonts w:ascii="Times New Roman"/>
          <w:sz w:val="24"/>
          <w:lang w:val="en-GB"/>
        </w:rPr>
      </w:pPr>
      <w:r w:rsidRPr="004E16F2">
        <w:rPr>
          <w:rFonts w:ascii="Times New Roman"/>
          <w:sz w:val="24"/>
          <w:highlight w:val="yellow"/>
          <w:lang w:val="en-GB"/>
        </w:rPr>
        <w:t>Licencjat/Magister (bachelor/master) degree thesis</w:t>
      </w:r>
    </w:p>
    <w:p w14:paraId="1384CAE7" w14:textId="63C82C81" w:rsidR="004E16F2" w:rsidRPr="004E16F2" w:rsidRDefault="004E16F2" w:rsidP="004E16F2">
      <w:pPr>
        <w:pStyle w:val="BodyText"/>
        <w:spacing w:before="138"/>
        <w:jc w:val="center"/>
        <w:rPr>
          <w:rFonts w:ascii="Times New Roman"/>
          <w:sz w:val="24"/>
          <w:lang w:val="en-GB"/>
        </w:rPr>
      </w:pPr>
      <w:r w:rsidRPr="004E16F2">
        <w:rPr>
          <w:rFonts w:ascii="Times New Roman"/>
          <w:sz w:val="24"/>
          <w:lang w:val="en-GB"/>
        </w:rPr>
        <w:t xml:space="preserve">Field of the study: </w:t>
      </w:r>
      <w:r>
        <w:rPr>
          <w:rFonts w:ascii="Times New Roman"/>
          <w:sz w:val="24"/>
          <w:lang w:val="en-GB"/>
        </w:rPr>
        <w:t>Data Science and Business Analytics</w:t>
      </w:r>
    </w:p>
    <w:p w14:paraId="1F045512" w14:textId="77777777" w:rsidR="00676734" w:rsidRPr="004E16F2" w:rsidRDefault="00676734" w:rsidP="00676734">
      <w:pPr>
        <w:pStyle w:val="BodyText"/>
        <w:spacing w:before="138"/>
        <w:rPr>
          <w:rFonts w:ascii="Times New Roman"/>
          <w:i/>
          <w:sz w:val="20"/>
          <w:lang w:val="en-GB"/>
        </w:rPr>
      </w:pPr>
      <w:r w:rsidRPr="004E16F2">
        <w:rPr>
          <w:lang w:val="en-GB"/>
        </w:rPr>
        <w:br w:type="column"/>
      </w:r>
    </w:p>
    <w:p w14:paraId="30CBD7CF" w14:textId="77777777" w:rsidR="00676734" w:rsidRPr="004E16F2" w:rsidRDefault="00676734" w:rsidP="00676734">
      <w:pPr>
        <w:rPr>
          <w:rFonts w:ascii="Times New Roman"/>
          <w:sz w:val="20"/>
        </w:rPr>
        <w:sectPr w:rsidR="00676734" w:rsidRPr="004E16F2" w:rsidSect="00676734">
          <w:type w:val="continuous"/>
          <w:pgSz w:w="11910" w:h="16850"/>
          <w:pgMar w:top="1320" w:right="0" w:bottom="280" w:left="283" w:header="0" w:footer="0" w:gutter="0"/>
          <w:cols w:num="3" w:space="720" w:equalWidth="0">
            <w:col w:w="729" w:space="615"/>
            <w:col w:w="8552" w:space="544"/>
            <w:col w:w="1187"/>
          </w:cols>
        </w:sectPr>
      </w:pPr>
    </w:p>
    <w:p w14:paraId="1722E270" w14:textId="77777777" w:rsidR="00676734" w:rsidRPr="004E16F2" w:rsidRDefault="00676734" w:rsidP="00676734">
      <w:pPr>
        <w:pStyle w:val="BodyText"/>
        <w:spacing w:before="204"/>
        <w:rPr>
          <w:rFonts w:ascii="Times New Roman"/>
          <w:sz w:val="24"/>
          <w:lang w:val="en-GB"/>
        </w:rPr>
      </w:pPr>
    </w:p>
    <w:p w14:paraId="61B5F52A" w14:textId="77777777" w:rsidR="00676734" w:rsidRDefault="00676734" w:rsidP="00676734">
      <w:pPr>
        <w:pStyle w:val="BodyText"/>
        <w:rPr>
          <w:rFonts w:ascii="Times New Roman"/>
          <w:i/>
          <w:sz w:val="24"/>
        </w:rPr>
      </w:pPr>
    </w:p>
    <w:p w14:paraId="34E523F0" w14:textId="77777777" w:rsidR="004E16F2" w:rsidRDefault="004E16F2" w:rsidP="00676734">
      <w:pPr>
        <w:pStyle w:val="BodyText"/>
        <w:rPr>
          <w:rFonts w:ascii="Times New Roman"/>
          <w:i/>
          <w:sz w:val="24"/>
        </w:rPr>
      </w:pPr>
    </w:p>
    <w:p w14:paraId="1C8B3DED" w14:textId="77777777" w:rsidR="00676734" w:rsidRDefault="00676734" w:rsidP="00676734">
      <w:pPr>
        <w:pStyle w:val="BodyText"/>
        <w:rPr>
          <w:rFonts w:ascii="Times New Roman"/>
          <w:i/>
          <w:sz w:val="24"/>
        </w:rPr>
      </w:pPr>
    </w:p>
    <w:p w14:paraId="24D375A1" w14:textId="77777777" w:rsidR="00676734" w:rsidRDefault="00676734" w:rsidP="00676734">
      <w:pPr>
        <w:pStyle w:val="BodyText"/>
        <w:rPr>
          <w:rFonts w:ascii="Times New Roman"/>
          <w:i/>
          <w:sz w:val="24"/>
        </w:rPr>
      </w:pPr>
    </w:p>
    <w:p w14:paraId="5F5474BB" w14:textId="77777777" w:rsidR="00676734" w:rsidRDefault="00676734" w:rsidP="00676734">
      <w:pPr>
        <w:pStyle w:val="BodyText"/>
        <w:rPr>
          <w:rFonts w:ascii="Times New Roman"/>
          <w:i/>
          <w:sz w:val="24"/>
        </w:rPr>
      </w:pPr>
    </w:p>
    <w:p w14:paraId="460F2291" w14:textId="77777777" w:rsidR="00676734" w:rsidRDefault="00676734" w:rsidP="00676734">
      <w:pPr>
        <w:pStyle w:val="BodyText"/>
        <w:spacing w:before="72"/>
        <w:rPr>
          <w:rFonts w:ascii="Times New Roman"/>
          <w:i/>
          <w:sz w:val="24"/>
        </w:rPr>
      </w:pPr>
    </w:p>
    <w:p w14:paraId="727DCD1A"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The thesis written under the supervision of</w:t>
      </w:r>
    </w:p>
    <w:p w14:paraId="5F325C40"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title/degree First name Surname</w:t>
      </w:r>
    </w:p>
    <w:p w14:paraId="2A09DC31"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from (name of the supervisor</w:t>
      </w:r>
      <w:r w:rsidRPr="004E16F2">
        <w:rPr>
          <w:rFonts w:ascii="Times New Roman"/>
          <w:sz w:val="24"/>
          <w:highlight w:val="yellow"/>
          <w:lang w:val="en-GB"/>
        </w:rPr>
        <w:t>’</w:t>
      </w:r>
      <w:r w:rsidRPr="004E16F2">
        <w:rPr>
          <w:rFonts w:ascii="Times New Roman"/>
          <w:sz w:val="24"/>
          <w:highlight w:val="yellow"/>
          <w:lang w:val="en-GB"/>
        </w:rPr>
        <w:t>s unit)</w:t>
      </w:r>
    </w:p>
    <w:p w14:paraId="57510E94" w14:textId="77777777" w:rsidR="004E16F2" w:rsidRPr="004E16F2" w:rsidRDefault="004E16F2" w:rsidP="004E16F2">
      <w:pPr>
        <w:pStyle w:val="BodyText"/>
        <w:ind w:right="1137"/>
        <w:jc w:val="right"/>
        <w:rPr>
          <w:rFonts w:ascii="Times New Roman"/>
          <w:sz w:val="24"/>
        </w:rPr>
      </w:pPr>
      <w:r w:rsidRPr="004E16F2">
        <w:rPr>
          <w:rFonts w:ascii="Times New Roman"/>
          <w:sz w:val="24"/>
          <w:highlight w:val="yellow"/>
        </w:rPr>
        <w:t>WNE UW</w:t>
      </w:r>
    </w:p>
    <w:p w14:paraId="6D14D200" w14:textId="77777777" w:rsidR="00676734" w:rsidRDefault="00676734" w:rsidP="00676734">
      <w:pPr>
        <w:pStyle w:val="BodyText"/>
        <w:rPr>
          <w:rFonts w:ascii="Times New Roman"/>
          <w:sz w:val="20"/>
        </w:rPr>
      </w:pPr>
    </w:p>
    <w:p w14:paraId="52C945DB" w14:textId="77777777" w:rsidR="00676734" w:rsidRDefault="00676734" w:rsidP="00676734">
      <w:pPr>
        <w:pStyle w:val="BodyText"/>
        <w:rPr>
          <w:rFonts w:ascii="Times New Roman"/>
          <w:sz w:val="20"/>
        </w:rPr>
      </w:pPr>
    </w:p>
    <w:p w14:paraId="0E89C624" w14:textId="77777777" w:rsidR="00676734" w:rsidRDefault="00676734" w:rsidP="00676734">
      <w:pPr>
        <w:pStyle w:val="BodyText"/>
        <w:rPr>
          <w:rFonts w:ascii="Times New Roman"/>
          <w:sz w:val="20"/>
        </w:rPr>
      </w:pPr>
    </w:p>
    <w:p w14:paraId="568315EA" w14:textId="77777777" w:rsidR="00676734" w:rsidRDefault="00676734" w:rsidP="00676734">
      <w:pPr>
        <w:pStyle w:val="BodyText"/>
        <w:rPr>
          <w:rFonts w:ascii="Times New Roman"/>
          <w:sz w:val="20"/>
        </w:rPr>
      </w:pPr>
    </w:p>
    <w:p w14:paraId="7DEC8CBE" w14:textId="77777777" w:rsidR="00676734" w:rsidRDefault="00676734" w:rsidP="00676734">
      <w:pPr>
        <w:pStyle w:val="BodyText"/>
        <w:rPr>
          <w:rFonts w:ascii="Times New Roman"/>
          <w:sz w:val="20"/>
        </w:rPr>
      </w:pPr>
    </w:p>
    <w:p w14:paraId="76E053F3" w14:textId="77777777" w:rsidR="00676734" w:rsidRDefault="00676734" w:rsidP="00676734">
      <w:pPr>
        <w:pStyle w:val="BodyText"/>
        <w:rPr>
          <w:rFonts w:ascii="Times New Roman"/>
          <w:sz w:val="20"/>
        </w:rPr>
      </w:pPr>
    </w:p>
    <w:p w14:paraId="17018618" w14:textId="77777777" w:rsidR="00676734" w:rsidRDefault="00676734" w:rsidP="00676734">
      <w:pPr>
        <w:pStyle w:val="BodyText"/>
        <w:rPr>
          <w:rFonts w:ascii="Times New Roman"/>
          <w:sz w:val="20"/>
        </w:rPr>
      </w:pPr>
    </w:p>
    <w:p w14:paraId="30820117" w14:textId="5019BC23" w:rsidR="00676734" w:rsidRDefault="00676734" w:rsidP="00676734">
      <w:pPr>
        <w:pStyle w:val="BodyText"/>
        <w:jc w:val="center"/>
        <w:rPr>
          <w:rFonts w:ascii="Times New Roman"/>
          <w:sz w:val="20"/>
        </w:rPr>
      </w:pPr>
      <w:r w:rsidRPr="004E16F2">
        <w:rPr>
          <w:rFonts w:ascii="Times New Roman"/>
          <w:sz w:val="20"/>
          <w:highlight w:val="yellow"/>
        </w:rPr>
        <w:t>War</w:t>
      </w:r>
      <w:r w:rsidR="004E16F2" w:rsidRPr="004E16F2">
        <w:rPr>
          <w:rFonts w:ascii="Times New Roman"/>
          <w:sz w:val="20"/>
          <w:highlight w:val="yellow"/>
        </w:rPr>
        <w:t>saw</w:t>
      </w:r>
      <w:r w:rsidRPr="004E16F2">
        <w:rPr>
          <w:rFonts w:ascii="Times New Roman"/>
          <w:sz w:val="20"/>
          <w:highlight w:val="yellow"/>
        </w:rPr>
        <w:t xml:space="preserve">, </w:t>
      </w:r>
      <w:r w:rsidR="004E16F2" w:rsidRPr="004E16F2">
        <w:rPr>
          <w:rFonts w:ascii="Times New Roman"/>
          <w:sz w:val="20"/>
          <w:highlight w:val="yellow"/>
        </w:rPr>
        <w:t>June</w:t>
      </w:r>
      <w:r w:rsidRPr="004E16F2">
        <w:rPr>
          <w:rFonts w:ascii="Times New Roman"/>
          <w:sz w:val="20"/>
          <w:highlight w:val="yellow"/>
        </w:rPr>
        <w:t xml:space="preserve"> 202</w:t>
      </w:r>
      <w:r w:rsidR="004E16F2" w:rsidRPr="004E16F2">
        <w:rPr>
          <w:rFonts w:ascii="Times New Roman"/>
          <w:sz w:val="20"/>
          <w:highlight w:val="yellow"/>
        </w:rPr>
        <w:t>6</w:t>
      </w:r>
    </w:p>
    <w:p w14:paraId="067095F1" w14:textId="77777777" w:rsidR="00676734" w:rsidRDefault="00676734" w:rsidP="00676734">
      <w:pPr>
        <w:pStyle w:val="BodyText"/>
        <w:rPr>
          <w:rFonts w:ascii="Times New Roman"/>
          <w:sz w:val="20"/>
        </w:rPr>
      </w:pPr>
    </w:p>
    <w:p w14:paraId="2834F613" w14:textId="77777777" w:rsidR="00676734" w:rsidRDefault="00676734" w:rsidP="00676734">
      <w:pPr>
        <w:pStyle w:val="BodyText"/>
        <w:rPr>
          <w:rFonts w:ascii="Times New Roman"/>
          <w:sz w:val="20"/>
        </w:rPr>
      </w:pPr>
    </w:p>
    <w:p w14:paraId="12D1013C" w14:textId="77777777" w:rsidR="00676734" w:rsidRDefault="00676734" w:rsidP="00676734">
      <w:pPr>
        <w:pStyle w:val="BodyText"/>
        <w:rPr>
          <w:rFonts w:ascii="Times New Roman"/>
          <w:sz w:val="20"/>
        </w:rPr>
      </w:pPr>
    </w:p>
    <w:p w14:paraId="77291576" w14:textId="77777777" w:rsidR="00676734" w:rsidRDefault="00676734" w:rsidP="00676734">
      <w:pPr>
        <w:pStyle w:val="BodyText"/>
        <w:rPr>
          <w:rFonts w:ascii="Times New Roman"/>
          <w:sz w:val="20"/>
        </w:rPr>
      </w:pPr>
    </w:p>
    <w:p w14:paraId="7E2958AF" w14:textId="77777777" w:rsidR="00676734" w:rsidRDefault="00676734" w:rsidP="00676734">
      <w:pPr>
        <w:pStyle w:val="BodyText"/>
        <w:spacing w:before="24"/>
        <w:rPr>
          <w:rFonts w:ascii="Times New Roman"/>
          <w:sz w:val="20"/>
        </w:rPr>
      </w:pPr>
    </w:p>
    <w:p w14:paraId="133C257E" w14:textId="77777777" w:rsidR="00676734" w:rsidRDefault="00676734" w:rsidP="00676734">
      <w:pPr>
        <w:pStyle w:val="BodyText"/>
        <w:rPr>
          <w:rFonts w:ascii="Times New Roman"/>
          <w:sz w:val="20"/>
        </w:rPr>
        <w:sectPr w:rsidR="00676734" w:rsidSect="00676734">
          <w:type w:val="continuous"/>
          <w:pgSz w:w="11910" w:h="16850"/>
          <w:pgMar w:top="1320" w:right="0" w:bottom="280" w:left="283" w:header="0" w:footer="0" w:gutter="0"/>
          <w:cols w:space="720"/>
        </w:sectPr>
      </w:pPr>
    </w:p>
    <w:p w14:paraId="423796EC" w14:textId="77777777" w:rsidR="00676734" w:rsidRDefault="00676734" w:rsidP="00676734">
      <w:pPr>
        <w:pStyle w:val="BodyText"/>
        <w:spacing w:before="2"/>
        <w:rPr>
          <w:rFonts w:ascii="Times New Roman"/>
          <w:sz w:val="13"/>
        </w:rPr>
      </w:pPr>
    </w:p>
    <w:p w14:paraId="69A5B51F" w14:textId="18B5AEFF" w:rsidR="00676734" w:rsidRPr="00676734" w:rsidRDefault="00676734" w:rsidP="00676734">
      <w:pPr>
        <w:spacing w:line="120" w:lineRule="exact"/>
        <w:ind w:left="-283" w:right="-461"/>
        <w:rPr>
          <w:rFonts w:ascii="Times New Roman"/>
          <w:position w:val="-1"/>
          <w:sz w:val="12"/>
          <w:lang w:val="pl-PL"/>
        </w:rPr>
      </w:pPr>
    </w:p>
    <w:p w14:paraId="15225ADA" w14:textId="77777777" w:rsidR="00676734" w:rsidRDefault="00676734" w:rsidP="00676734">
      <w:pPr>
        <w:pStyle w:val="BodyText"/>
        <w:rPr>
          <w:rFonts w:ascii="Times New Roman"/>
          <w:sz w:val="24"/>
        </w:rPr>
      </w:pPr>
      <w:r>
        <w:br w:type="column"/>
      </w:r>
    </w:p>
    <w:p w14:paraId="54A3BE41" w14:textId="573DA6CA" w:rsidR="00676734" w:rsidRPr="00676734" w:rsidRDefault="00676734" w:rsidP="00676734">
      <w:pPr>
        <w:rPr>
          <w:rFonts w:ascii="Times New Roman"/>
          <w:sz w:val="24"/>
          <w:lang w:val="pl-PL"/>
        </w:rPr>
      </w:pPr>
    </w:p>
    <w:p w14:paraId="39B261ED" w14:textId="2B329ED3" w:rsidR="00676734" w:rsidRPr="009042F6" w:rsidRDefault="00676734" w:rsidP="009042F6">
      <w:pPr>
        <w:spacing w:before="91"/>
        <w:ind w:left="141"/>
        <w:rPr>
          <w:rFonts w:ascii="Times New Roman"/>
          <w:sz w:val="13"/>
          <w:lang w:val="pl-PL"/>
        </w:rPr>
        <w:sectPr w:rsidR="00676734" w:rsidRPr="009042F6" w:rsidSect="00676734">
          <w:type w:val="continuous"/>
          <w:pgSz w:w="11910" w:h="16850"/>
          <w:pgMar w:top="1320" w:right="0" w:bottom="280" w:left="283" w:header="0" w:footer="0" w:gutter="0"/>
          <w:cols w:num="3" w:space="720" w:equalWidth="0">
            <w:col w:w="728" w:space="3704"/>
            <w:col w:w="2374" w:space="3634"/>
            <w:col w:w="1187"/>
          </w:cols>
        </w:sectPr>
      </w:pPr>
      <w:r w:rsidRPr="00676734">
        <w:rPr>
          <w:lang w:val="pl-PL"/>
        </w:rPr>
        <w:br w:type="column"/>
      </w:r>
    </w:p>
    <w:p w14:paraId="07417A9B" w14:textId="2FF549B1" w:rsidR="00676734" w:rsidRPr="00FC7D23" w:rsidRDefault="00676734" w:rsidP="00676734">
      <w:pPr>
        <w:rPr>
          <w:sz w:val="18"/>
          <w:szCs w:val="18"/>
          <w:lang w:val="pl-PL"/>
        </w:rPr>
        <w:sectPr w:rsidR="00676734" w:rsidRPr="00FC7D23" w:rsidSect="00AB7912">
          <w:type w:val="continuous"/>
          <w:pgSz w:w="11910" w:h="16850"/>
          <w:pgMar w:top="1418" w:right="1418" w:bottom="1418" w:left="1418" w:header="0" w:footer="0" w:gutter="0"/>
          <w:cols w:space="720"/>
        </w:sectPr>
      </w:pPr>
    </w:p>
    <w:p w14:paraId="73B6C803" w14:textId="77777777" w:rsidR="00AB7912" w:rsidRPr="00AB7912" w:rsidRDefault="00AB7912" w:rsidP="00AB7912">
      <w:pPr>
        <w:pageBreakBefore/>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bookmarkStart w:id="2" w:name="Oświadczenia_kierującego_pracą"/>
      <w:bookmarkEnd w:id="2"/>
    </w:p>
    <w:p w14:paraId="46241B84"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72407DAD"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2F22572D"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supervisor</w:t>
      </w:r>
    </w:p>
    <w:p w14:paraId="5377209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C2AAA2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the following thesis was written under my supervision and I state that it meets all criterias to be submitted for the procedure of academic degree award.</w:t>
      </w:r>
    </w:p>
    <w:p w14:paraId="2BCF98A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621094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my participation in the scientific article, which is a part of this thesis is ….%, while the supplement to the thesis was written independently by the graduate (s).</w:t>
      </w:r>
    </w:p>
    <w:p w14:paraId="4C6CC56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3DCC7A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7E3E1A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0C53AB6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Supervisor</w:t>
      </w:r>
    </w:p>
    <w:p w14:paraId="00E3D7C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FD8BD3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78DFA0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360A0E12"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ACA9BE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9CD0009"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author of the thesis**</w:t>
      </w:r>
    </w:p>
    <w:p w14:paraId="1887157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14E3E0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Aware of the legal responsibility, I declare that I am the sole author of the following thesis and that the thesis is free from any content that constitutes copyright infringement or has been acquired contrary to applicable laws and regulations.</w:t>
      </w:r>
    </w:p>
    <w:p w14:paraId="01AF8D2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6C70AD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also declare that the thesis has never been a subject of degree-awarding procedures in any higher education institution.</w:t>
      </w:r>
    </w:p>
    <w:p w14:paraId="5CF8267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6E76DF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Moreover I declare that the attached version of the thesis is identical with the enclosed electronic version.</w:t>
      </w:r>
    </w:p>
    <w:p w14:paraId="6773011C"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1FE819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 I declare that my*** participation in the scientific article, which is part of this thesis is ……..% (not less than 60%), while the supplement to the thesis was written by me***.</w:t>
      </w:r>
    </w:p>
    <w:p w14:paraId="5BBE3F57"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C90E35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D6F632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453C302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Author</w:t>
      </w:r>
    </w:p>
    <w:p w14:paraId="31111A1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7822EC33"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6ECC466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DB6C5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7B05F2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43F1FF4" w14:textId="77777777" w:rsidR="00AB7912" w:rsidRPr="002D17FF" w:rsidRDefault="00AB7912" w:rsidP="00AB7912">
      <w:pPr>
        <w:suppressAutoHyphens/>
        <w:autoSpaceDN w:val="0"/>
        <w:spacing w:after="0" w:line="240" w:lineRule="auto"/>
        <w:rPr>
          <w:rFonts w:ascii="Times New Roman" w:eastAsia="Times New Roman" w:hAnsi="Times New Roman" w:cs="Times New Roman"/>
          <w:kern w:val="3"/>
          <w:sz w:val="24"/>
          <w:szCs w:val="24"/>
          <w:highlight w:val="yellow"/>
          <w:lang w:eastAsia="zh-CN"/>
          <w14:ligatures w14:val="none"/>
        </w:rPr>
      </w:pPr>
    </w:p>
    <w:p w14:paraId="24B9A3BE" w14:textId="77777777" w:rsidR="00AB7912" w:rsidRPr="002D17FF" w:rsidRDefault="00AB7912" w:rsidP="00AB7912">
      <w:pPr>
        <w:suppressAutoHyphens/>
        <w:autoSpaceDN w:val="0"/>
        <w:spacing w:after="0" w:line="240" w:lineRule="auto"/>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each of the co-authors of the thesis submit the statement separately.</w:t>
      </w:r>
    </w:p>
    <w:p w14:paraId="1343387D" w14:textId="535C6D44" w:rsidR="00676734" w:rsidRPr="002D17FF" w:rsidRDefault="00AB7912" w:rsidP="002D17FF">
      <w:pPr>
        <w:suppressAutoHyphens/>
        <w:autoSpaceDN w:val="0"/>
        <w:spacing w:after="0" w:line="240" w:lineRule="auto"/>
        <w:rPr>
          <w:rFonts w:ascii="Times New Roman" w:eastAsia="Times New Roman" w:hAnsi="Times New Roman" w:cs="Times New Roman"/>
          <w:i/>
          <w:kern w:val="3"/>
          <w:sz w:val="24"/>
          <w:szCs w:val="24"/>
          <w:lang w:eastAsia="zh-CN"/>
          <w14:ligatures w14:val="none"/>
        </w:rPr>
        <w:sectPr w:rsidR="00676734" w:rsidRPr="002D17FF" w:rsidSect="00AB7912">
          <w:footerReference w:type="default" r:id="rId9"/>
          <w:pgSz w:w="11910" w:h="16850"/>
          <w:pgMar w:top="1418" w:right="1418" w:bottom="1418" w:left="1418" w:header="0" w:footer="775" w:gutter="0"/>
          <w:pgNumType w:start="1"/>
          <w:cols w:space="720"/>
        </w:sectPr>
      </w:pPr>
      <w:r w:rsidRPr="002D17FF">
        <w:rPr>
          <w:rFonts w:ascii="Times New Roman" w:eastAsia="Times New Roman" w:hAnsi="Times New Roman" w:cs="Times New Roman"/>
          <w:i/>
          <w:kern w:val="3"/>
          <w:sz w:val="24"/>
          <w:szCs w:val="24"/>
          <w:highlight w:val="yellow"/>
          <w:lang w:eastAsia="zh-CN"/>
          <w14:ligatures w14:val="none"/>
        </w:rPr>
        <w:t>*** in the case of  co-author of thesis, substantive and percentage contribution should be declared.</w:t>
      </w:r>
    </w:p>
    <w:p w14:paraId="2638B383" w14:textId="77777777" w:rsidR="00607520" w:rsidRPr="00607520" w:rsidRDefault="00607520" w:rsidP="00607520">
      <w:pPr>
        <w:pageBreakBefore/>
        <w:suppressAutoHyphens/>
        <w:autoSpaceDN w:val="0"/>
        <w:spacing w:after="0" w:line="240" w:lineRule="auto"/>
        <w:jc w:val="both"/>
        <w:rPr>
          <w:rFonts w:ascii="Times New Roman" w:eastAsia="Times New Roman" w:hAnsi="Times New Roman" w:cs="Times New Roman"/>
          <w:i/>
          <w:spacing w:val="-3"/>
          <w:kern w:val="3"/>
          <w:sz w:val="24"/>
          <w:szCs w:val="24"/>
          <w:lang w:eastAsia="zh-CN"/>
          <w14:ligatures w14:val="none"/>
        </w:rPr>
      </w:pPr>
    </w:p>
    <w:p w14:paraId="684B7D08" w14:textId="77777777" w:rsidR="00607520" w:rsidRPr="00607520" w:rsidRDefault="00607520" w:rsidP="00FA12C2">
      <w:pPr>
        <w:jc w:val="center"/>
        <w:rPr>
          <w:lang w:eastAsia="zh-CN"/>
        </w:rPr>
      </w:pPr>
    </w:p>
    <w:p w14:paraId="330890F2" w14:textId="77777777" w:rsidR="00607520" w:rsidRPr="00607520" w:rsidRDefault="00607520" w:rsidP="00FA12C2">
      <w:pPr>
        <w:jc w:val="center"/>
        <w:rPr>
          <w:b/>
          <w:bCs/>
          <w:highlight w:val="yellow"/>
          <w:lang w:eastAsia="zh-CN"/>
        </w:rPr>
      </w:pPr>
      <w:r w:rsidRPr="00607520">
        <w:rPr>
          <w:b/>
          <w:bCs/>
          <w:highlight w:val="yellow"/>
          <w:lang w:eastAsia="zh-CN"/>
        </w:rPr>
        <w:t>Summary</w:t>
      </w:r>
    </w:p>
    <w:p w14:paraId="6AAD631C" w14:textId="77777777" w:rsidR="00607520" w:rsidRPr="00607520" w:rsidRDefault="00607520" w:rsidP="00FA12C2">
      <w:pPr>
        <w:jc w:val="center"/>
        <w:rPr>
          <w:highlight w:val="yellow"/>
          <w:lang w:eastAsia="zh-CN"/>
        </w:rPr>
      </w:pPr>
    </w:p>
    <w:p w14:paraId="18C02927" w14:textId="77777777" w:rsidR="00607520" w:rsidRPr="00607520" w:rsidRDefault="00607520" w:rsidP="00FA12C2">
      <w:pPr>
        <w:jc w:val="center"/>
        <w:rPr>
          <w:highlight w:val="yellow"/>
          <w:lang w:eastAsia="zh-CN"/>
        </w:rPr>
      </w:pPr>
      <w:r w:rsidRPr="00607520">
        <w:rPr>
          <w:highlight w:val="yellow"/>
          <w:lang w:eastAsia="zh-CN"/>
        </w:rPr>
        <w:t>The thesis concerns / covers / present issues...</w:t>
      </w:r>
    </w:p>
    <w:p w14:paraId="1EF779F0" w14:textId="77777777" w:rsidR="00607520" w:rsidRPr="00607520" w:rsidRDefault="00607520" w:rsidP="00FA12C2">
      <w:pPr>
        <w:jc w:val="center"/>
        <w:rPr>
          <w:lang w:eastAsia="zh-CN"/>
        </w:rPr>
      </w:pPr>
      <w:r w:rsidRPr="00607520">
        <w:rPr>
          <w:i/>
          <w:highlight w:val="yellow"/>
          <w:lang w:eastAsia="zh-CN"/>
        </w:rPr>
        <w:t>&lt;justified text, no tab, containing no more than 800 signs with spaces. Do not specify the purpose or topic of  the thesis&gt;</w:t>
      </w:r>
    </w:p>
    <w:p w14:paraId="170DAB94" w14:textId="77777777" w:rsidR="00607520" w:rsidRPr="00607520" w:rsidRDefault="00607520" w:rsidP="00FA12C2">
      <w:pPr>
        <w:jc w:val="center"/>
        <w:rPr>
          <w:i/>
          <w:lang w:eastAsia="zh-CN"/>
        </w:rPr>
      </w:pPr>
    </w:p>
    <w:p w14:paraId="027C19DF" w14:textId="77777777" w:rsidR="00607520" w:rsidRPr="00607520" w:rsidRDefault="00607520" w:rsidP="00FA12C2">
      <w:pPr>
        <w:jc w:val="center"/>
        <w:rPr>
          <w:lang w:eastAsia="zh-CN"/>
        </w:rPr>
      </w:pPr>
    </w:p>
    <w:p w14:paraId="6DF92FF7" w14:textId="77777777" w:rsidR="00607520" w:rsidRPr="00607520" w:rsidRDefault="00607520" w:rsidP="00FA12C2">
      <w:pPr>
        <w:jc w:val="center"/>
        <w:rPr>
          <w:lang w:eastAsia="zh-CN"/>
        </w:rPr>
      </w:pPr>
    </w:p>
    <w:p w14:paraId="0BB1FA2B" w14:textId="77777777" w:rsidR="00607520" w:rsidRPr="00607520" w:rsidRDefault="00607520" w:rsidP="00FA12C2">
      <w:pPr>
        <w:jc w:val="center"/>
        <w:rPr>
          <w:lang w:eastAsia="zh-CN"/>
        </w:rPr>
      </w:pPr>
    </w:p>
    <w:p w14:paraId="45D6E929" w14:textId="77777777" w:rsidR="00607520" w:rsidRPr="00607520" w:rsidRDefault="00607520" w:rsidP="00FA12C2">
      <w:pPr>
        <w:jc w:val="center"/>
        <w:rPr>
          <w:b/>
          <w:bCs/>
          <w:highlight w:val="yellow"/>
          <w:lang w:eastAsia="zh-CN"/>
        </w:rPr>
      </w:pPr>
      <w:r w:rsidRPr="00607520">
        <w:rPr>
          <w:b/>
          <w:bCs/>
          <w:highlight w:val="yellow"/>
          <w:lang w:eastAsia="zh-CN"/>
        </w:rPr>
        <w:t>Key  words</w:t>
      </w:r>
    </w:p>
    <w:p w14:paraId="60BBA3CF" w14:textId="77777777" w:rsidR="00607520" w:rsidRPr="00607520" w:rsidRDefault="00607520" w:rsidP="00FA12C2">
      <w:pPr>
        <w:jc w:val="center"/>
        <w:rPr>
          <w:highlight w:val="yellow"/>
          <w:lang w:eastAsia="zh-CN"/>
        </w:rPr>
      </w:pPr>
    </w:p>
    <w:p w14:paraId="198814D8" w14:textId="77777777" w:rsidR="00607520" w:rsidRPr="00607520" w:rsidRDefault="00607520" w:rsidP="00FA12C2">
      <w:pPr>
        <w:jc w:val="center"/>
        <w:rPr>
          <w:lang w:eastAsia="zh-CN"/>
        </w:rPr>
      </w:pPr>
      <w:r w:rsidRPr="00607520">
        <w:rPr>
          <w:highlight w:val="yellow"/>
          <w:lang w:eastAsia="zh-CN"/>
        </w:rPr>
        <w:t>&lt;</w:t>
      </w:r>
      <w:r w:rsidRPr="00607520">
        <w:rPr>
          <w:i/>
          <w:highlight w:val="yellow"/>
          <w:lang w:eastAsia="zh-CN"/>
        </w:rPr>
        <w:t>words centered, separated by commas, written in lowercase - except for generic names, including terms related to the work - mainly from the title of the thesis and the thesis summary, total number of words- no more than 10&gt;</w:t>
      </w:r>
    </w:p>
    <w:p w14:paraId="14945160" w14:textId="77777777" w:rsidR="00607520" w:rsidRPr="00607520" w:rsidRDefault="00607520" w:rsidP="00FA12C2">
      <w:pPr>
        <w:jc w:val="center"/>
        <w:rPr>
          <w:lang w:eastAsia="zh-CN"/>
        </w:rPr>
      </w:pPr>
    </w:p>
    <w:p w14:paraId="19029E7A" w14:textId="77777777" w:rsidR="00607520" w:rsidRPr="00607520" w:rsidRDefault="00607520" w:rsidP="00FA12C2">
      <w:pPr>
        <w:jc w:val="center"/>
        <w:rPr>
          <w:lang w:eastAsia="zh-CN"/>
        </w:rPr>
      </w:pPr>
    </w:p>
    <w:p w14:paraId="1486768E" w14:textId="77777777" w:rsidR="00607520" w:rsidRPr="00607520" w:rsidRDefault="00607520" w:rsidP="00FA12C2">
      <w:pPr>
        <w:jc w:val="center"/>
        <w:rPr>
          <w:lang w:eastAsia="zh-CN"/>
        </w:rPr>
      </w:pPr>
    </w:p>
    <w:p w14:paraId="057EDCF6" w14:textId="77777777" w:rsidR="00607520" w:rsidRPr="00607520" w:rsidRDefault="00607520" w:rsidP="00FA12C2">
      <w:pPr>
        <w:jc w:val="center"/>
        <w:rPr>
          <w:lang w:eastAsia="zh-CN"/>
        </w:rPr>
      </w:pPr>
    </w:p>
    <w:p w14:paraId="6EEF85C2" w14:textId="77777777" w:rsidR="00607520" w:rsidRPr="00607520" w:rsidRDefault="00607520" w:rsidP="00FA12C2">
      <w:pPr>
        <w:jc w:val="center"/>
        <w:rPr>
          <w:b/>
          <w:highlight w:val="yellow"/>
          <w:lang w:eastAsia="zh-CN"/>
        </w:rPr>
      </w:pPr>
      <w:r w:rsidRPr="00607520">
        <w:rPr>
          <w:b/>
          <w:highlight w:val="yellow"/>
          <w:lang w:eastAsia="zh-CN"/>
        </w:rPr>
        <w:t>Field of the thesis (codes according to the Erasmus program)</w:t>
      </w:r>
    </w:p>
    <w:p w14:paraId="75EB4CBF" w14:textId="77777777" w:rsidR="00607520" w:rsidRPr="00607520" w:rsidRDefault="00607520" w:rsidP="00FA12C2">
      <w:pPr>
        <w:jc w:val="center"/>
        <w:rPr>
          <w:highlight w:val="yellow"/>
          <w:lang w:eastAsia="zh-CN"/>
        </w:rPr>
      </w:pPr>
    </w:p>
    <w:p w14:paraId="5EEC4388" w14:textId="77777777" w:rsidR="00607520" w:rsidRPr="00607520" w:rsidRDefault="00607520" w:rsidP="00FA12C2">
      <w:pPr>
        <w:jc w:val="center"/>
        <w:rPr>
          <w:lang w:eastAsia="zh-CN"/>
        </w:rPr>
      </w:pPr>
      <w:r w:rsidRPr="00607520">
        <w:rPr>
          <w:highlight w:val="yellow"/>
          <w:lang w:eastAsia="zh-CN"/>
        </w:rPr>
        <w:t>Economics (14300)</w:t>
      </w:r>
    </w:p>
    <w:p w14:paraId="28E793E5" w14:textId="77777777" w:rsidR="00607520" w:rsidRPr="00607520" w:rsidRDefault="00607520" w:rsidP="00FA12C2">
      <w:pPr>
        <w:jc w:val="center"/>
        <w:rPr>
          <w:lang w:eastAsia="zh-CN"/>
        </w:rPr>
      </w:pPr>
    </w:p>
    <w:p w14:paraId="572189B6" w14:textId="77777777" w:rsidR="00607520" w:rsidRPr="00607520" w:rsidRDefault="00607520" w:rsidP="00FA12C2">
      <w:pPr>
        <w:jc w:val="center"/>
        <w:rPr>
          <w:lang w:eastAsia="zh-CN"/>
        </w:rPr>
      </w:pPr>
    </w:p>
    <w:p w14:paraId="3CACFCEF" w14:textId="77777777" w:rsidR="00607520" w:rsidRPr="00607520" w:rsidRDefault="00607520" w:rsidP="00FA12C2">
      <w:pPr>
        <w:jc w:val="center"/>
        <w:rPr>
          <w:lang w:eastAsia="zh-CN"/>
        </w:rPr>
      </w:pPr>
    </w:p>
    <w:p w14:paraId="5370334A" w14:textId="77777777" w:rsidR="00607520" w:rsidRPr="00607520" w:rsidRDefault="00607520" w:rsidP="00FA12C2">
      <w:pPr>
        <w:jc w:val="center"/>
        <w:rPr>
          <w:lang w:eastAsia="zh-CN"/>
        </w:rPr>
      </w:pPr>
    </w:p>
    <w:p w14:paraId="126C8F41" w14:textId="77777777" w:rsidR="00607520" w:rsidRPr="00607520" w:rsidRDefault="00607520" w:rsidP="00FA12C2">
      <w:pPr>
        <w:jc w:val="center"/>
        <w:rPr>
          <w:highlight w:val="yellow"/>
          <w:lang w:eastAsia="zh-CN"/>
        </w:rPr>
      </w:pPr>
      <w:r w:rsidRPr="00607520">
        <w:rPr>
          <w:highlight w:val="yellow"/>
          <w:lang w:eastAsia="zh-CN"/>
        </w:rPr>
        <w:t>Thematic classification</w:t>
      </w:r>
    </w:p>
    <w:p w14:paraId="69C05D45" w14:textId="77777777" w:rsidR="00607520" w:rsidRPr="00607520" w:rsidRDefault="00607520" w:rsidP="00FA12C2">
      <w:pPr>
        <w:jc w:val="center"/>
        <w:rPr>
          <w:highlight w:val="yellow"/>
          <w:lang w:eastAsia="zh-CN"/>
        </w:rPr>
      </w:pPr>
    </w:p>
    <w:p w14:paraId="13C703CD" w14:textId="77777777" w:rsidR="00607520" w:rsidRPr="00607520" w:rsidRDefault="00607520" w:rsidP="00FA12C2">
      <w:pPr>
        <w:jc w:val="center"/>
        <w:rPr>
          <w:lang w:eastAsia="zh-CN"/>
        </w:rPr>
      </w:pPr>
      <w:r w:rsidRPr="00607520">
        <w:rPr>
          <w:i/>
          <w:highlight w:val="yellow"/>
          <w:lang w:eastAsia="zh-CN"/>
        </w:rPr>
        <w:t>&lt;If it is unknown,do not put anything &gt;</w:t>
      </w:r>
    </w:p>
    <w:p w14:paraId="54E979E2" w14:textId="77777777" w:rsidR="00607520" w:rsidRPr="00607520" w:rsidRDefault="00607520" w:rsidP="00FA12C2">
      <w:pPr>
        <w:jc w:val="center"/>
        <w:rPr>
          <w:b/>
          <w:bCs/>
          <w:i/>
          <w:lang w:eastAsia="zh-CN"/>
        </w:rPr>
      </w:pPr>
    </w:p>
    <w:p w14:paraId="1BF5A59A" w14:textId="77777777" w:rsidR="00607520" w:rsidRPr="00607520" w:rsidRDefault="00607520" w:rsidP="00FA12C2">
      <w:pPr>
        <w:jc w:val="center"/>
        <w:rPr>
          <w:b/>
          <w:bCs/>
          <w:lang w:eastAsia="zh-CN"/>
        </w:rPr>
      </w:pPr>
    </w:p>
    <w:p w14:paraId="39DEB7E6" w14:textId="77777777" w:rsidR="00607520" w:rsidRPr="00607520" w:rsidRDefault="00607520" w:rsidP="00FA12C2">
      <w:pPr>
        <w:jc w:val="center"/>
        <w:rPr>
          <w:b/>
          <w:bCs/>
          <w:lang w:eastAsia="zh-CN"/>
        </w:rPr>
      </w:pPr>
    </w:p>
    <w:p w14:paraId="3041B9D0" w14:textId="77777777" w:rsidR="00607520" w:rsidRPr="00607520" w:rsidRDefault="00607520" w:rsidP="00FA12C2">
      <w:pPr>
        <w:jc w:val="center"/>
        <w:rPr>
          <w:b/>
          <w:bCs/>
          <w:lang w:eastAsia="zh-CN"/>
        </w:rPr>
      </w:pPr>
    </w:p>
    <w:p w14:paraId="6482306F" w14:textId="77777777" w:rsidR="00607520" w:rsidRPr="00607520" w:rsidRDefault="00607520" w:rsidP="00FA12C2">
      <w:pPr>
        <w:jc w:val="center"/>
        <w:rPr>
          <w:b/>
          <w:bCs/>
          <w:highlight w:val="yellow"/>
          <w:lang w:eastAsia="zh-CN"/>
        </w:rPr>
      </w:pPr>
      <w:r w:rsidRPr="00607520">
        <w:rPr>
          <w:b/>
          <w:bCs/>
          <w:highlight w:val="yellow"/>
          <w:lang w:eastAsia="zh-CN"/>
        </w:rPr>
        <w:t>The title of the thesis in Polish</w:t>
      </w:r>
    </w:p>
    <w:p w14:paraId="7189044A" w14:textId="77777777" w:rsidR="00607520" w:rsidRPr="00607520" w:rsidRDefault="00607520" w:rsidP="00FA12C2">
      <w:pPr>
        <w:jc w:val="center"/>
        <w:rPr>
          <w:bCs/>
          <w:highlight w:val="yellow"/>
          <w:lang w:eastAsia="zh-CN"/>
        </w:rPr>
      </w:pPr>
    </w:p>
    <w:p w14:paraId="30766F4A" w14:textId="77777777" w:rsidR="00607520" w:rsidRPr="00607520" w:rsidRDefault="00607520" w:rsidP="00FA12C2">
      <w:pPr>
        <w:jc w:val="center"/>
        <w:rPr>
          <w:lang w:eastAsia="zh-CN"/>
        </w:rPr>
      </w:pPr>
      <w:r w:rsidRPr="00607520">
        <w:rPr>
          <w:i/>
          <w:highlight w:val="yellow"/>
          <w:lang w:eastAsia="zh-CN"/>
        </w:rPr>
        <w:t>&lt;</w:t>
      </w:r>
      <w:r w:rsidRPr="00607520">
        <w:rPr>
          <w:rFonts w:cs="Arial"/>
          <w:i/>
          <w:highlight w:val="yellow"/>
          <w:lang w:eastAsia="zh-CN"/>
        </w:rPr>
        <w:t>The title of the thesis translated into Polish</w:t>
      </w:r>
      <w:r w:rsidRPr="00607520">
        <w:rPr>
          <w:i/>
          <w:highlight w:val="yellow"/>
          <w:lang w:eastAsia="zh-CN"/>
        </w:rPr>
        <w:t>&gt;</w:t>
      </w:r>
    </w:p>
    <w:p w14:paraId="4A982CA5" w14:textId="77777777" w:rsidR="00607520" w:rsidRPr="00607520" w:rsidRDefault="00607520" w:rsidP="00FA12C2">
      <w:pPr>
        <w:jc w:val="center"/>
        <w:rPr>
          <w:i/>
          <w:lang w:eastAsia="zh-CN"/>
        </w:rPr>
      </w:pPr>
    </w:p>
    <w:p w14:paraId="4AF589B6" w14:textId="77777777" w:rsidR="00607520" w:rsidRPr="00607520" w:rsidRDefault="00607520" w:rsidP="00607520">
      <w:pPr>
        <w:suppressAutoHyphens/>
        <w:autoSpaceDN w:val="0"/>
        <w:spacing w:after="0" w:line="240" w:lineRule="auto"/>
        <w:ind w:left="360" w:hanging="360"/>
        <w:jc w:val="center"/>
        <w:rPr>
          <w:rFonts w:ascii="Times New Roman" w:eastAsia="Times New Roman" w:hAnsi="Times New Roman" w:cs="Times New Roman"/>
          <w:i/>
          <w:spacing w:val="-3"/>
          <w:kern w:val="3"/>
          <w:sz w:val="24"/>
          <w:szCs w:val="24"/>
          <w:lang w:eastAsia="zh-CN"/>
          <w14:ligatures w14:val="none"/>
        </w:rPr>
      </w:pPr>
    </w:p>
    <w:p w14:paraId="08DA964F" w14:textId="77777777" w:rsidR="00A1390F" w:rsidRPr="00607520" w:rsidRDefault="00A1390F" w:rsidP="00A1390F">
      <w:pPr>
        <w:pStyle w:val="BodyText"/>
        <w:spacing w:before="2"/>
        <w:rPr>
          <w:rFonts w:ascii="Times New Roman"/>
          <w:sz w:val="13"/>
          <w:lang w:val="en-GB"/>
        </w:rPr>
      </w:pPr>
    </w:p>
    <w:p w14:paraId="44C4FC30" w14:textId="5AF44654" w:rsidR="00A1390F" w:rsidRPr="00607520" w:rsidRDefault="00A1390F" w:rsidP="00A1390F">
      <w:pPr>
        <w:spacing w:line="120" w:lineRule="exact"/>
        <w:ind w:left="-283" w:right="-461"/>
        <w:rPr>
          <w:rFonts w:ascii="Times New Roman"/>
          <w:position w:val="-1"/>
          <w:sz w:val="12"/>
        </w:rPr>
      </w:pPr>
    </w:p>
    <w:p w14:paraId="487AAD38" w14:textId="77777777" w:rsidR="00676734" w:rsidRPr="00607520" w:rsidRDefault="00676734" w:rsidP="00676734">
      <w:pPr>
        <w:pStyle w:val="BodyText"/>
        <w:rPr>
          <w:lang w:val="en-GB"/>
        </w:rPr>
      </w:pPr>
    </w:p>
    <w:p w14:paraId="269FB106" w14:textId="77777777" w:rsidR="00676734" w:rsidRPr="00607520" w:rsidRDefault="00676734">
      <w:pPr>
        <w:rPr>
          <w:rFonts w:ascii="Arial MT" w:eastAsia="Arial MT" w:hAnsi="Arial MT" w:cs="Arial MT"/>
          <w:kern w:val="0"/>
          <w14:ligatures w14:val="none"/>
        </w:rPr>
      </w:pPr>
      <w:r w:rsidRPr="00607520">
        <w:br w:type="page"/>
      </w:r>
    </w:p>
    <w:sdt>
      <w:sdtPr>
        <w:rPr>
          <w:rFonts w:asciiTheme="minorHAnsi" w:eastAsiaTheme="minorHAnsi" w:hAnsiTheme="minorHAnsi" w:cstheme="minorBidi"/>
          <w:color w:val="auto"/>
          <w:kern w:val="2"/>
          <w:sz w:val="22"/>
          <w:szCs w:val="22"/>
          <w:lang w:eastAsia="en-US"/>
          <w14:ligatures w14:val="standardContextual"/>
        </w:rPr>
        <w:id w:val="-1623613791"/>
        <w:docPartObj>
          <w:docPartGallery w:val="Table of Contents"/>
          <w:docPartUnique/>
        </w:docPartObj>
      </w:sdtPr>
      <w:sdtEndPr>
        <w:rPr>
          <w:b/>
          <w:bCs/>
        </w:rPr>
      </w:sdtEndPr>
      <w:sdtContent>
        <w:p w14:paraId="3826557C" w14:textId="59082B28" w:rsidR="00A1390F" w:rsidRPr="00FA12C2" w:rsidRDefault="00607520" w:rsidP="00607520">
          <w:pPr>
            <w:pStyle w:val="TOCHeading"/>
            <w:jc w:val="center"/>
            <w:rPr>
              <w:rFonts w:ascii="Times New Roman" w:eastAsiaTheme="minorHAnsi" w:hAnsi="Times New Roman" w:cs="Times New Roman"/>
              <w:b/>
              <w:bCs/>
              <w:color w:val="000000" w:themeColor="text1"/>
              <w:kern w:val="2"/>
              <w:sz w:val="24"/>
              <w:szCs w:val="24"/>
              <w:lang w:eastAsia="en-US"/>
              <w14:ligatures w14:val="standardContextual"/>
            </w:rPr>
          </w:pPr>
          <w:r w:rsidRPr="00FA12C2">
            <w:rPr>
              <w:rFonts w:ascii="Times New Roman" w:hAnsi="Times New Roman" w:cs="Times New Roman"/>
              <w:b/>
              <w:bCs/>
              <w:color w:val="000000" w:themeColor="text1"/>
              <w:sz w:val="24"/>
              <w:szCs w:val="24"/>
            </w:rPr>
            <w:t>TABLE OF CONTENTS</w:t>
          </w:r>
        </w:p>
        <w:p w14:paraId="32FB4439" w14:textId="3951EDBB" w:rsidR="00570ECB" w:rsidRDefault="00A1390F">
          <w:pPr>
            <w:pStyle w:val="TOC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943317" w:history="1">
            <w:r w:rsidR="00570ECB" w:rsidRPr="00A1194C">
              <w:rPr>
                <w:rStyle w:val="Hyperlink"/>
                <w:noProof/>
              </w:rPr>
              <w:t>INTRODUCTION</w:t>
            </w:r>
            <w:r w:rsidR="00570ECB">
              <w:rPr>
                <w:noProof/>
                <w:webHidden/>
              </w:rPr>
              <w:tab/>
            </w:r>
            <w:r w:rsidR="00570ECB">
              <w:rPr>
                <w:noProof/>
                <w:webHidden/>
              </w:rPr>
              <w:fldChar w:fldCharType="begin"/>
            </w:r>
            <w:r w:rsidR="00570ECB">
              <w:rPr>
                <w:noProof/>
                <w:webHidden/>
              </w:rPr>
              <w:instrText xml:space="preserve"> PAGEREF _Toc229943317 \h </w:instrText>
            </w:r>
            <w:r w:rsidR="00570ECB">
              <w:rPr>
                <w:noProof/>
                <w:webHidden/>
              </w:rPr>
            </w:r>
            <w:r w:rsidR="00570ECB">
              <w:rPr>
                <w:noProof/>
                <w:webHidden/>
              </w:rPr>
              <w:fldChar w:fldCharType="separate"/>
            </w:r>
            <w:r w:rsidR="00570ECB">
              <w:rPr>
                <w:noProof/>
                <w:webHidden/>
              </w:rPr>
              <w:t>5</w:t>
            </w:r>
            <w:r w:rsidR="00570ECB">
              <w:rPr>
                <w:noProof/>
                <w:webHidden/>
              </w:rPr>
              <w:fldChar w:fldCharType="end"/>
            </w:r>
          </w:hyperlink>
        </w:p>
        <w:p w14:paraId="6C751F23" w14:textId="58922ACF" w:rsidR="00570ECB" w:rsidRDefault="00570ECB">
          <w:pPr>
            <w:pStyle w:val="TOC1"/>
            <w:tabs>
              <w:tab w:val="right" w:leader="dot" w:pos="9060"/>
            </w:tabs>
            <w:rPr>
              <w:rFonts w:cstheme="minorBidi"/>
              <w:noProof/>
              <w:kern w:val="2"/>
              <w:sz w:val="24"/>
              <w:szCs w:val="24"/>
              <w14:ligatures w14:val="standardContextual"/>
            </w:rPr>
          </w:pPr>
          <w:hyperlink w:anchor="_Toc229943318" w:history="1">
            <w:r w:rsidRPr="00A1194C">
              <w:rPr>
                <w:rStyle w:val="Hyperlink"/>
                <w:noProof/>
              </w:rPr>
              <w:t>CHAPTER I</w:t>
            </w:r>
            <w:r>
              <w:rPr>
                <w:noProof/>
                <w:webHidden/>
              </w:rPr>
              <w:tab/>
            </w:r>
            <w:r>
              <w:rPr>
                <w:noProof/>
                <w:webHidden/>
              </w:rPr>
              <w:fldChar w:fldCharType="begin"/>
            </w:r>
            <w:r>
              <w:rPr>
                <w:noProof/>
                <w:webHidden/>
              </w:rPr>
              <w:instrText xml:space="preserve"> PAGEREF _Toc229943318 \h </w:instrText>
            </w:r>
            <w:r>
              <w:rPr>
                <w:noProof/>
                <w:webHidden/>
              </w:rPr>
            </w:r>
            <w:r>
              <w:rPr>
                <w:noProof/>
                <w:webHidden/>
              </w:rPr>
              <w:fldChar w:fldCharType="separate"/>
            </w:r>
            <w:r>
              <w:rPr>
                <w:noProof/>
                <w:webHidden/>
              </w:rPr>
              <w:t>6</w:t>
            </w:r>
            <w:r>
              <w:rPr>
                <w:noProof/>
                <w:webHidden/>
              </w:rPr>
              <w:fldChar w:fldCharType="end"/>
            </w:r>
          </w:hyperlink>
        </w:p>
        <w:p w14:paraId="64387926" w14:textId="4A586637" w:rsidR="00570ECB" w:rsidRDefault="00570ECB">
          <w:pPr>
            <w:pStyle w:val="TOC1"/>
            <w:tabs>
              <w:tab w:val="right" w:leader="dot" w:pos="9060"/>
            </w:tabs>
            <w:rPr>
              <w:rFonts w:cstheme="minorBidi"/>
              <w:noProof/>
              <w:kern w:val="2"/>
              <w:sz w:val="24"/>
              <w:szCs w:val="24"/>
              <w14:ligatures w14:val="standardContextual"/>
            </w:rPr>
          </w:pPr>
          <w:hyperlink w:anchor="_Toc229943319" w:history="1">
            <w:r w:rsidRPr="00A1194C">
              <w:rPr>
                <w:rStyle w:val="Hyperlink"/>
                <w:noProof/>
              </w:rPr>
              <w:t>LITERATURE REVIEW  AND THEORETICAL FRAMEWORK</w:t>
            </w:r>
            <w:r>
              <w:rPr>
                <w:noProof/>
                <w:webHidden/>
              </w:rPr>
              <w:tab/>
            </w:r>
            <w:r>
              <w:rPr>
                <w:noProof/>
                <w:webHidden/>
              </w:rPr>
              <w:fldChar w:fldCharType="begin"/>
            </w:r>
            <w:r>
              <w:rPr>
                <w:noProof/>
                <w:webHidden/>
              </w:rPr>
              <w:instrText xml:space="preserve"> PAGEREF _Toc229943319 \h </w:instrText>
            </w:r>
            <w:r>
              <w:rPr>
                <w:noProof/>
                <w:webHidden/>
              </w:rPr>
            </w:r>
            <w:r>
              <w:rPr>
                <w:noProof/>
                <w:webHidden/>
              </w:rPr>
              <w:fldChar w:fldCharType="separate"/>
            </w:r>
            <w:r>
              <w:rPr>
                <w:noProof/>
                <w:webHidden/>
              </w:rPr>
              <w:t>6</w:t>
            </w:r>
            <w:r>
              <w:rPr>
                <w:noProof/>
                <w:webHidden/>
              </w:rPr>
              <w:fldChar w:fldCharType="end"/>
            </w:r>
          </w:hyperlink>
        </w:p>
        <w:p w14:paraId="658C9552" w14:textId="4E29CFA7" w:rsidR="00570ECB" w:rsidRDefault="00570ECB">
          <w:pPr>
            <w:pStyle w:val="TOC2"/>
            <w:tabs>
              <w:tab w:val="right" w:leader="dot" w:pos="9060"/>
            </w:tabs>
            <w:rPr>
              <w:rFonts w:eastAsiaTheme="minorEastAsia"/>
              <w:noProof/>
              <w:sz w:val="24"/>
              <w:szCs w:val="24"/>
              <w:lang w:eastAsia="en-GB"/>
            </w:rPr>
          </w:pPr>
          <w:hyperlink w:anchor="_Toc229943320" w:history="1">
            <w:r w:rsidRPr="00A1194C">
              <w:rPr>
                <w:rStyle w:val="Hyperlink"/>
                <w:noProof/>
              </w:rPr>
              <w:t>1.1. Technology, Automation, and Wages: A Historical Perspective</w:t>
            </w:r>
            <w:r>
              <w:rPr>
                <w:noProof/>
                <w:webHidden/>
              </w:rPr>
              <w:tab/>
            </w:r>
            <w:r>
              <w:rPr>
                <w:noProof/>
                <w:webHidden/>
              </w:rPr>
              <w:fldChar w:fldCharType="begin"/>
            </w:r>
            <w:r>
              <w:rPr>
                <w:noProof/>
                <w:webHidden/>
              </w:rPr>
              <w:instrText xml:space="preserve"> PAGEREF _Toc229943320 \h </w:instrText>
            </w:r>
            <w:r>
              <w:rPr>
                <w:noProof/>
                <w:webHidden/>
              </w:rPr>
            </w:r>
            <w:r>
              <w:rPr>
                <w:noProof/>
                <w:webHidden/>
              </w:rPr>
              <w:fldChar w:fldCharType="separate"/>
            </w:r>
            <w:r>
              <w:rPr>
                <w:noProof/>
                <w:webHidden/>
              </w:rPr>
              <w:t>6</w:t>
            </w:r>
            <w:r>
              <w:rPr>
                <w:noProof/>
                <w:webHidden/>
              </w:rPr>
              <w:fldChar w:fldCharType="end"/>
            </w:r>
          </w:hyperlink>
        </w:p>
        <w:p w14:paraId="5D4967EB" w14:textId="45CBE842" w:rsidR="00570ECB" w:rsidRDefault="00570ECB">
          <w:pPr>
            <w:pStyle w:val="TOC2"/>
            <w:tabs>
              <w:tab w:val="right" w:leader="dot" w:pos="9060"/>
            </w:tabs>
            <w:rPr>
              <w:rFonts w:eastAsiaTheme="minorEastAsia"/>
              <w:noProof/>
              <w:sz w:val="24"/>
              <w:szCs w:val="24"/>
              <w:lang w:eastAsia="en-GB"/>
            </w:rPr>
          </w:pPr>
          <w:hyperlink w:anchor="_Toc229943321" w:history="1">
            <w:r w:rsidRPr="00A1194C">
              <w:rPr>
                <w:rStyle w:val="Hyperlink"/>
                <w:noProof/>
              </w:rPr>
              <w:t>1.2. The Task-Based Framework</w:t>
            </w:r>
            <w:r>
              <w:rPr>
                <w:noProof/>
                <w:webHidden/>
              </w:rPr>
              <w:tab/>
            </w:r>
            <w:r>
              <w:rPr>
                <w:noProof/>
                <w:webHidden/>
              </w:rPr>
              <w:fldChar w:fldCharType="begin"/>
            </w:r>
            <w:r>
              <w:rPr>
                <w:noProof/>
                <w:webHidden/>
              </w:rPr>
              <w:instrText xml:space="preserve"> PAGEREF _Toc229943321 \h </w:instrText>
            </w:r>
            <w:r>
              <w:rPr>
                <w:noProof/>
                <w:webHidden/>
              </w:rPr>
            </w:r>
            <w:r>
              <w:rPr>
                <w:noProof/>
                <w:webHidden/>
              </w:rPr>
              <w:fldChar w:fldCharType="separate"/>
            </w:r>
            <w:r>
              <w:rPr>
                <w:noProof/>
                <w:webHidden/>
              </w:rPr>
              <w:t>11</w:t>
            </w:r>
            <w:r>
              <w:rPr>
                <w:noProof/>
                <w:webHidden/>
              </w:rPr>
              <w:fldChar w:fldCharType="end"/>
            </w:r>
          </w:hyperlink>
        </w:p>
        <w:p w14:paraId="6424893F" w14:textId="43B55F63" w:rsidR="00570ECB" w:rsidRDefault="00570ECB">
          <w:pPr>
            <w:pStyle w:val="TOC2"/>
            <w:tabs>
              <w:tab w:val="right" w:leader="dot" w:pos="9060"/>
            </w:tabs>
            <w:rPr>
              <w:rFonts w:eastAsiaTheme="minorEastAsia"/>
              <w:noProof/>
              <w:sz w:val="24"/>
              <w:szCs w:val="24"/>
              <w:lang w:eastAsia="en-GB"/>
            </w:rPr>
          </w:pPr>
          <w:hyperlink w:anchor="_Toc229943322" w:history="1">
            <w:r w:rsidRPr="00A1194C">
              <w:rPr>
                <w:rStyle w:val="Hyperlink"/>
                <w:noProof/>
              </w:rPr>
              <w:t>1.3. Research Hypothesis in the Contemporary AI Labour Market</w:t>
            </w:r>
            <w:r>
              <w:rPr>
                <w:noProof/>
                <w:webHidden/>
              </w:rPr>
              <w:tab/>
            </w:r>
            <w:r>
              <w:rPr>
                <w:noProof/>
                <w:webHidden/>
              </w:rPr>
              <w:fldChar w:fldCharType="begin"/>
            </w:r>
            <w:r>
              <w:rPr>
                <w:noProof/>
                <w:webHidden/>
              </w:rPr>
              <w:instrText xml:space="preserve"> PAGEREF _Toc229943322 \h </w:instrText>
            </w:r>
            <w:r>
              <w:rPr>
                <w:noProof/>
                <w:webHidden/>
              </w:rPr>
            </w:r>
            <w:r>
              <w:rPr>
                <w:noProof/>
                <w:webHidden/>
              </w:rPr>
              <w:fldChar w:fldCharType="separate"/>
            </w:r>
            <w:r>
              <w:rPr>
                <w:noProof/>
                <w:webHidden/>
              </w:rPr>
              <w:t>13</w:t>
            </w:r>
            <w:r>
              <w:rPr>
                <w:noProof/>
                <w:webHidden/>
              </w:rPr>
              <w:fldChar w:fldCharType="end"/>
            </w:r>
          </w:hyperlink>
        </w:p>
        <w:p w14:paraId="68B21EC9" w14:textId="03E101F1" w:rsidR="00570ECB" w:rsidRDefault="00570ECB">
          <w:pPr>
            <w:pStyle w:val="TOC1"/>
            <w:tabs>
              <w:tab w:val="right" w:leader="dot" w:pos="9060"/>
            </w:tabs>
            <w:rPr>
              <w:rFonts w:cstheme="minorBidi"/>
              <w:noProof/>
              <w:kern w:val="2"/>
              <w:sz w:val="24"/>
              <w:szCs w:val="24"/>
              <w14:ligatures w14:val="standardContextual"/>
            </w:rPr>
          </w:pPr>
          <w:hyperlink w:anchor="_Toc229943323" w:history="1">
            <w:r w:rsidRPr="00A1194C">
              <w:rPr>
                <w:rStyle w:val="Hyperlink"/>
                <w:noProof/>
              </w:rPr>
              <w:t>CHAPTER II</w:t>
            </w:r>
            <w:r>
              <w:rPr>
                <w:noProof/>
                <w:webHidden/>
              </w:rPr>
              <w:tab/>
            </w:r>
            <w:r>
              <w:rPr>
                <w:noProof/>
                <w:webHidden/>
              </w:rPr>
              <w:fldChar w:fldCharType="begin"/>
            </w:r>
            <w:r>
              <w:rPr>
                <w:noProof/>
                <w:webHidden/>
              </w:rPr>
              <w:instrText xml:space="preserve"> PAGEREF _Toc229943323 \h </w:instrText>
            </w:r>
            <w:r>
              <w:rPr>
                <w:noProof/>
                <w:webHidden/>
              </w:rPr>
            </w:r>
            <w:r>
              <w:rPr>
                <w:noProof/>
                <w:webHidden/>
              </w:rPr>
              <w:fldChar w:fldCharType="separate"/>
            </w:r>
            <w:r>
              <w:rPr>
                <w:noProof/>
                <w:webHidden/>
              </w:rPr>
              <w:t>17</w:t>
            </w:r>
            <w:r>
              <w:rPr>
                <w:noProof/>
                <w:webHidden/>
              </w:rPr>
              <w:fldChar w:fldCharType="end"/>
            </w:r>
          </w:hyperlink>
        </w:p>
        <w:p w14:paraId="1453EA40" w14:textId="20C9B027" w:rsidR="00570ECB" w:rsidRDefault="00570ECB">
          <w:pPr>
            <w:pStyle w:val="TOC1"/>
            <w:tabs>
              <w:tab w:val="right" w:leader="dot" w:pos="9060"/>
            </w:tabs>
            <w:rPr>
              <w:rFonts w:cstheme="minorBidi"/>
              <w:noProof/>
              <w:kern w:val="2"/>
              <w:sz w:val="24"/>
              <w:szCs w:val="24"/>
              <w14:ligatures w14:val="standardContextual"/>
            </w:rPr>
          </w:pPr>
          <w:hyperlink w:anchor="_Toc229943324" w:history="1">
            <w:r w:rsidRPr="00A1194C">
              <w:rPr>
                <w:rStyle w:val="Hyperlink"/>
                <w:noProof/>
              </w:rPr>
              <w:t>DATA AND METHODOLOGY</w:t>
            </w:r>
            <w:r>
              <w:rPr>
                <w:noProof/>
                <w:webHidden/>
              </w:rPr>
              <w:tab/>
            </w:r>
            <w:r>
              <w:rPr>
                <w:noProof/>
                <w:webHidden/>
              </w:rPr>
              <w:fldChar w:fldCharType="begin"/>
            </w:r>
            <w:r>
              <w:rPr>
                <w:noProof/>
                <w:webHidden/>
              </w:rPr>
              <w:instrText xml:space="preserve"> PAGEREF _Toc229943324 \h </w:instrText>
            </w:r>
            <w:r>
              <w:rPr>
                <w:noProof/>
                <w:webHidden/>
              </w:rPr>
            </w:r>
            <w:r>
              <w:rPr>
                <w:noProof/>
                <w:webHidden/>
              </w:rPr>
              <w:fldChar w:fldCharType="separate"/>
            </w:r>
            <w:r>
              <w:rPr>
                <w:noProof/>
                <w:webHidden/>
              </w:rPr>
              <w:t>17</w:t>
            </w:r>
            <w:r>
              <w:rPr>
                <w:noProof/>
                <w:webHidden/>
              </w:rPr>
              <w:fldChar w:fldCharType="end"/>
            </w:r>
          </w:hyperlink>
        </w:p>
        <w:p w14:paraId="724E5BEF" w14:textId="27E8EDF1" w:rsidR="00570ECB" w:rsidRDefault="00570ECB">
          <w:pPr>
            <w:pStyle w:val="TOC2"/>
            <w:tabs>
              <w:tab w:val="right" w:leader="dot" w:pos="9060"/>
            </w:tabs>
            <w:rPr>
              <w:rFonts w:eastAsiaTheme="minorEastAsia"/>
              <w:noProof/>
              <w:sz w:val="24"/>
              <w:szCs w:val="24"/>
              <w:lang w:eastAsia="en-GB"/>
            </w:rPr>
          </w:pPr>
          <w:hyperlink w:anchor="_Toc229943325" w:history="1">
            <w:r w:rsidRPr="00A1194C">
              <w:rPr>
                <w:rStyle w:val="Hyperlink"/>
                <w:noProof/>
              </w:rPr>
              <w:t>2.1. Data Sources and Sample Construction</w:t>
            </w:r>
            <w:r>
              <w:rPr>
                <w:noProof/>
                <w:webHidden/>
              </w:rPr>
              <w:tab/>
            </w:r>
            <w:r>
              <w:rPr>
                <w:noProof/>
                <w:webHidden/>
              </w:rPr>
              <w:fldChar w:fldCharType="begin"/>
            </w:r>
            <w:r>
              <w:rPr>
                <w:noProof/>
                <w:webHidden/>
              </w:rPr>
              <w:instrText xml:space="preserve"> PAGEREF _Toc229943325 \h </w:instrText>
            </w:r>
            <w:r>
              <w:rPr>
                <w:noProof/>
                <w:webHidden/>
              </w:rPr>
            </w:r>
            <w:r>
              <w:rPr>
                <w:noProof/>
                <w:webHidden/>
              </w:rPr>
              <w:fldChar w:fldCharType="separate"/>
            </w:r>
            <w:r>
              <w:rPr>
                <w:noProof/>
                <w:webHidden/>
              </w:rPr>
              <w:t>17</w:t>
            </w:r>
            <w:r>
              <w:rPr>
                <w:noProof/>
                <w:webHidden/>
              </w:rPr>
              <w:fldChar w:fldCharType="end"/>
            </w:r>
          </w:hyperlink>
        </w:p>
        <w:p w14:paraId="4329D2FD" w14:textId="5D5141B1" w:rsidR="00570ECB" w:rsidRDefault="00570ECB">
          <w:pPr>
            <w:pStyle w:val="TOC2"/>
            <w:tabs>
              <w:tab w:val="right" w:leader="dot" w:pos="9060"/>
            </w:tabs>
            <w:rPr>
              <w:rFonts w:eastAsiaTheme="minorEastAsia"/>
              <w:noProof/>
              <w:sz w:val="24"/>
              <w:szCs w:val="24"/>
              <w:lang w:eastAsia="en-GB"/>
            </w:rPr>
          </w:pPr>
          <w:hyperlink w:anchor="_Toc229943326" w:history="1">
            <w:r w:rsidRPr="00A1194C">
              <w:rPr>
                <w:rStyle w:val="Hyperlink"/>
                <w:noProof/>
              </w:rPr>
              <w:t>2.3. Exploratory Data Analysis</w:t>
            </w:r>
            <w:r>
              <w:rPr>
                <w:noProof/>
                <w:webHidden/>
              </w:rPr>
              <w:tab/>
            </w:r>
            <w:r>
              <w:rPr>
                <w:noProof/>
                <w:webHidden/>
              </w:rPr>
              <w:fldChar w:fldCharType="begin"/>
            </w:r>
            <w:r>
              <w:rPr>
                <w:noProof/>
                <w:webHidden/>
              </w:rPr>
              <w:instrText xml:space="preserve"> PAGEREF _Toc229943326 \h </w:instrText>
            </w:r>
            <w:r>
              <w:rPr>
                <w:noProof/>
                <w:webHidden/>
              </w:rPr>
            </w:r>
            <w:r>
              <w:rPr>
                <w:noProof/>
                <w:webHidden/>
              </w:rPr>
              <w:fldChar w:fldCharType="separate"/>
            </w:r>
            <w:r>
              <w:rPr>
                <w:noProof/>
                <w:webHidden/>
              </w:rPr>
              <w:t>20</w:t>
            </w:r>
            <w:r>
              <w:rPr>
                <w:noProof/>
                <w:webHidden/>
              </w:rPr>
              <w:fldChar w:fldCharType="end"/>
            </w:r>
          </w:hyperlink>
        </w:p>
        <w:p w14:paraId="369014CB" w14:textId="15123598" w:rsidR="00570ECB" w:rsidRDefault="00570ECB">
          <w:pPr>
            <w:pStyle w:val="TOC2"/>
            <w:tabs>
              <w:tab w:val="right" w:leader="dot" w:pos="9060"/>
            </w:tabs>
            <w:rPr>
              <w:rFonts w:eastAsiaTheme="minorEastAsia"/>
              <w:noProof/>
              <w:sz w:val="24"/>
              <w:szCs w:val="24"/>
              <w:lang w:eastAsia="en-GB"/>
            </w:rPr>
          </w:pPr>
          <w:hyperlink w:anchor="_Toc229943327" w:history="1">
            <w:r w:rsidRPr="00A1194C">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_Toc229943327 \h </w:instrText>
            </w:r>
            <w:r>
              <w:rPr>
                <w:noProof/>
                <w:webHidden/>
              </w:rPr>
            </w:r>
            <w:r>
              <w:rPr>
                <w:noProof/>
                <w:webHidden/>
              </w:rPr>
              <w:fldChar w:fldCharType="separate"/>
            </w:r>
            <w:r>
              <w:rPr>
                <w:noProof/>
                <w:webHidden/>
              </w:rPr>
              <w:t>31</w:t>
            </w:r>
            <w:r>
              <w:rPr>
                <w:noProof/>
                <w:webHidden/>
              </w:rPr>
              <w:fldChar w:fldCharType="end"/>
            </w:r>
          </w:hyperlink>
        </w:p>
        <w:p w14:paraId="507A8444" w14:textId="42656F68" w:rsidR="00570ECB" w:rsidRDefault="00570ECB">
          <w:pPr>
            <w:pStyle w:val="TOC3"/>
            <w:tabs>
              <w:tab w:val="right" w:leader="dot" w:pos="9060"/>
            </w:tabs>
            <w:rPr>
              <w:rFonts w:cstheme="minorBidi"/>
              <w:noProof/>
              <w:kern w:val="2"/>
              <w:sz w:val="24"/>
              <w:szCs w:val="24"/>
              <w14:ligatures w14:val="standardContextual"/>
            </w:rPr>
          </w:pPr>
          <w:hyperlink w:anchor="_Toc229943328" w:history="1">
            <w:r w:rsidRPr="00A1194C">
              <w:rPr>
                <w:rStyle w:val="Hyperlink"/>
                <w:noProof/>
              </w:rPr>
              <w:t>Cross-Sectional Models (2021–2024): The Structural AI–Wage Relationship</w:t>
            </w:r>
            <w:r>
              <w:rPr>
                <w:noProof/>
                <w:webHidden/>
              </w:rPr>
              <w:tab/>
            </w:r>
            <w:r>
              <w:rPr>
                <w:noProof/>
                <w:webHidden/>
              </w:rPr>
              <w:fldChar w:fldCharType="begin"/>
            </w:r>
            <w:r>
              <w:rPr>
                <w:noProof/>
                <w:webHidden/>
              </w:rPr>
              <w:instrText xml:space="preserve"> PAGEREF _Toc229943328 \h </w:instrText>
            </w:r>
            <w:r>
              <w:rPr>
                <w:noProof/>
                <w:webHidden/>
              </w:rPr>
            </w:r>
            <w:r>
              <w:rPr>
                <w:noProof/>
                <w:webHidden/>
              </w:rPr>
              <w:fldChar w:fldCharType="separate"/>
            </w:r>
            <w:r>
              <w:rPr>
                <w:noProof/>
                <w:webHidden/>
              </w:rPr>
              <w:t>31</w:t>
            </w:r>
            <w:r>
              <w:rPr>
                <w:noProof/>
                <w:webHidden/>
              </w:rPr>
              <w:fldChar w:fldCharType="end"/>
            </w:r>
          </w:hyperlink>
        </w:p>
        <w:p w14:paraId="0730FA5A" w14:textId="00E0B294" w:rsidR="00570ECB" w:rsidRDefault="00570ECB">
          <w:pPr>
            <w:pStyle w:val="TOC3"/>
            <w:tabs>
              <w:tab w:val="right" w:leader="dot" w:pos="9060"/>
            </w:tabs>
            <w:rPr>
              <w:rFonts w:cstheme="minorBidi"/>
              <w:noProof/>
              <w:kern w:val="2"/>
              <w:sz w:val="24"/>
              <w:szCs w:val="24"/>
              <w14:ligatures w14:val="standardContextual"/>
            </w:rPr>
          </w:pPr>
          <w:hyperlink w:anchor="_Toc229943329" w:history="1">
            <w:r w:rsidRPr="00A1194C">
              <w:rPr>
                <w:rStyle w:val="Hyperlink"/>
                <w:noProof/>
              </w:rPr>
              <w:t>Models results</w:t>
            </w:r>
            <w:r>
              <w:rPr>
                <w:noProof/>
                <w:webHidden/>
              </w:rPr>
              <w:tab/>
            </w:r>
            <w:r>
              <w:rPr>
                <w:noProof/>
                <w:webHidden/>
              </w:rPr>
              <w:fldChar w:fldCharType="begin"/>
            </w:r>
            <w:r>
              <w:rPr>
                <w:noProof/>
                <w:webHidden/>
              </w:rPr>
              <w:instrText xml:space="preserve"> PAGEREF _Toc229943329 \h </w:instrText>
            </w:r>
            <w:r>
              <w:rPr>
                <w:noProof/>
                <w:webHidden/>
              </w:rPr>
            </w:r>
            <w:r>
              <w:rPr>
                <w:noProof/>
                <w:webHidden/>
              </w:rPr>
              <w:fldChar w:fldCharType="separate"/>
            </w:r>
            <w:r>
              <w:rPr>
                <w:noProof/>
                <w:webHidden/>
              </w:rPr>
              <w:t>33</w:t>
            </w:r>
            <w:r>
              <w:rPr>
                <w:noProof/>
                <w:webHidden/>
              </w:rPr>
              <w:fldChar w:fldCharType="end"/>
            </w:r>
          </w:hyperlink>
        </w:p>
        <w:p w14:paraId="7D00F368" w14:textId="0556E2B4" w:rsidR="00570ECB" w:rsidRDefault="00570ECB">
          <w:pPr>
            <w:pStyle w:val="TOC1"/>
            <w:tabs>
              <w:tab w:val="right" w:leader="dot" w:pos="9060"/>
            </w:tabs>
            <w:rPr>
              <w:rFonts w:cstheme="minorBidi"/>
              <w:noProof/>
              <w:kern w:val="2"/>
              <w:sz w:val="24"/>
              <w:szCs w:val="24"/>
              <w14:ligatures w14:val="standardContextual"/>
            </w:rPr>
          </w:pPr>
          <w:hyperlink w:anchor="_Toc229943330" w:history="1">
            <w:r w:rsidRPr="00A1194C">
              <w:rPr>
                <w:rStyle w:val="Hyperlink"/>
                <w:noProof/>
              </w:rPr>
              <w:t>Conclusion</w:t>
            </w:r>
            <w:r>
              <w:rPr>
                <w:noProof/>
                <w:webHidden/>
              </w:rPr>
              <w:tab/>
            </w:r>
            <w:r>
              <w:rPr>
                <w:noProof/>
                <w:webHidden/>
              </w:rPr>
              <w:fldChar w:fldCharType="begin"/>
            </w:r>
            <w:r>
              <w:rPr>
                <w:noProof/>
                <w:webHidden/>
              </w:rPr>
              <w:instrText xml:space="preserve"> PAGEREF _Toc229943330 \h </w:instrText>
            </w:r>
            <w:r>
              <w:rPr>
                <w:noProof/>
                <w:webHidden/>
              </w:rPr>
            </w:r>
            <w:r>
              <w:rPr>
                <w:noProof/>
                <w:webHidden/>
              </w:rPr>
              <w:fldChar w:fldCharType="separate"/>
            </w:r>
            <w:r>
              <w:rPr>
                <w:noProof/>
                <w:webHidden/>
              </w:rPr>
              <w:t>44</w:t>
            </w:r>
            <w:r>
              <w:rPr>
                <w:noProof/>
                <w:webHidden/>
              </w:rPr>
              <w:fldChar w:fldCharType="end"/>
            </w:r>
          </w:hyperlink>
        </w:p>
        <w:p w14:paraId="2886DD23" w14:textId="4D6B0443" w:rsidR="00570ECB" w:rsidRDefault="00570ECB">
          <w:pPr>
            <w:pStyle w:val="TOC2"/>
            <w:tabs>
              <w:tab w:val="right" w:leader="dot" w:pos="9060"/>
            </w:tabs>
            <w:rPr>
              <w:rFonts w:eastAsiaTheme="minorEastAsia"/>
              <w:noProof/>
              <w:sz w:val="24"/>
              <w:szCs w:val="24"/>
              <w:lang w:eastAsia="en-GB"/>
            </w:rPr>
          </w:pPr>
          <w:hyperlink w:anchor="_Toc229943331" w:history="1">
            <w:r w:rsidRPr="00A1194C">
              <w:rPr>
                <w:rStyle w:val="Hyperlink"/>
                <w:noProof/>
              </w:rPr>
              <w:t>Limitations and future enhancements</w:t>
            </w:r>
            <w:r>
              <w:rPr>
                <w:noProof/>
                <w:webHidden/>
              </w:rPr>
              <w:tab/>
            </w:r>
            <w:r>
              <w:rPr>
                <w:noProof/>
                <w:webHidden/>
              </w:rPr>
              <w:fldChar w:fldCharType="begin"/>
            </w:r>
            <w:r>
              <w:rPr>
                <w:noProof/>
                <w:webHidden/>
              </w:rPr>
              <w:instrText xml:space="preserve"> PAGEREF _Toc229943331 \h </w:instrText>
            </w:r>
            <w:r>
              <w:rPr>
                <w:noProof/>
                <w:webHidden/>
              </w:rPr>
            </w:r>
            <w:r>
              <w:rPr>
                <w:noProof/>
                <w:webHidden/>
              </w:rPr>
              <w:fldChar w:fldCharType="separate"/>
            </w:r>
            <w:r>
              <w:rPr>
                <w:noProof/>
                <w:webHidden/>
              </w:rPr>
              <w:t>44</w:t>
            </w:r>
            <w:r>
              <w:rPr>
                <w:noProof/>
                <w:webHidden/>
              </w:rPr>
              <w:fldChar w:fldCharType="end"/>
            </w:r>
          </w:hyperlink>
        </w:p>
        <w:p w14:paraId="58DE4109" w14:textId="22390BBA" w:rsidR="00570ECB" w:rsidRDefault="00570ECB">
          <w:pPr>
            <w:pStyle w:val="TOC2"/>
            <w:tabs>
              <w:tab w:val="right" w:leader="dot" w:pos="9060"/>
            </w:tabs>
            <w:rPr>
              <w:rFonts w:eastAsiaTheme="minorEastAsia"/>
              <w:noProof/>
              <w:sz w:val="24"/>
              <w:szCs w:val="24"/>
              <w:lang w:eastAsia="en-GB"/>
            </w:rPr>
          </w:pPr>
          <w:hyperlink w:anchor="_Toc229943332" w:history="1">
            <w:r w:rsidRPr="00A1194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_Toc229943332 \h </w:instrText>
            </w:r>
            <w:r>
              <w:rPr>
                <w:noProof/>
                <w:webHidden/>
              </w:rPr>
            </w:r>
            <w:r>
              <w:rPr>
                <w:noProof/>
                <w:webHidden/>
              </w:rPr>
              <w:fldChar w:fldCharType="separate"/>
            </w:r>
            <w:r>
              <w:rPr>
                <w:noProof/>
                <w:webHidden/>
              </w:rPr>
              <w:t>46</w:t>
            </w:r>
            <w:r>
              <w:rPr>
                <w:noProof/>
                <w:webHidden/>
              </w:rPr>
              <w:fldChar w:fldCharType="end"/>
            </w:r>
          </w:hyperlink>
        </w:p>
        <w:p w14:paraId="6171CE62" w14:textId="30ABDAD7" w:rsidR="00570ECB" w:rsidRDefault="00570ECB">
          <w:pPr>
            <w:pStyle w:val="TOC2"/>
            <w:tabs>
              <w:tab w:val="right" w:leader="dot" w:pos="9060"/>
            </w:tabs>
            <w:rPr>
              <w:rFonts w:eastAsiaTheme="minorEastAsia"/>
              <w:noProof/>
              <w:sz w:val="24"/>
              <w:szCs w:val="24"/>
              <w:lang w:eastAsia="en-GB"/>
            </w:rPr>
          </w:pPr>
          <w:hyperlink w:anchor="_Toc229943333" w:history="1">
            <w:r w:rsidRPr="00A1194C">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_Toc229943333 \h </w:instrText>
            </w:r>
            <w:r>
              <w:rPr>
                <w:noProof/>
                <w:webHidden/>
              </w:rPr>
            </w:r>
            <w:r>
              <w:rPr>
                <w:noProof/>
                <w:webHidden/>
              </w:rPr>
              <w:fldChar w:fldCharType="separate"/>
            </w:r>
            <w:r>
              <w:rPr>
                <w:noProof/>
                <w:webHidden/>
              </w:rPr>
              <w:t>50</w:t>
            </w:r>
            <w:r>
              <w:rPr>
                <w:noProof/>
                <w:webHidden/>
              </w:rPr>
              <w:fldChar w:fldCharType="end"/>
            </w:r>
          </w:hyperlink>
        </w:p>
        <w:p w14:paraId="660776D1" w14:textId="68247604" w:rsidR="00570ECB" w:rsidRDefault="00570ECB">
          <w:pPr>
            <w:pStyle w:val="TOC2"/>
            <w:tabs>
              <w:tab w:val="right" w:leader="dot" w:pos="9060"/>
            </w:tabs>
            <w:rPr>
              <w:rFonts w:eastAsiaTheme="minorEastAsia"/>
              <w:noProof/>
              <w:sz w:val="24"/>
              <w:szCs w:val="24"/>
              <w:lang w:eastAsia="en-GB"/>
            </w:rPr>
          </w:pPr>
          <w:hyperlink w:anchor="_Toc229943334" w:history="1">
            <w:r w:rsidRPr="00A1194C">
              <w:rPr>
                <w:rStyle w:val="Hyperlink"/>
                <w:noProof/>
              </w:rPr>
              <w:t>2021 year – cross-sectional</w:t>
            </w:r>
            <w:r>
              <w:rPr>
                <w:noProof/>
                <w:webHidden/>
              </w:rPr>
              <w:tab/>
            </w:r>
            <w:r>
              <w:rPr>
                <w:noProof/>
                <w:webHidden/>
              </w:rPr>
              <w:fldChar w:fldCharType="begin"/>
            </w:r>
            <w:r>
              <w:rPr>
                <w:noProof/>
                <w:webHidden/>
              </w:rPr>
              <w:instrText xml:space="preserve"> PAGEREF _Toc229943334 \h </w:instrText>
            </w:r>
            <w:r>
              <w:rPr>
                <w:noProof/>
                <w:webHidden/>
              </w:rPr>
            </w:r>
            <w:r>
              <w:rPr>
                <w:noProof/>
                <w:webHidden/>
              </w:rPr>
              <w:fldChar w:fldCharType="separate"/>
            </w:r>
            <w:r>
              <w:rPr>
                <w:noProof/>
                <w:webHidden/>
              </w:rPr>
              <w:t>53</w:t>
            </w:r>
            <w:r>
              <w:rPr>
                <w:noProof/>
                <w:webHidden/>
              </w:rPr>
              <w:fldChar w:fldCharType="end"/>
            </w:r>
          </w:hyperlink>
        </w:p>
        <w:p w14:paraId="47661B5F" w14:textId="2B88B0DB" w:rsidR="00570ECB" w:rsidRDefault="00570ECB">
          <w:pPr>
            <w:pStyle w:val="TOC2"/>
            <w:tabs>
              <w:tab w:val="right" w:leader="dot" w:pos="9060"/>
            </w:tabs>
            <w:rPr>
              <w:rFonts w:eastAsiaTheme="minorEastAsia"/>
              <w:noProof/>
              <w:sz w:val="24"/>
              <w:szCs w:val="24"/>
              <w:lang w:eastAsia="en-GB"/>
            </w:rPr>
          </w:pPr>
          <w:hyperlink w:anchor="_Toc229943335" w:history="1">
            <w:r w:rsidRPr="00A1194C">
              <w:rPr>
                <w:rStyle w:val="Hyperlink"/>
                <w:noProof/>
              </w:rPr>
              <w:t>2022 year – cross-sectional</w:t>
            </w:r>
            <w:r>
              <w:rPr>
                <w:noProof/>
                <w:webHidden/>
              </w:rPr>
              <w:tab/>
            </w:r>
            <w:r>
              <w:rPr>
                <w:noProof/>
                <w:webHidden/>
              </w:rPr>
              <w:fldChar w:fldCharType="begin"/>
            </w:r>
            <w:r>
              <w:rPr>
                <w:noProof/>
                <w:webHidden/>
              </w:rPr>
              <w:instrText xml:space="preserve"> PAGEREF _Toc229943335 \h </w:instrText>
            </w:r>
            <w:r>
              <w:rPr>
                <w:noProof/>
                <w:webHidden/>
              </w:rPr>
            </w:r>
            <w:r>
              <w:rPr>
                <w:noProof/>
                <w:webHidden/>
              </w:rPr>
              <w:fldChar w:fldCharType="separate"/>
            </w:r>
            <w:r>
              <w:rPr>
                <w:noProof/>
                <w:webHidden/>
              </w:rPr>
              <w:t>58</w:t>
            </w:r>
            <w:r>
              <w:rPr>
                <w:noProof/>
                <w:webHidden/>
              </w:rPr>
              <w:fldChar w:fldCharType="end"/>
            </w:r>
          </w:hyperlink>
        </w:p>
        <w:p w14:paraId="3334F77C" w14:textId="25D6BD97" w:rsidR="00570ECB" w:rsidRDefault="00570ECB">
          <w:pPr>
            <w:pStyle w:val="TOC2"/>
            <w:tabs>
              <w:tab w:val="right" w:leader="dot" w:pos="9060"/>
            </w:tabs>
            <w:rPr>
              <w:rFonts w:eastAsiaTheme="minorEastAsia"/>
              <w:noProof/>
              <w:sz w:val="24"/>
              <w:szCs w:val="24"/>
              <w:lang w:eastAsia="en-GB"/>
            </w:rPr>
          </w:pPr>
          <w:hyperlink w:anchor="_Toc229943336" w:history="1">
            <w:r w:rsidRPr="00A1194C">
              <w:rPr>
                <w:rStyle w:val="Hyperlink"/>
                <w:noProof/>
              </w:rPr>
              <w:t>2023 year – cross-sectional</w:t>
            </w:r>
            <w:r>
              <w:rPr>
                <w:noProof/>
                <w:webHidden/>
              </w:rPr>
              <w:tab/>
            </w:r>
            <w:r>
              <w:rPr>
                <w:noProof/>
                <w:webHidden/>
              </w:rPr>
              <w:fldChar w:fldCharType="begin"/>
            </w:r>
            <w:r>
              <w:rPr>
                <w:noProof/>
                <w:webHidden/>
              </w:rPr>
              <w:instrText xml:space="preserve"> PAGEREF _Toc229943336 \h </w:instrText>
            </w:r>
            <w:r>
              <w:rPr>
                <w:noProof/>
                <w:webHidden/>
              </w:rPr>
            </w:r>
            <w:r>
              <w:rPr>
                <w:noProof/>
                <w:webHidden/>
              </w:rPr>
              <w:fldChar w:fldCharType="separate"/>
            </w:r>
            <w:r>
              <w:rPr>
                <w:noProof/>
                <w:webHidden/>
              </w:rPr>
              <w:t>61</w:t>
            </w:r>
            <w:r>
              <w:rPr>
                <w:noProof/>
                <w:webHidden/>
              </w:rPr>
              <w:fldChar w:fldCharType="end"/>
            </w:r>
          </w:hyperlink>
        </w:p>
        <w:p w14:paraId="12072013" w14:textId="77E95348" w:rsidR="00570ECB" w:rsidRDefault="00570ECB">
          <w:pPr>
            <w:pStyle w:val="TOC2"/>
            <w:tabs>
              <w:tab w:val="right" w:leader="dot" w:pos="9060"/>
            </w:tabs>
            <w:rPr>
              <w:rFonts w:eastAsiaTheme="minorEastAsia"/>
              <w:noProof/>
              <w:sz w:val="24"/>
              <w:szCs w:val="24"/>
              <w:lang w:eastAsia="en-GB"/>
            </w:rPr>
          </w:pPr>
          <w:hyperlink w:anchor="_Toc229943337" w:history="1">
            <w:r w:rsidRPr="00A1194C">
              <w:rPr>
                <w:rStyle w:val="Hyperlink"/>
                <w:noProof/>
              </w:rPr>
              <w:t>2024 year – cross-sectional</w:t>
            </w:r>
            <w:r>
              <w:rPr>
                <w:noProof/>
                <w:webHidden/>
              </w:rPr>
              <w:tab/>
            </w:r>
            <w:r>
              <w:rPr>
                <w:noProof/>
                <w:webHidden/>
              </w:rPr>
              <w:fldChar w:fldCharType="begin"/>
            </w:r>
            <w:r>
              <w:rPr>
                <w:noProof/>
                <w:webHidden/>
              </w:rPr>
              <w:instrText xml:space="preserve"> PAGEREF _Toc229943337 \h </w:instrText>
            </w:r>
            <w:r>
              <w:rPr>
                <w:noProof/>
                <w:webHidden/>
              </w:rPr>
            </w:r>
            <w:r>
              <w:rPr>
                <w:noProof/>
                <w:webHidden/>
              </w:rPr>
              <w:fldChar w:fldCharType="separate"/>
            </w:r>
            <w:r>
              <w:rPr>
                <w:noProof/>
                <w:webHidden/>
              </w:rPr>
              <w:t>64</w:t>
            </w:r>
            <w:r>
              <w:rPr>
                <w:noProof/>
                <w:webHidden/>
              </w:rPr>
              <w:fldChar w:fldCharType="end"/>
            </w:r>
          </w:hyperlink>
        </w:p>
        <w:p w14:paraId="36662C14" w14:textId="4D00ED1A" w:rsidR="00570ECB" w:rsidRDefault="00570ECB">
          <w:pPr>
            <w:pStyle w:val="TOC2"/>
            <w:tabs>
              <w:tab w:val="right" w:leader="dot" w:pos="9060"/>
            </w:tabs>
            <w:rPr>
              <w:rFonts w:eastAsiaTheme="minorEastAsia"/>
              <w:noProof/>
              <w:sz w:val="24"/>
              <w:szCs w:val="24"/>
              <w:lang w:eastAsia="en-GB"/>
            </w:rPr>
          </w:pPr>
          <w:hyperlink w:anchor="_Toc229943338" w:history="1">
            <w:r w:rsidRPr="00A1194C">
              <w:rPr>
                <w:rStyle w:val="Hyperlink"/>
                <w:rFonts w:eastAsia="Times New Roman"/>
                <w:noProof/>
                <w:lang w:eastAsia="en-GB"/>
              </w:rPr>
              <w:t>Panel, wage level, ICT specialist</w:t>
            </w:r>
            <w:r>
              <w:rPr>
                <w:noProof/>
                <w:webHidden/>
              </w:rPr>
              <w:tab/>
            </w:r>
            <w:r>
              <w:rPr>
                <w:noProof/>
                <w:webHidden/>
              </w:rPr>
              <w:fldChar w:fldCharType="begin"/>
            </w:r>
            <w:r>
              <w:rPr>
                <w:noProof/>
                <w:webHidden/>
              </w:rPr>
              <w:instrText xml:space="preserve"> PAGEREF _Toc229943338 \h </w:instrText>
            </w:r>
            <w:r>
              <w:rPr>
                <w:noProof/>
                <w:webHidden/>
              </w:rPr>
            </w:r>
            <w:r>
              <w:rPr>
                <w:noProof/>
                <w:webHidden/>
              </w:rPr>
              <w:fldChar w:fldCharType="separate"/>
            </w:r>
            <w:r>
              <w:rPr>
                <w:noProof/>
                <w:webHidden/>
              </w:rPr>
              <w:t>66</w:t>
            </w:r>
            <w:r>
              <w:rPr>
                <w:noProof/>
                <w:webHidden/>
              </w:rPr>
              <w:fldChar w:fldCharType="end"/>
            </w:r>
          </w:hyperlink>
        </w:p>
        <w:p w14:paraId="08B5D76E" w14:textId="64095C63" w:rsidR="00570ECB" w:rsidRDefault="00570ECB">
          <w:pPr>
            <w:pStyle w:val="TOC2"/>
            <w:tabs>
              <w:tab w:val="right" w:leader="dot" w:pos="9060"/>
            </w:tabs>
            <w:rPr>
              <w:rFonts w:eastAsiaTheme="minorEastAsia"/>
              <w:noProof/>
              <w:sz w:val="24"/>
              <w:szCs w:val="24"/>
              <w:lang w:eastAsia="en-GB"/>
            </w:rPr>
          </w:pPr>
          <w:hyperlink w:anchor="_Toc229943339" w:history="1">
            <w:r w:rsidRPr="00A1194C">
              <w:rPr>
                <w:rStyle w:val="Hyperlink"/>
                <w:rFonts w:eastAsia="Times New Roman"/>
                <w:noProof/>
                <w:lang w:eastAsia="en-GB"/>
              </w:rPr>
              <w:t>Panel, wage level, ICT training</w:t>
            </w:r>
            <w:r>
              <w:rPr>
                <w:noProof/>
                <w:webHidden/>
              </w:rPr>
              <w:tab/>
            </w:r>
            <w:r>
              <w:rPr>
                <w:noProof/>
                <w:webHidden/>
              </w:rPr>
              <w:fldChar w:fldCharType="begin"/>
            </w:r>
            <w:r>
              <w:rPr>
                <w:noProof/>
                <w:webHidden/>
              </w:rPr>
              <w:instrText xml:space="preserve"> PAGEREF _Toc229943339 \h </w:instrText>
            </w:r>
            <w:r>
              <w:rPr>
                <w:noProof/>
                <w:webHidden/>
              </w:rPr>
            </w:r>
            <w:r>
              <w:rPr>
                <w:noProof/>
                <w:webHidden/>
              </w:rPr>
              <w:fldChar w:fldCharType="separate"/>
            </w:r>
            <w:r>
              <w:rPr>
                <w:noProof/>
                <w:webHidden/>
              </w:rPr>
              <w:t>67</w:t>
            </w:r>
            <w:r>
              <w:rPr>
                <w:noProof/>
                <w:webHidden/>
              </w:rPr>
              <w:fldChar w:fldCharType="end"/>
            </w:r>
          </w:hyperlink>
        </w:p>
        <w:p w14:paraId="43165A79" w14:textId="2D282995" w:rsidR="00570ECB" w:rsidRDefault="00570ECB">
          <w:pPr>
            <w:pStyle w:val="TOC2"/>
            <w:tabs>
              <w:tab w:val="right" w:leader="dot" w:pos="9060"/>
            </w:tabs>
            <w:rPr>
              <w:rFonts w:eastAsiaTheme="minorEastAsia"/>
              <w:noProof/>
              <w:sz w:val="24"/>
              <w:szCs w:val="24"/>
              <w:lang w:eastAsia="en-GB"/>
            </w:rPr>
          </w:pPr>
          <w:hyperlink w:anchor="_Toc229943340" w:history="1">
            <w:r w:rsidRPr="00A1194C">
              <w:rPr>
                <w:rStyle w:val="Hyperlink"/>
                <w:noProof/>
              </w:rPr>
              <w:t>CRE</w:t>
            </w:r>
            <w:r>
              <w:rPr>
                <w:noProof/>
                <w:webHidden/>
              </w:rPr>
              <w:tab/>
            </w:r>
            <w:r>
              <w:rPr>
                <w:noProof/>
                <w:webHidden/>
              </w:rPr>
              <w:fldChar w:fldCharType="begin"/>
            </w:r>
            <w:r>
              <w:rPr>
                <w:noProof/>
                <w:webHidden/>
              </w:rPr>
              <w:instrText xml:space="preserve"> PAGEREF _Toc229943340 \h </w:instrText>
            </w:r>
            <w:r>
              <w:rPr>
                <w:noProof/>
                <w:webHidden/>
              </w:rPr>
            </w:r>
            <w:r>
              <w:rPr>
                <w:noProof/>
                <w:webHidden/>
              </w:rPr>
              <w:fldChar w:fldCharType="separate"/>
            </w:r>
            <w:r>
              <w:rPr>
                <w:noProof/>
                <w:webHidden/>
              </w:rPr>
              <w:t>70</w:t>
            </w:r>
            <w:r>
              <w:rPr>
                <w:noProof/>
                <w:webHidden/>
              </w:rPr>
              <w:fldChar w:fldCharType="end"/>
            </w:r>
          </w:hyperlink>
        </w:p>
        <w:p w14:paraId="0CC92A02" w14:textId="4B99A0AF" w:rsidR="00A1390F" w:rsidRDefault="00A1390F" w:rsidP="00A1390F">
          <w:r>
            <w:rPr>
              <w:b/>
              <w:bCs/>
            </w:rPr>
            <w:fldChar w:fldCharType="end"/>
          </w:r>
        </w:p>
      </w:sdtContent>
    </w:sdt>
    <w:p w14:paraId="506B3E6B" w14:textId="442B6F3F" w:rsidR="007A5AA5" w:rsidRPr="007A5AA5" w:rsidRDefault="00A1390F" w:rsidP="007A5AA5">
      <w:r>
        <w:br w:type="page"/>
      </w:r>
    </w:p>
    <w:p w14:paraId="1A63DC74" w14:textId="36C36E56" w:rsidR="00BB2F9A" w:rsidRPr="002D17FF" w:rsidRDefault="002D17FF" w:rsidP="00F20A34">
      <w:pPr>
        <w:pStyle w:val="Thesisheading1"/>
      </w:pPr>
      <w:bookmarkStart w:id="3" w:name="_Toc229943317"/>
      <w:r w:rsidRPr="002D17FF">
        <w:lastRenderedPageBreak/>
        <w:t>INTRODUCTION</w:t>
      </w:r>
      <w:bookmarkEnd w:id="3"/>
      <w:r w:rsidRPr="002D17FF">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514CBD4F" w14:textId="6786E82C" w:rsidR="00C42784" w:rsidRPr="00AD5919" w:rsidRDefault="00C42784" w:rsidP="00AD5919">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25C0B1F7" w14:textId="77777777" w:rsidR="00DF7F88" w:rsidRDefault="00DF7F88" w:rsidP="00F20A34">
      <w:pPr>
        <w:pStyle w:val="Thesisheading1"/>
        <w:rPr>
          <w:color w:val="2F5496" w:themeColor="accent1" w:themeShade="BF"/>
          <w:sz w:val="32"/>
          <w:szCs w:val="32"/>
        </w:rPr>
      </w:pPr>
      <w:r>
        <w:br w:type="page"/>
      </w:r>
    </w:p>
    <w:p w14:paraId="551AC1D8" w14:textId="266A0DFC" w:rsidR="00DF7F88" w:rsidRPr="0095603D" w:rsidRDefault="00DF7F88" w:rsidP="00F20A34">
      <w:pPr>
        <w:pStyle w:val="Thesisheading1"/>
      </w:pPr>
      <w:bookmarkStart w:id="4" w:name="_Toc229943318"/>
      <w:r w:rsidRPr="0095603D">
        <w:lastRenderedPageBreak/>
        <w:t xml:space="preserve">CHAPTER </w:t>
      </w:r>
      <w:r w:rsidR="00710825">
        <w:t>I</w:t>
      </w:r>
      <w:bookmarkEnd w:id="4"/>
    </w:p>
    <w:p w14:paraId="1F298966" w14:textId="38675702" w:rsidR="00CE2656" w:rsidRPr="0095603D" w:rsidRDefault="0095603D" w:rsidP="00F20A34">
      <w:pPr>
        <w:pStyle w:val="Thesisheading1"/>
      </w:pPr>
      <w:bookmarkStart w:id="5" w:name="_Toc229943319"/>
      <w:r w:rsidRPr="0095603D">
        <w:t>LITERATURE REVIEW  AND THEORETICAL FRAMEWORK</w:t>
      </w:r>
      <w:bookmarkEnd w:id="5"/>
    </w:p>
    <w:p w14:paraId="11BD7475" w14:textId="77AD4245" w:rsidR="007546B8" w:rsidRPr="007924EE" w:rsidRDefault="007924EE" w:rsidP="007924EE">
      <w:pPr>
        <w:pStyle w:val="Thesisheading2"/>
      </w:pPr>
      <w:bookmarkStart w:id="6" w:name="_Toc229943320"/>
      <w:r>
        <w:t>1.1.</w:t>
      </w:r>
      <w:r w:rsidR="00EA4CB5">
        <w:t xml:space="preserve"> </w:t>
      </w:r>
      <w:r w:rsidR="00044162" w:rsidRPr="007924EE">
        <w:t>Technology, Automation, and Wages: A Historical Perspective</w:t>
      </w:r>
      <w:bookmarkEnd w:id="6"/>
    </w:p>
    <w:p w14:paraId="17F56667" w14:textId="5200C759" w:rsidR="003336EF" w:rsidRDefault="007546B8" w:rsidP="004B2248">
      <w:pPr>
        <w:pStyle w:val="Thesisbody"/>
      </w:pPr>
      <w:r w:rsidRPr="00EA04C9">
        <w:t>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to finance machinery rather than wages</w:t>
      </w:r>
      <w:r w:rsidR="00EA04C9" w:rsidRPr="00EA04C9">
        <w:t xml:space="preserve"> [</w:t>
      </w:r>
      <w:r w:rsidR="0070518E">
        <w:fldChar w:fldCharType="begin"/>
      </w:r>
      <w:r w:rsidR="0070518E">
        <w:instrText xml:space="preserve"> REF _Ref226388854 \r \h </w:instrText>
      </w:r>
      <w:r w:rsidR="004B2248">
        <w:instrText xml:space="preserve"> \* MERGEFORMAT </w:instrText>
      </w:r>
      <w:r w:rsidR="0070518E">
        <w:fldChar w:fldCharType="separate"/>
      </w:r>
      <w:r w:rsidR="0070518E">
        <w:t>1</w:t>
      </w:r>
      <w:r w:rsidR="0070518E">
        <w:fldChar w:fldCharType="end"/>
      </w:r>
      <w:r w:rsidR="00EA04C9" w:rsidRPr="00EA04C9">
        <w:t>]</w:t>
      </w:r>
      <w:r w:rsidRPr="00EA04C9">
        <w:t>.</w:t>
      </w:r>
      <w:r w:rsidR="00EA04C9" w:rsidRPr="00EA04C9">
        <w:t xml:space="preserve"> </w:t>
      </w:r>
      <w:r w:rsidRPr="00EA04C9">
        <w:t xml:space="preserve"> </w:t>
      </w:r>
      <w:r w:rsidR="008F5032">
        <w:t xml:space="preserve">The debates, whether technology raise or lower workers’ wage and prospects, has appeared with each new wave of innovation and is now actively discussing in terms of artificial intelligence tools. </w:t>
      </w:r>
      <w:r w:rsidRPr="00EA04C9">
        <w:t xml:space="preserve"> </w:t>
      </w:r>
      <w:r w:rsidR="00175E8A">
        <w:t xml:space="preserve">John Maynard </w:t>
      </w:r>
      <w:r w:rsidR="00175E8A" w:rsidRPr="00175E8A">
        <w:t xml:space="preserve">Keynes introduced the term </w:t>
      </w:r>
      <w:r w:rsidR="00175E8A">
        <w:t>“</w:t>
      </w:r>
      <w:r w:rsidR="00175E8A" w:rsidRPr="00175E8A">
        <w:t>technological unemployment</w:t>
      </w:r>
      <w:r w:rsidR="00175E8A">
        <w:t>”</w:t>
      </w:r>
      <w:r w:rsidR="001D5824">
        <w:t xml:space="preserve"> in his essay “Economic Possibility for our Grandchildren” [2],</w:t>
      </w:r>
      <w:r w:rsidR="00175E8A" w:rsidRPr="00175E8A">
        <w:t xml:space="preserve"> defining it as a situation where </w:t>
      </w:r>
      <w:r w:rsidR="001D5824">
        <w:t>“</w:t>
      </w:r>
      <w:r w:rsidR="00175E8A" w:rsidRPr="00175E8A">
        <w:t>the discovery of means of economising the use of labour outrun[s] the pace at which we can find new uses for labour,</w:t>
      </w:r>
      <w:r w:rsidR="001D5824">
        <w:t>”</w:t>
      </w:r>
      <w:r w:rsidR="00175E8A" w:rsidRPr="00175E8A">
        <w:t xml:space="preserve"> but reassured that </w:t>
      </w:r>
      <w:r w:rsidR="00175E8A">
        <w:t>“</w:t>
      </w:r>
      <w:r w:rsidR="00175E8A" w:rsidRPr="00175E8A">
        <w:t>this is only a temporary phase of maladjustment</w:t>
      </w:r>
      <w:r w:rsidR="00175E8A">
        <w:t xml:space="preserve"> (</w:t>
      </w:r>
      <w:r w:rsidR="001D5824">
        <w:t>i.e., imbalance, disruption</w:t>
      </w:r>
      <w:r w:rsidR="00175E8A">
        <w:t>)</w:t>
      </w:r>
      <w:r w:rsidR="00122515">
        <w:t>”</w:t>
      </w:r>
      <w:r w:rsidR="00175E8A" w:rsidRPr="00175E8A">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4F9D362" w14:textId="75367E82" w:rsidR="007546B8" w:rsidRDefault="002C6C48" w:rsidP="004B2248">
      <w:pPr>
        <w:pStyle w:val="Thesisbody"/>
      </w:pPr>
      <w:r w:rsidRPr="002C6C48">
        <w:t>The First Industrial Revolution (approximately 1760</w:t>
      </w:r>
      <w:r w:rsidR="00F2348E">
        <w:t>-</w:t>
      </w:r>
      <w:r w:rsidRPr="002C6C48">
        <w:t xml:space="preserve">1840) offers the earliest empirical evidence on how automation affects wages. Acemoglu and Restrepo </w:t>
      </w:r>
      <w:r w:rsidR="00F2348E">
        <w:t>in their work “</w:t>
      </w:r>
      <w:r w:rsidR="000E64E9">
        <w:t>Automation and New Tasks: How Technology Displaces and Reinstates Labor</w:t>
      </w:r>
      <w:r w:rsidR="00F2348E">
        <w:t>”</w:t>
      </w:r>
      <w:r w:rsidR="004E175A">
        <w:t xml:space="preserve"> </w:t>
      </w:r>
      <w:r w:rsidRPr="002C6C48">
        <w:t>describe the core mechanism as a displacement effect: when machines take over tasks previously done by workers, labour's share of value added falls. This is precisely what happened in textiles</w:t>
      </w:r>
      <w:r w:rsidR="000C27BD">
        <w:t xml:space="preserve">, where </w:t>
      </w:r>
      <w:r w:rsidRPr="002C6C48">
        <w:t>early factory innovations automated the spinning and weaving tasks of skilled artisans, causing widespread job losses and triggering the Luddite riots of the 1810s</w:t>
      </w:r>
      <w:r w:rsidR="0019520C" w:rsidRPr="0019520C">
        <w:t xml:space="preserve"> </w:t>
      </w:r>
      <w:r w:rsidR="00F2348E">
        <w:t>[3]</w:t>
      </w:r>
      <w:r w:rsidRPr="002C6C48">
        <w:t>. Agricultural mechanisation followed a similar path, as horse-powered reapers and later tractors displaced farm workers in large numbers across the second half of the nineteenth century</w:t>
      </w:r>
      <w:r w:rsidR="000C27BD">
        <w:t>.</w:t>
      </w:r>
      <w:r>
        <w:t xml:space="preserve"> </w:t>
      </w:r>
    </w:p>
    <w:p w14:paraId="4AFD3A7B" w14:textId="3118DCEB" w:rsidR="000C27BD" w:rsidRDefault="00BF024B" w:rsidP="009E2DCC">
      <w:pPr>
        <w:pStyle w:val="Thesisbody"/>
      </w:pPr>
      <w:r w:rsidRPr="00BF024B">
        <w:t>Yet displacement was not the end of the story. Drawing on the wage calculations of economic historian James Bessen, the U.S. Bureau of Labor Statistics documents that real hourly wages for weavers and spinners remained largely stagnant from 1830 to 1860</w:t>
      </w:r>
      <w:r w:rsidR="006B07CD">
        <w:t xml:space="preserve"> [4]</w:t>
      </w:r>
      <w:r w:rsidRPr="00BF024B">
        <w:t xml:space="preserve">. </w:t>
      </w:r>
      <w:r w:rsidR="007E664E">
        <w:t xml:space="preserve">Important to note that the weavers and spinners used </w:t>
      </w:r>
      <w:r w:rsidR="007E664E" w:rsidRPr="00BF024B">
        <w:t xml:space="preserve"> the cutting-edge factory technologies of </w:t>
      </w:r>
      <w:r w:rsidR="007E664E" w:rsidRPr="00BF024B">
        <w:lastRenderedPageBreak/>
        <w:t>the time</w:t>
      </w:r>
      <w:r w:rsidR="007E664E">
        <w:t xml:space="preserve">. </w:t>
      </w:r>
      <w:r w:rsidRPr="00BF024B">
        <w:t>The explanation, consistent with Marx's view, is that workers had few alternative employers and little bargaining power in this early phase.</w:t>
      </w:r>
      <w:r w:rsidR="007E664E">
        <w:t xml:space="preserve"> </w:t>
      </w:r>
      <w:r w:rsidR="00BC6B8D">
        <w:t>However, f</w:t>
      </w:r>
      <w:r w:rsidRPr="00BF024B">
        <w:t xml:space="preserve">rom 1860 to 1890, as technology </w:t>
      </w:r>
      <w:r w:rsidRPr="004D5B75">
        <w:t>expanded the broader economy and created new sources of employment, the picture changed: even low-skilled spinners saw their wages grow, while more technically skilled weavers benefited disproportionately.</w:t>
      </w:r>
      <w:r w:rsidR="00D969D7" w:rsidRPr="004D5B75">
        <w:t xml:space="preserve"> Three reinforcing</w:t>
      </w:r>
      <w:r w:rsidR="00D969D7" w:rsidRPr="00D969D7">
        <w:t xml:space="preserve"> mechanisms explain this disproportionate wage growth for weavers specifically. First, , operating the newly introduced power looms did not require formal education, but it demanded highly specific, unstandardised technical skills that workers could only acquire through extensive on-the-job experience</w:t>
      </w:r>
      <w:r w:rsidR="00D969D7">
        <w:t xml:space="preserve">, </w:t>
      </w:r>
      <w:r w:rsidR="00D969D7" w:rsidRPr="00D969D7">
        <w:t xml:space="preserve">what Bessen characterises as </w:t>
      </w:r>
      <w:r w:rsidR="00D969D7">
        <w:t>“</w:t>
      </w:r>
      <w:r w:rsidR="00D969D7" w:rsidRPr="00D969D7">
        <w:t>learning by doing</w:t>
      </w:r>
      <w:r w:rsidR="00D969D7">
        <w:t>”</w:t>
      </w:r>
      <w:r w:rsidR="00D969D7" w:rsidRPr="00D969D7">
        <w:t>. Because these weaving machines were complex and their productive use was difficult to codify or transfer, the new technology acted as a multiplier for accumulated experience: an experienced weaver could produce substantially more cloth per hour than a beginner, and this productivity gap widened as the machines became more sophisticated.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Consequently, as their specialised skills compounded with experience, the high productivity of veteran weavers translated directly and mechanically into proportionally higher earnings</w:t>
      </w:r>
      <w:r w:rsidR="00D969D7">
        <w:t xml:space="preserve">. </w:t>
      </w:r>
      <w:r w:rsidR="00D969D7" w:rsidRPr="00D969D7">
        <w:t>The interaction of these three mechanisms</w:t>
      </w:r>
      <w:r w:rsidR="00D969D7">
        <w:t xml:space="preserve">: </w:t>
      </w:r>
      <w:r w:rsidR="00D969D7" w:rsidRPr="00D969D7">
        <w:t xml:space="preserve">experience-based skill accumulation, employer investment in on-the-job training, and productivity-linked compensation </w:t>
      </w:r>
      <w:r w:rsidR="00D969D7">
        <w:t xml:space="preserve">– </w:t>
      </w:r>
      <w:r w:rsidR="00D969D7" w:rsidRPr="00D969D7">
        <w:t>is precisely what made weavers' wages diverge from spinners' over this period. Spinning, by contrast, was more rapidly standardised: the tasks were simpler, the learning curve shallower, and the skill premium smaller</w:t>
      </w:r>
      <w:r w:rsidR="00D969D7">
        <w:t xml:space="preserve"> [4]</w:t>
      </w:r>
      <w:r w:rsidR="00D969D7" w:rsidRPr="00D969D7">
        <w:t>. </w:t>
      </w:r>
    </w:p>
    <w:p w14:paraId="280DC21D" w14:textId="0FF7402F" w:rsidR="00312A2A" w:rsidRPr="00312A2A" w:rsidRDefault="00312A2A" w:rsidP="009E2DCC">
      <w:pPr>
        <w:pStyle w:val="Thesisbody"/>
      </w:pPr>
      <w:r w:rsidRPr="00312A2A">
        <w:t>This pattern</w:t>
      </w:r>
      <w:r>
        <w:t xml:space="preserve">, where </w:t>
      </w:r>
      <w:r w:rsidRPr="00312A2A">
        <w:t>initial stagnation followed by broad-based wage growth</w:t>
      </w:r>
      <w:r>
        <w:t xml:space="preserve">, </w:t>
      </w:r>
      <w:r w:rsidRPr="00312A2A">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t>“</w:t>
      </w:r>
      <w:r w:rsidRPr="00312A2A">
        <w:t>innovational complementarities,</w:t>
      </w:r>
      <w:r w:rsidR="002113D3">
        <w:t xml:space="preserve">” </w:t>
      </w:r>
      <w:r w:rsidRPr="00312A2A">
        <w:t xml:space="preserve"> meaning their diffusion raises the productivity of research and development throughout the downstream economy</w:t>
      </w:r>
      <w:r>
        <w:t xml:space="preserve"> [5]</w:t>
      </w:r>
      <w:r w:rsidRPr="00312A2A">
        <w:t xml:space="preserve">. Steam </w:t>
      </w:r>
      <w:r w:rsidRPr="00312A2A">
        <w:lastRenderedPageBreak/>
        <w:t xml:space="preserve">power serves as the canonical early GPT: despite dating the core invention to James Watt's separate condenser in 1769, growth accounting demonstrates that macroeconomic payoffs at the economy-wide level arrived only after a lag of roughly sixty years </w:t>
      </w:r>
      <w:r>
        <w:t>[6, 7]</w:t>
      </w:r>
      <w:r w:rsidRPr="00312A2A">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9E2DCC">
      <w:pPr>
        <w:pStyle w:val="Thesisbody"/>
      </w:pPr>
      <w:r w:rsidRPr="00312A2A">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t>-</w:t>
      </w:r>
      <w:r w:rsidRPr="00312A2A">
        <w:t xml:space="preserve">2019 period </w:t>
      </w:r>
      <w:r w:rsidR="009A4E65">
        <w:t>[8]</w:t>
      </w:r>
      <w:r w:rsidRPr="00312A2A">
        <w:t xml:space="preserve">. Critically, this research finds that approximately 50% of this contemporary wage premium is explained by the enduring presence of more productive firms in these early-adopting regions. This provides </w:t>
      </w:r>
      <w:r w:rsidR="009A4E65">
        <w:t>strong</w:t>
      </w:r>
      <w:r w:rsidRPr="00312A2A">
        <w:t xml:space="preserve"> empirical support for theories of technology</w:t>
      </w:r>
      <w:r w:rsidR="002113D3">
        <w:t>-</w:t>
      </w:r>
      <w:r w:rsidRPr="00312A2A">
        <w:t xml:space="preserve">skill complementarity: the introduction of a new </w:t>
      </w:r>
      <w:r w:rsidR="009A4E65" w:rsidRPr="00312A2A">
        <w:t>General-Purpose Technologies</w:t>
      </w:r>
      <w:r w:rsidRPr="00312A2A">
        <w:t xml:space="preserve"> raises the local demand for skills, which in turn encourages long-term investment in education and sustains regional innovation cycles across generations.</w:t>
      </w:r>
    </w:p>
    <w:p w14:paraId="06295331" w14:textId="4FCEBDE1" w:rsidR="0001106C" w:rsidRPr="0001106C" w:rsidRDefault="0001106C" w:rsidP="009E2DCC">
      <w:pPr>
        <w:pStyle w:val="Thesisbody"/>
      </w:pPr>
      <w:r w:rsidRPr="0001106C">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electricity arrived only after a substantial lag. The </w:t>
      </w:r>
      <w:r w:rsidR="00AD0252" w:rsidRPr="002812AC">
        <w:t>abovementioned</w:t>
      </w:r>
      <w:r w:rsidRPr="0001106C">
        <w:t xml:space="preserve"> GPT framework developed by Bresnahan and Trajtenberg explains that new GPTs require extensive </w:t>
      </w:r>
      <w:r w:rsidR="00AD0252" w:rsidRPr="002812AC">
        <w:t>“</w:t>
      </w:r>
      <w:r w:rsidRPr="0001106C">
        <w:t>co-invention</w:t>
      </w:r>
      <w:r w:rsidR="00AD0252" w:rsidRPr="002812AC">
        <w:t xml:space="preserve">”, meaning </w:t>
      </w:r>
      <w:r w:rsidRPr="0001106C">
        <w:t>the redesign of downstream processes, the scrapping of legacy capital, and the retraining of workers</w:t>
      </w:r>
      <w:r w:rsidR="00AD0252" w:rsidRPr="002812AC">
        <w:t xml:space="preserve"> [6]</w:t>
      </w:r>
      <w:r w:rsidRPr="0001106C">
        <w:t xml:space="preserve">. Modern productivity literature conceptualises this dynamic as the </w:t>
      </w:r>
      <w:r w:rsidR="00F73CB6" w:rsidRPr="002812AC">
        <w:t>“</w:t>
      </w:r>
      <w:r w:rsidRPr="0001106C">
        <w:t>Productivity J-Curve</w:t>
      </w:r>
      <w:r w:rsidR="00F73CB6" w:rsidRPr="002812AC">
        <w:t>”</w:t>
      </w:r>
      <w:r w:rsidRPr="0001106C">
        <w:t xml:space="preserve"> </w:t>
      </w:r>
      <w:r w:rsidR="00F73CB6" w:rsidRPr="002812AC">
        <w:t>[9]</w:t>
      </w:r>
      <w:r w:rsidRPr="0001106C">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1707C6" w:rsidRDefault="0001106C" w:rsidP="009E2DCC">
      <w:pPr>
        <w:pStyle w:val="Thesisbody"/>
      </w:pPr>
      <w:r w:rsidRPr="0001106C">
        <w:t xml:space="preserve">Yet, recent granular historical research demonstrates that this macroeconomic lag is not an inherent flaw of the technology, but a symptom of local constraints. Revising the timeline of </w:t>
      </w:r>
      <w:r w:rsidRPr="0001106C">
        <w:lastRenderedPageBreak/>
        <w:t>electrification, Fiszbein, Lafortune, Lewis, and Tessada show</w:t>
      </w:r>
      <w:r w:rsidR="002812AC">
        <w:t xml:space="preserve"> in their work “P</w:t>
      </w:r>
      <w:r w:rsidR="002812AC" w:rsidRPr="002812AC">
        <w:t>owering up productivity:</w:t>
      </w:r>
      <w:r w:rsidR="002812AC">
        <w:t xml:space="preserve"> </w:t>
      </w:r>
      <w:r w:rsidR="002812AC" w:rsidRPr="002812AC">
        <w:t xml:space="preserve">the effects of electrification on </w:t>
      </w:r>
      <w:r w:rsidR="00B7700A">
        <w:t>US</w:t>
      </w:r>
      <w:r w:rsidR="002812AC" w:rsidRPr="002812AC">
        <w:t xml:space="preserve"> manufacturing</w:t>
      </w:r>
      <w:r w:rsidR="002812AC">
        <w:t>”</w:t>
      </w:r>
      <w:r w:rsidRPr="0001106C">
        <w:t xml:space="preserve"> that where constraints were removed</w:t>
      </w:r>
      <w:r w:rsidR="00B7700A">
        <w:t xml:space="preserve">, </w:t>
      </w:r>
      <w:r w:rsidRPr="0001106C">
        <w:t>factory adoption of electricity was remarkably fast</w:t>
      </w:r>
      <w:r w:rsidR="00502C04">
        <w:t xml:space="preserve"> [10]</w:t>
      </w:r>
      <w:r w:rsidRPr="0001106C">
        <w:t xml:space="preserve">. In these areas, electrification drove rapid capital deepening and, crucially, a simultaneous expansion in aggregate employment. In sectors dominated by small firms, this early adoption triggered a powerful </w:t>
      </w:r>
      <w:r w:rsidRPr="001707C6">
        <w:t>reinstatement effect, creating new tasks and rapidly expanding local labour demand.</w:t>
      </w:r>
    </w:p>
    <w:p w14:paraId="317E16AC" w14:textId="14540C76" w:rsidR="0001106C" w:rsidRPr="0001106C" w:rsidRDefault="001A1C59" w:rsidP="009E2DCC">
      <w:pPr>
        <w:pStyle w:val="Thesisbody"/>
      </w:pPr>
      <w:r w:rsidRPr="001707C6">
        <w:t>Combining</w:t>
      </w:r>
      <w:r w:rsidR="0001106C" w:rsidRPr="001707C6">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t xml:space="preserve"> </w:t>
      </w:r>
    </w:p>
    <w:p w14:paraId="4D389256" w14:textId="10A4FBB4" w:rsidR="0001106C" w:rsidRPr="0001106C" w:rsidRDefault="001720E3" w:rsidP="009E2DCC">
      <w:pPr>
        <w:pStyle w:val="Thesisbody"/>
      </w:pPr>
      <w:r>
        <w:t>T</w:t>
      </w:r>
      <w:r w:rsidR="0001106C" w:rsidRPr="0001106C">
        <w:t xml:space="preserve">his friction of adaptation was most evident in the changing demand for skills. As electrification and mechanisation drove factory reorganisation, they </w:t>
      </w:r>
      <w:r w:rsidR="0087010E">
        <w:t>forced</w:t>
      </w:r>
      <w:r w:rsidR="0001106C" w:rsidRPr="0001106C">
        <w:t xml:space="preserve"> a structural shift from manual to cognitive labour, sharply increasing the economic returns to literacy, numeracy, and technical training. As Goldin and Katz</w:t>
      </w:r>
      <w:r w:rsidR="001A1C59">
        <w:t xml:space="preserve"> </w:t>
      </w:r>
      <w:r w:rsidR="0001106C" w:rsidRPr="0001106C">
        <w:t>document in their work on </w:t>
      </w:r>
      <w:r w:rsidR="001A1C59" w:rsidRPr="001A1C59">
        <w:t>“</w:t>
      </w:r>
      <w:r w:rsidR="0001106C" w:rsidRPr="0001106C">
        <w:t>The Race Between Education and Technology</w:t>
      </w:r>
      <w:r w:rsidR="001A1C59" w:rsidRPr="001A1C59">
        <w:t>”</w:t>
      </w:r>
      <w:r w:rsidR="0001106C" w:rsidRPr="0001106C">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t>“</w:t>
      </w:r>
      <w:r w:rsidR="0001106C" w:rsidRPr="0001106C">
        <w:t>high school movement</w:t>
      </w:r>
      <w:r w:rsidR="008F2C31">
        <w:t xml:space="preserve">” with </w:t>
      </w:r>
      <w:r w:rsidR="0001106C" w:rsidRPr="0001106C">
        <w:t>a mass expansion of secondary education in the United States from the 1910s onward. By dramatically increasing the supply of educated workers to match the new technological paradigm, this movement successfully compressed wage inequality during the mid-twentieth century</w:t>
      </w:r>
      <w:r w:rsidR="00766294">
        <w:t xml:space="preserve"> [</w:t>
      </w:r>
      <w:r>
        <w:t xml:space="preserve">4, </w:t>
      </w:r>
      <w:r w:rsidR="00766294">
        <w:t>1</w:t>
      </w:r>
      <w:r w:rsidR="007D2A82">
        <w:t>1</w:t>
      </w:r>
      <w:r w:rsidR="00766294">
        <w:t>]</w:t>
      </w:r>
      <w:r w:rsidR="0001106C" w:rsidRPr="0001106C">
        <w:t>.</w:t>
      </w:r>
    </w:p>
    <w:p w14:paraId="0E52BC85" w14:textId="64B8F5BE" w:rsidR="0001106C" w:rsidRPr="0001106C" w:rsidRDefault="0001106C" w:rsidP="009E2DCC">
      <w:pPr>
        <w:pStyle w:val="Thesisbody"/>
      </w:pPr>
      <w:r w:rsidRPr="0001106C">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t xml:space="preserve"> [11]</w:t>
      </w:r>
      <w:r w:rsidRPr="0001106C">
        <w:t xml:space="preserve">. This dynamic precisely frames the contemporary theoretical problem regarding Artificial Intelligence: whether current sectoral </w:t>
      </w:r>
      <w:r w:rsidRPr="0001106C">
        <w:lastRenderedPageBreak/>
        <w:t xml:space="preserve">investments in </w:t>
      </w:r>
      <w:r w:rsidR="00AC6749">
        <w:t>new technologies</w:t>
      </w:r>
      <w:r w:rsidRPr="0001106C">
        <w:t xml:space="preserve"> training are sufficient to trigger these complementary wage benefits, or if a persistent digital skill deficit will replicate historical patterns of wage polarisation.</w:t>
      </w:r>
    </w:p>
    <w:p w14:paraId="6A0CE699" w14:textId="5BE9C5F8" w:rsidR="00B90B6C" w:rsidRDefault="00B92D91" w:rsidP="009E2DCC">
      <w:pPr>
        <w:pStyle w:val="Thesisbody"/>
      </w:pPr>
      <w:r w:rsidRPr="00366CA7">
        <w:t xml:space="preserve">The third major wave of transformative technology arrived </w:t>
      </w:r>
      <w:r w:rsidR="00022A06" w:rsidRPr="00366CA7">
        <w:t>with</w:t>
      </w:r>
      <w:r w:rsidRPr="00366CA7">
        <w:t xml:space="preserve"> computing power spread across the economy in the 1970s and 1980s. </w:t>
      </w:r>
      <w:r w:rsidR="001E3DC6" w:rsidRPr="00366CA7">
        <w:t>At the same time, n</w:t>
      </w:r>
      <w:r w:rsidR="005F319B" w:rsidRPr="00366CA7">
        <w:t>otably, m</w:t>
      </w:r>
      <w:r w:rsidRPr="00366CA7">
        <w:t xml:space="preserve">easured productivity growth slowed down. Brynjolfsson, Rock, and Syverson </w:t>
      </w:r>
      <w:r w:rsidR="00756E79" w:rsidRPr="00366CA7">
        <w:t xml:space="preserve">also </w:t>
      </w:r>
      <w:r w:rsidRPr="00366CA7">
        <w:t xml:space="preserve">explain this delay through the </w:t>
      </w:r>
      <w:r w:rsidR="00756E79" w:rsidRPr="00366CA7">
        <w:t>“</w:t>
      </w:r>
      <w:r w:rsidRPr="00366CA7">
        <w:t>Productivity J-Curve</w:t>
      </w:r>
      <w:r w:rsidR="00756E79" w:rsidRPr="00366CA7">
        <w:t>”, where</w:t>
      </w:r>
      <w:r w:rsidRPr="00366CA7">
        <w:t xml:space="preserve"> computers</w:t>
      </w:r>
      <w:r w:rsidR="00756E79" w:rsidRPr="00366CA7">
        <w:t>, as general-purpose technologies,</w:t>
      </w:r>
      <w:r w:rsidRPr="00366CA7">
        <w:t xml:space="preserve"> require firms to divert massive resources into unmeasured intangible capital, such as writing new software, redesigning business processes, and most importantly, retraining workers</w:t>
      </w:r>
      <w:r w:rsidR="003535AD" w:rsidRPr="00366CA7">
        <w:t xml:space="preserve"> in the new digital skills required to operate these systems. This kind of an investment whose returns would only be visible once the new skill supply was in place</w:t>
      </w:r>
      <w:r w:rsidR="0074622F" w:rsidRPr="00025177">
        <w:t xml:space="preserve"> [9]</w:t>
      </w:r>
      <w:r w:rsidRPr="00025177">
        <w:t>.</w:t>
      </w:r>
    </w:p>
    <w:p w14:paraId="445A53A8" w14:textId="4D52517C" w:rsidR="00756E79" w:rsidRPr="00392BA4" w:rsidRDefault="00756E79" w:rsidP="009E2DCC">
      <w:pPr>
        <w:pStyle w:val="Thesisbody"/>
      </w:pPr>
      <w:r w:rsidRPr="00025177">
        <w:t>When the labour market effects of computers finally materialized, economists observed a massive spike in wage inequality. Specifically, the “skill premium”</w:t>
      </w:r>
      <w:r w:rsidR="00F550C8" w:rsidRPr="00025177">
        <w:t xml:space="preserve"> rose</w:t>
      </w:r>
      <w:r w:rsidRPr="00025177">
        <w:t>, the wage gap between college-educated and high-school-educated workers. To explain this, Autor, Katz, and Krueger introduced the Skill-Biased Technological Change</w:t>
      </w:r>
      <w:r w:rsidR="00926A5E" w:rsidRPr="00025177">
        <w:t xml:space="preserve"> (SBTC)</w:t>
      </w:r>
      <w:r w:rsidRPr="00025177">
        <w:t> hypothesis. By analy</w:t>
      </w:r>
      <w:r w:rsidR="00926A5E" w:rsidRPr="00025177">
        <w:t>s</w:t>
      </w:r>
      <w:r w:rsidRPr="00025177">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t>u</w:t>
      </w:r>
      <w:r w:rsidRPr="00025177">
        <w:t>r outward, strictly favo</w:t>
      </w:r>
      <w:r w:rsidR="00192DB1" w:rsidRPr="00025177">
        <w:t>u</w:t>
      </w:r>
      <w:r w:rsidRPr="00025177">
        <w:t>ring highly educated workers because computing technology and cognitive skills are natural complements</w:t>
      </w:r>
      <w:r w:rsidR="0074622F" w:rsidRPr="00025177">
        <w:t xml:space="preserve"> </w:t>
      </w:r>
      <w:r w:rsidR="0074622F" w:rsidRPr="00392BA4">
        <w:t>[12]</w:t>
      </w:r>
      <w:r w:rsidRPr="00392BA4">
        <w:t>.</w:t>
      </w:r>
    </w:p>
    <w:p w14:paraId="2EF5EF78" w14:textId="12E5CF11" w:rsidR="00B90B6C" w:rsidRDefault="00392BA4" w:rsidP="009E2DCC">
      <w:pPr>
        <w:pStyle w:val="Thesisbody"/>
      </w:pPr>
      <w:r w:rsidRPr="00392BA4">
        <w:t xml:space="preserve">Goldin and Katz formalised this interaction in their </w:t>
      </w:r>
      <w:r>
        <w:t>“</w:t>
      </w:r>
      <w:r w:rsidRPr="00392BA4">
        <w:t>Race Between Education and Technology</w:t>
      </w:r>
      <w:r>
        <w:t>”</w:t>
      </w:r>
      <w:r w:rsidRPr="00392BA4">
        <w:t xml:space="preserve"> framework, demonstrating with data from 1890 to 2005 that the skill premium is determined by the net gap between technology-driven demand for skills and education-driven supply of skills. When skill supply grew faster than technology's demand</w:t>
      </w:r>
      <w:r>
        <w:t>,</w:t>
      </w:r>
      <w:r w:rsidRPr="00392BA4">
        <w:t xml:space="preserve"> wage inequality fell. When supply growth slowed after the 1980s while the computer revolution accelerated demand, the premium skyrocketed</w:t>
      </w:r>
      <w:r>
        <w:t xml:space="preserve"> [1</w:t>
      </w:r>
      <w:r w:rsidR="001024CB">
        <w:t>3</w:t>
      </w:r>
      <w:r>
        <w:t>]</w:t>
      </w:r>
      <w:r w:rsidRPr="00392BA4">
        <w:t xml:space="preserve">. In the context of this </w:t>
      </w:r>
      <w:r w:rsidR="00C0616A">
        <w:t>work</w:t>
      </w:r>
      <w:r w:rsidRPr="00392BA4">
        <w:t>, sectoral investment in ICT training functions as precisely this supply-side adjustment mechanism: sectors that train workers continuously can keep pace with the technology-driven demand for digital skills and protect their wage structure</w:t>
      </w:r>
      <w:r w:rsidR="00C0616A">
        <w:t xml:space="preserve">. </w:t>
      </w:r>
      <w:r w:rsidRPr="00392BA4">
        <w:t xml:space="preserve"> </w:t>
      </w:r>
      <w:r w:rsidR="00C0616A" w:rsidRPr="00C0616A">
        <w:t>The 1980s episode thus established a general principle</w:t>
      </w:r>
      <w:r w:rsidR="00C0616A">
        <w:t>,</w:t>
      </w:r>
      <w:r w:rsidR="00C0616A" w:rsidRPr="00C0616A">
        <w:t xml:space="preserve"> when the pace of technological change ou</w:t>
      </w:r>
      <w:r w:rsidR="00C0616A">
        <w:t>tpace</w:t>
      </w:r>
      <w:r w:rsidR="00C0616A" w:rsidRPr="00C0616A">
        <w:t xml:space="preserve"> the supply of complementary skills, wage inequality rises</w:t>
      </w:r>
      <w:r w:rsidR="00C0616A">
        <w:t>.</w:t>
      </w:r>
      <w:r w:rsidR="00C0616A" w:rsidRPr="00C0616A">
        <w:t xml:space="preserve"> </w:t>
      </w:r>
      <w:r w:rsidR="00C0616A">
        <w:t>W</w:t>
      </w:r>
      <w:r w:rsidR="00C0616A" w:rsidRPr="00C0616A">
        <w:t>hen education and training investment catches up, it falls.</w:t>
      </w:r>
    </w:p>
    <w:p w14:paraId="1BED9B2D" w14:textId="19C1A2C1" w:rsidR="0071433C" w:rsidRDefault="0071433C" w:rsidP="00E12CF4">
      <w:pPr>
        <w:pStyle w:val="Thesisbody"/>
      </w:pPr>
      <w:r w:rsidRPr="0071433C">
        <w:lastRenderedPageBreak/>
        <w:t>Autor, Levy, and Murnane clarified the task-level mechanism driving this polarisation. Computers substitute for </w:t>
      </w:r>
      <w:r w:rsidRPr="00F63E9D">
        <w:t>routine </w:t>
      </w:r>
      <w:r w:rsidRPr="0071433C">
        <w:t>tasks</w:t>
      </w:r>
      <w:r w:rsidR="00F63E9D">
        <w:t xml:space="preserve">, </w:t>
      </w:r>
      <w:r w:rsidRPr="0071433C">
        <w:t>procedural</w:t>
      </w:r>
      <w:r w:rsidR="00F63E9D">
        <w:t xml:space="preserve"> and</w:t>
      </w:r>
      <w:r w:rsidRPr="0071433C">
        <w:t xml:space="preserve"> rule-based activities such as bookkeeping or clerical administration</w:t>
      </w:r>
      <w:r w:rsidR="00F63E9D">
        <w:t xml:space="preserve">, </w:t>
      </w:r>
      <w:r w:rsidRPr="0071433C">
        <w:t>while complementing </w:t>
      </w:r>
      <w:r w:rsidRPr="00F63E9D">
        <w:t>non-routine</w:t>
      </w:r>
      <w:r w:rsidRPr="0071433C">
        <w:t> cognitive tasks requiring adaptability and complex problem-solving. Because routine tasks were historically concentrated in the middle of the wage distribution, automation systematically compressed middle-class wages</w:t>
      </w:r>
      <w:r w:rsidR="008647AD">
        <w:t xml:space="preserve"> [1</w:t>
      </w:r>
      <w:r w:rsidR="00F12C89">
        <w:t>4</w:t>
      </w:r>
      <w:r w:rsidR="008647AD">
        <w:t>].</w:t>
      </w:r>
      <w:r w:rsidR="00CB749E">
        <w:t xml:space="preserve"> </w:t>
      </w:r>
      <w:r w:rsidRPr="0071433C">
        <w:t xml:space="preserve">For this </w:t>
      </w:r>
      <w:r w:rsidR="00854747">
        <w:t>work</w:t>
      </w:r>
      <w:r w:rsidRPr="0071433C">
        <w:t>, the key implication is that a sector's wage outcome under automation depends on whether its workforce can pivot from routine to non-routine roles</w:t>
      </w:r>
      <w:r w:rsidR="00923501">
        <w:t>, specifically,</w:t>
      </w:r>
      <w:r w:rsidRPr="0071433C">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36806B9D" w:rsidR="004B5572" w:rsidRPr="004A6596" w:rsidRDefault="007D5C0D" w:rsidP="003668A0">
      <w:pPr>
        <w:pStyle w:val="Thesisheading2"/>
      </w:pPr>
      <w:bookmarkStart w:id="7" w:name="_Toc229943321"/>
      <w:r>
        <w:t>1.2.</w:t>
      </w:r>
      <w:r w:rsidR="00EA4CB5">
        <w:t xml:space="preserve"> </w:t>
      </w:r>
      <w:r w:rsidR="004B5572" w:rsidRPr="004A6596">
        <w:t>The Task-Based Framework</w:t>
      </w:r>
      <w:bookmarkEnd w:id="7"/>
      <w:r w:rsidR="004B5572" w:rsidRPr="004A6596">
        <w:t xml:space="preserve"> </w:t>
      </w:r>
    </w:p>
    <w:p w14:paraId="4DA53CB9" w14:textId="0CF94D87" w:rsidR="003E6EC9" w:rsidRDefault="003E6EC9" w:rsidP="00BB0164">
      <w:pPr>
        <w:pStyle w:val="Thesisbody"/>
      </w:pPr>
      <w:r w:rsidRPr="003E6EC9">
        <w:t xml:space="preserve">Yet while the </w:t>
      </w:r>
      <w:r w:rsidR="00B90B6C">
        <w:t>t</w:t>
      </w:r>
      <w:r w:rsidRPr="003E6EC9">
        <w:t xml:space="preserve">ask </w:t>
      </w:r>
      <w:r w:rsidR="00B90B6C">
        <w:t>a</w:t>
      </w:r>
      <w:r w:rsidRPr="003E6EC9">
        <w:t>pproach identified which workers are vulnerable, it did not specify the precise wage mechanism. Acemoglu and Restrepo supplied this quantitative architecture</w:t>
      </w:r>
      <w:r w:rsidR="00BB7181">
        <w:t xml:space="preserve"> in their work “Task, Automation and the Rise in US Wage Inequality”</w:t>
      </w:r>
      <w:r w:rsidRPr="003E6EC9">
        <w:t>. They formalised automation as a continuous reallocation of tasks between capital and labour and formally derived that a worker's real wage is directly proportional to their task share</w:t>
      </w:r>
      <w:r w:rsidR="004A21BF">
        <w:t>:</w:t>
      </w:r>
      <w:r w:rsidRPr="003E6EC9">
        <w:t xml:space="preserve"> the proportion of total production tasks allocated to their labour. </w:t>
      </w:r>
      <w:r w:rsidR="00AE3DB6" w:rsidRPr="00AE3DB6">
        <w:t xml:space="preserve">It is a distinction that yields explicit, testable predictions about how wages change when a sector automates. </w:t>
      </w:r>
      <w:r w:rsidR="00AE3DB6">
        <w:t xml:space="preserve"> </w:t>
      </w:r>
      <w:r w:rsidRPr="003E6EC9">
        <w:t>As capital takes over tasks, task share falls, and real wages fall with it as an equilibrium condition, not an assumption. Using data on 500 demographic groups in the United States from 1980 to 2016, they document that task displacement alone explains 50</w:t>
      </w:r>
      <w:r w:rsidR="004A21BF">
        <w:t>-</w:t>
      </w:r>
      <w:r w:rsidRPr="003E6EC9">
        <w:t>70% of all changes in the US wage structure, far outpacing standard SBTC proxies such as education dummies, which account for only 8</w:t>
      </w:r>
      <w:r w:rsidR="009D248B">
        <w:t>-</w:t>
      </w:r>
      <w:r w:rsidRPr="003E6EC9">
        <w:t xml:space="preserve">17%. </w:t>
      </w:r>
      <w:r w:rsidR="00EB5A84">
        <w:t>Important to note that</w:t>
      </w:r>
      <w:r w:rsidRPr="003E6EC9">
        <w:t xml:space="preserve"> the coefficient on task displacement in their baseline wage regression is -1.31 (standard error 0.19), meaning that a 25-percentage-point increase in task displacement is associated with a 40% relative wage decline</w:t>
      </w:r>
      <w:r w:rsidR="00EB5A84">
        <w:t>. This result</w:t>
      </w:r>
      <w:r w:rsidRPr="003E6EC9">
        <w:t xml:space="preserve"> is robust to controlling for deindustrialisation, capital intensity, import competition, and unionisation</w:t>
      </w:r>
      <w:r w:rsidR="00EB5A84">
        <w:t xml:space="preserve"> [1</w:t>
      </w:r>
      <w:r w:rsidR="00874051">
        <w:t>5</w:t>
      </w:r>
      <w:r w:rsidR="00EB5A84">
        <w:t>]</w:t>
      </w:r>
      <w:r w:rsidRPr="003E6EC9">
        <w:t>. This finding also aligns with their robots literature, where one additional robot per thousand workers reduces aggregate wages by 0.42%</w:t>
      </w:r>
      <w:r>
        <w:t xml:space="preserve"> [1</w:t>
      </w:r>
      <w:r w:rsidR="00C714E2">
        <w:t>6</w:t>
      </w:r>
      <w:r>
        <w:t>]</w:t>
      </w:r>
      <w:r w:rsidRPr="003E6EC9">
        <w:t>.</w:t>
      </w:r>
    </w:p>
    <w:p w14:paraId="314C2148" w14:textId="12E76988" w:rsidR="00E70D48" w:rsidRDefault="00E70D48" w:rsidP="00BB0164">
      <w:pPr>
        <w:pStyle w:val="Thesisbody"/>
      </w:pPr>
      <w:r w:rsidRPr="00E70D48">
        <w:t xml:space="preserve">The framework's second wage mechanism is a productivity effect: by lowering production costs, automation expands industry output and raises labour demand in non-automated tasks. However, Acemoglu is explicit that this productivity benefit, while real, is </w:t>
      </w:r>
      <w:r w:rsidRPr="00E70D48">
        <w:lastRenderedPageBreak/>
        <w:t>typically modest relative to the displacement effect when automation is rapid and targeted. In the full general-equilibrium model, task displacement generates only a cumulative 3.4% Total Factor Productivity (TFP) gain over 1980</w:t>
      </w:r>
      <w:r>
        <w:t>-</w:t>
      </w:r>
      <w:r w:rsidRPr="00E70D48">
        <w:t xml:space="preserve">2016, while simultaneously producing a predicted 8.8% real wage decline for high-school dropout men. GDP and average wages grow far more slowly than the displacement-driven wage </w:t>
      </w:r>
      <w:r w:rsidRPr="00344289">
        <w:t>losses for affected groups accumulate</w:t>
      </w:r>
      <w:r w:rsidR="0059477A" w:rsidRPr="00344289">
        <w:t xml:space="preserve"> [</w:t>
      </w:r>
      <w:r w:rsidR="00C714E2" w:rsidRPr="00344289">
        <w:t>15</w:t>
      </w:r>
      <w:r w:rsidR="0059477A" w:rsidRPr="00344289">
        <w:t>]</w:t>
      </w:r>
      <w:r w:rsidRPr="00344289">
        <w:t>. This asymmetry is confirmed at the European level by a 2025 I</w:t>
      </w:r>
      <w:r w:rsidR="002E344C" w:rsidRPr="00344289">
        <w:t>nternational Monetary Fund (IMF) w</w:t>
      </w:r>
      <w:r w:rsidRPr="00344289">
        <w:t xml:space="preserve">orking </w:t>
      </w:r>
      <w:r w:rsidR="002E344C" w:rsidRPr="00344289">
        <w:t>p</w:t>
      </w:r>
      <w:r w:rsidRPr="00344289">
        <w:t xml:space="preserve">aper </w:t>
      </w:r>
      <w:r w:rsidR="00BB4E69" w:rsidRPr="00344289">
        <w:t>“Artificial Intelligence and Productivity in Europe”</w:t>
      </w:r>
      <w:r w:rsidR="00586BE6" w:rsidRPr="00344289">
        <w:t xml:space="preserve"> </w:t>
      </w:r>
      <w:r w:rsidRPr="00344289">
        <w:t>applying Acemoglu's framework to 31</w:t>
      </w:r>
      <w:r w:rsidRPr="00E70D48">
        <w:t xml:space="preserve"> European countries: estimated cumulative medium-term TFP gains from AI adoption average only around 1.1% over five years, and vary from approximately 0.5% in lower-income economies such as Romania to close to 2% in Luxembourg</w:t>
      </w:r>
      <w:r w:rsidR="00E76979">
        <w:t xml:space="preserve">, </w:t>
      </w:r>
      <w:r w:rsidRPr="00E70D48">
        <w:t xml:space="preserve">meaning that productivity gains are not only modest in absolute terms, but are systematically larger where wage levels and cognitive-sector concentration are already highest. The productivity benefit is therefore shared broadly but thinly across all workers and households, while wage losses are concentrated precisely on those whose tasks are </w:t>
      </w:r>
      <w:r w:rsidRPr="001A4C87">
        <w:t>automated</w:t>
      </w:r>
      <w:r w:rsidR="00E76979" w:rsidRPr="001A4C87">
        <w:t xml:space="preserve"> [</w:t>
      </w:r>
      <w:r w:rsidR="001A4C87" w:rsidRPr="001A4C87">
        <w:t>1</w:t>
      </w:r>
      <w:r w:rsidR="00946687">
        <w:t>7</w:t>
      </w:r>
      <w:r w:rsidR="00E76979" w:rsidRPr="001A4C87">
        <w:t>].</w:t>
      </w:r>
      <w:r w:rsidR="00E76979">
        <w:t xml:space="preserve">  </w:t>
      </w:r>
      <w:r w:rsidRPr="00E70D48">
        <w:t xml:space="preserve"> </w:t>
      </w:r>
    </w:p>
    <w:p w14:paraId="25F6D77C" w14:textId="513312E9" w:rsidR="005D7498" w:rsidRDefault="005D7498" w:rsidP="00BB0164">
      <w:pPr>
        <w:pStyle w:val="Thesisbody"/>
      </w:pPr>
      <w:r w:rsidRPr="002F54DE">
        <w:t xml:space="preserve">However, the displacement effect is not, the end of the story. In </w:t>
      </w:r>
      <w:r w:rsidR="00DF0878" w:rsidRPr="002F54DE">
        <w:t>“</w:t>
      </w:r>
      <w:r w:rsidRPr="002F54DE">
        <w:t>The Simple Macroeconomics of AI</w:t>
      </w:r>
      <w:r w:rsidR="00DF0878" w:rsidRPr="002F54DE">
        <w:t xml:space="preserve">”, </w:t>
      </w:r>
      <w:r w:rsidRPr="002F54DE">
        <w:t xml:space="preserve"> Acemoglu and Restrepo introduce a third mechanism, the reinstatement effect, whereby technological change creates entirely new, labour-intensive tasks that did not previously exist. New tasks are theoretically critical because they directly expand a worker group's task share</w:t>
      </w:r>
      <w:r w:rsidR="00DF0878" w:rsidRPr="002F54DE">
        <w:t xml:space="preserve">, </w:t>
      </w:r>
      <w:r w:rsidRPr="002F54DE">
        <w:t>raise labour's marginal product, and increase labour's share of national income. The wage equation in the model shows formally that the creation of new tasks always increases wages and raises the labour share</w:t>
      </w:r>
      <w:r w:rsidRPr="007B3D10">
        <w:t>, in direct contrast to automation, which compresses both</w:t>
      </w:r>
      <w:r w:rsidR="00E3498A" w:rsidRPr="007B3D10">
        <w:t xml:space="preserve"> [18]</w:t>
      </w:r>
      <w:r w:rsidRPr="007B3D10">
        <w:t xml:space="preserve">. </w:t>
      </w:r>
      <w:r w:rsidR="00DF0878" w:rsidRPr="007B3D10">
        <w:t xml:space="preserve">Moreover, </w:t>
      </w:r>
      <w:r w:rsidRPr="007B3D10">
        <w:t>the</w:t>
      </w:r>
      <w:r w:rsidR="007654E0" w:rsidRPr="007B3D10">
        <w:t xml:space="preserve"> </w:t>
      </w:r>
      <w:r w:rsidR="006D794C" w:rsidRPr="007B3D10">
        <w:t>authors</w:t>
      </w:r>
      <w:r w:rsidR="007654E0" w:rsidRPr="007B3D10">
        <w:t xml:space="preserve"> from </w:t>
      </w:r>
      <w:r w:rsidR="007B3D10">
        <w:t xml:space="preserve">IMF </w:t>
      </w:r>
      <w:r w:rsidR="007654E0" w:rsidRPr="007B3D10">
        <w:t>“Gen-AI: Artificial Intelligence and the Future of Work”</w:t>
      </w:r>
      <w:r w:rsidRPr="007B3D10">
        <w:t xml:space="preserve"> </w:t>
      </w:r>
      <w:r w:rsidR="007654E0" w:rsidRPr="007B3D10">
        <w:t xml:space="preserve"> work</w:t>
      </w:r>
      <w:r w:rsidRPr="007B3D10">
        <w:t xml:space="preserve"> independently validates this mechanism by distinguishing between AI exposure and AI comp</w:t>
      </w:r>
      <w:r w:rsidRPr="002F54DE">
        <w:t>lementarity across 142 countries: in occupations where AI complements rather than substitutes human labour</w:t>
      </w:r>
      <w:r w:rsidR="00DF0878" w:rsidRPr="002F54DE">
        <w:t xml:space="preserve">, </w:t>
      </w:r>
      <w:r w:rsidRPr="002F54DE">
        <w:t>primarily high-skill, cognitively intensive roles</w:t>
      </w:r>
      <w:r w:rsidR="00DF0878" w:rsidRPr="002F54DE">
        <w:t xml:space="preserve">, </w:t>
      </w:r>
      <w:r w:rsidRPr="002F54DE">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t xml:space="preserve"> [</w:t>
      </w:r>
      <w:r w:rsidR="001A4C87">
        <w:t>1</w:t>
      </w:r>
      <w:r w:rsidR="00E3498A">
        <w:t>9</w:t>
      </w:r>
      <w:r w:rsidR="00DF0878" w:rsidRPr="002F54DE">
        <w:t>]</w:t>
      </w:r>
      <w:r w:rsidRPr="002F54DE">
        <w:t xml:space="preserve">. </w:t>
      </w:r>
    </w:p>
    <w:p w14:paraId="6A9466FF" w14:textId="733E423F" w:rsidR="004F75F5" w:rsidRPr="004A6596" w:rsidRDefault="007D5C0D" w:rsidP="007D5C0D">
      <w:pPr>
        <w:pStyle w:val="Thesisheading2"/>
      </w:pPr>
      <w:bookmarkStart w:id="8" w:name="_Toc229943322"/>
      <w:r>
        <w:lastRenderedPageBreak/>
        <w:t>1.3.</w:t>
      </w:r>
      <w:r w:rsidR="00EA4CB5">
        <w:t xml:space="preserve"> </w:t>
      </w:r>
      <w:r w:rsidR="004A6596" w:rsidRPr="004A6596">
        <w:t>Research Hypothesis in the Contemporary AI Labour Market</w:t>
      </w:r>
      <w:bookmarkEnd w:id="8"/>
    </w:p>
    <w:p w14:paraId="45A5CE92" w14:textId="15C574AC" w:rsidR="000F1CEB" w:rsidRDefault="00652909" w:rsidP="00BB0164">
      <w:pPr>
        <w:pStyle w:val="Thesisbody"/>
      </w:pPr>
      <w:r>
        <w:t>Overall, t</w:t>
      </w:r>
      <w:r w:rsidR="003B0112" w:rsidRPr="008615BB">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572DB85D" w14:textId="7CE96E46" w:rsidR="003B0112" w:rsidRPr="006B59C6" w:rsidRDefault="002F54DE" w:rsidP="00BB0164">
      <w:pPr>
        <w:pStyle w:val="Thesisbody"/>
        <w:rPr>
          <w:highlight w:val="yellow"/>
        </w:rPr>
      </w:pPr>
      <w:r>
        <w:t>Turning to the contemporary AI labour market, t</w:t>
      </w:r>
      <w:r w:rsidR="00C83A31" w:rsidRPr="00C83A31">
        <w:t>he earliest cross-country signal comes from the OECD's vacancy analysis</w:t>
      </w:r>
      <w:r w:rsidR="00C83A31">
        <w:t xml:space="preserve"> report</w:t>
      </w:r>
      <w:r w:rsidR="00C83A31" w:rsidRPr="00C83A31">
        <w:t xml:space="preserve"> </w:t>
      </w:r>
      <w:r w:rsidR="00C83A31">
        <w:t xml:space="preserve">“Emerging Trends in AI Skill Demand Across 14 OECD  Countries”,  confirming that </w:t>
      </w:r>
      <w:r w:rsidR="00C83A31" w:rsidRPr="00C83A31">
        <w:t>between 2019 and 2022, the share of online job postings requiring AI skills grew by an average of 33%, with Machine Learning skills demanded in 29</w:t>
      </w:r>
      <w:r w:rsidR="00C83A31">
        <w:t>-</w:t>
      </w:r>
      <w:r w:rsidR="00C83A31" w:rsidRPr="00C83A31">
        <w:t>39% of all AI-related vacancies, and approximately 73% of AI postings in European countries targeting professional-level roles</w:t>
      </w:r>
      <w:r w:rsidR="00C83A31">
        <w:t xml:space="preserve"> [</w:t>
      </w:r>
      <w:r w:rsidR="00837E64">
        <w:t>20</w:t>
      </w:r>
      <w:r w:rsidR="00C83A31">
        <w:t>]</w:t>
      </w:r>
      <w:r w:rsidR="00C83A31" w:rsidRPr="00C83A31">
        <w:t>. This structural demand for AI-complementary human capital was already outpacing general labour market growth before the generative AI wave. PwC's </w:t>
      </w:r>
      <w:r w:rsidR="00C83A31" w:rsidRPr="00BE1D66">
        <w:t>2024 Global AI Jobs Barometer,</w:t>
      </w:r>
      <w:r w:rsidR="00C83A31" w:rsidRPr="00C83A31">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t xml:space="preserve"> [2</w:t>
      </w:r>
      <w:r w:rsidR="00837E64">
        <w:t>1</w:t>
      </w:r>
      <w:r w:rsidR="00BE1D66">
        <w:t xml:space="preserve">]. </w:t>
      </w:r>
      <w:r w:rsidR="0031789C" w:rsidRPr="0031789C">
        <w:t>This constitutes</w:t>
      </w:r>
      <w:r w:rsidR="0031789C">
        <w:rPr>
          <w:i/>
          <w:iCs/>
        </w:rPr>
        <w:t xml:space="preserve"> </w:t>
      </w:r>
      <w:r w:rsidR="00C83A31" w:rsidRPr="00C83A31">
        <w:t>a direct empirical signal of the wage-enhancing reinstatement effect predicted by the Acemoglu</w:t>
      </w:r>
      <w:r w:rsidR="00F62002">
        <w:t xml:space="preserve"> and </w:t>
      </w:r>
      <w:r w:rsidR="00C83A31" w:rsidRPr="00C83A31">
        <w:t xml:space="preserve">Restrepo framework. The longer structural </w:t>
      </w:r>
      <w:r w:rsidR="00F62002">
        <w:t>evidence</w:t>
      </w:r>
      <w:r w:rsidR="00C83A31" w:rsidRPr="00C83A31">
        <w:t xml:space="preserve"> is documented by </w:t>
      </w:r>
      <w:r w:rsidR="00F62002">
        <w:t xml:space="preserve">Rosie </w:t>
      </w:r>
      <w:r w:rsidR="00C83A31" w:rsidRPr="00C83A31">
        <w:t>Hood for the OECD.AI Policy Observatory,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6E1C7D">
        <w:t xml:space="preserve"> [2</w:t>
      </w:r>
      <w:r w:rsidR="00837E64">
        <w:t>2</w:t>
      </w:r>
      <w:r w:rsidR="006E1C7D">
        <w:t>]</w:t>
      </w:r>
      <w:r w:rsidR="00C83A31" w:rsidRPr="00C83A31">
        <w:t>. By 2024</w:t>
      </w:r>
      <w:r w:rsidR="00F62002">
        <w:t>-</w:t>
      </w:r>
      <w:r w:rsidR="00C83A31" w:rsidRPr="00C83A31">
        <w:t>2025, the acceleration became visible in aggregate hiring flows: according to LinkedIn's </w:t>
      </w:r>
      <w:r w:rsidR="00C83A31" w:rsidRPr="006E1C7D">
        <w:t>2025 Future of Work Report</w:t>
      </w:r>
      <w:r w:rsidR="00C83A31" w:rsidRPr="00C83A31">
        <w:t>, AI-related job postings surged by 38% between 2020 and 2024, and the global economy added over 1.3 million new AI-related roles</w:t>
      </w:r>
      <w:r w:rsidR="00543585">
        <w:t xml:space="preserve">, </w:t>
      </w:r>
      <w:r w:rsidR="00C83A31" w:rsidRPr="00C83A31">
        <w:t>including AI engineers, forward-deployed engineers, and data annotators</w:t>
      </w:r>
      <w:r w:rsidR="00543585">
        <w:t xml:space="preserve">, </w:t>
      </w:r>
      <w:r w:rsidR="00C83A31" w:rsidRPr="00C83A31">
        <w:t>within just two years</w:t>
      </w:r>
      <w:r w:rsidR="001324E6">
        <w:t xml:space="preserve"> [2</w:t>
      </w:r>
      <w:r w:rsidR="00837E64">
        <w:t>3</w:t>
      </w:r>
      <w:r w:rsidR="001324E6">
        <w:t>]</w:t>
      </w:r>
      <w:r w:rsidR="001324E6" w:rsidRPr="00C83A31">
        <w:t>.</w:t>
      </w:r>
      <w:r w:rsidR="00C83A31" w:rsidRPr="00C83A31">
        <w:t xml:space="preserve"> Notably, the reinstatement frontier is not confined to technically trained workers: roles such as AI trainer, prompt engineer, and AI product manager have emerged as accessible entry points requiring no coding expertise. The sectoral concentration of this reinstatement, however, remains highly uneven</w:t>
      </w:r>
      <w:r w:rsidR="001324E6">
        <w:t xml:space="preserve">. </w:t>
      </w:r>
      <w:r w:rsidR="00F62002">
        <w:t xml:space="preserve">Taking data for the European zone, </w:t>
      </w:r>
      <w:r w:rsidR="00C83A31" w:rsidRPr="00C83A31">
        <w:t xml:space="preserve">Eurostat data for 2025 show that 71% of non-adopting EU enterprises cite lack of relevant expertise as the primary barrier to AI adoption, confirming that the </w:t>
      </w:r>
      <w:r w:rsidR="00C83A31" w:rsidRPr="00C83A31">
        <w:lastRenderedPageBreak/>
        <w:t xml:space="preserve">reinstatement </w:t>
      </w:r>
      <w:r w:rsidR="00C83A31" w:rsidRPr="006B59C6">
        <w:t>effect is conditional</w:t>
      </w:r>
      <w:r w:rsidR="004E1C53" w:rsidRPr="006B59C6">
        <w:t>. I</w:t>
      </w:r>
      <w:r w:rsidR="00C83A31" w:rsidRPr="006B59C6">
        <w:t>ts wage benefits acc</w:t>
      </w:r>
      <w:r w:rsidR="006E4850" w:rsidRPr="006B59C6">
        <w:t>um</w:t>
      </w:r>
      <w:r w:rsidR="008A1680" w:rsidRPr="006B59C6">
        <w:t>u</w:t>
      </w:r>
      <w:r w:rsidR="006E4850" w:rsidRPr="006B59C6">
        <w:t>late</w:t>
      </w:r>
      <w:r w:rsidR="00C83A31" w:rsidRPr="006B59C6">
        <w:t xml:space="preserve"> only to sectors that have already invested in the digital human capital required to occupy the new task frontier</w:t>
      </w:r>
      <w:r w:rsidR="00D43651" w:rsidRPr="006B59C6">
        <w:t xml:space="preserve"> [2</w:t>
      </w:r>
      <w:r w:rsidR="00837E64">
        <w:t>4</w:t>
      </w:r>
      <w:r w:rsidR="00D43651" w:rsidRPr="006B59C6">
        <w:t>]</w:t>
      </w:r>
      <w:r w:rsidR="00C83A31" w:rsidRPr="006B59C6">
        <w:t>.</w:t>
      </w:r>
    </w:p>
    <w:p w14:paraId="3577D248" w14:textId="52D838A5" w:rsidR="00105114" w:rsidRDefault="006B59C6" w:rsidP="00BB0164">
      <w:pPr>
        <w:pStyle w:val="Thesisbody"/>
      </w:pPr>
      <w:r w:rsidRPr="00837E64">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t xml:space="preserve"> </w:t>
      </w:r>
    </w:p>
    <w:p w14:paraId="296D3BB6" w14:textId="6C84FDD8" w:rsidR="00105114" w:rsidRDefault="00C54A4B" w:rsidP="00BB0164">
      <w:pPr>
        <w:pStyle w:val="Thesisbody"/>
      </w:pPr>
      <w:r w:rsidRPr="00C54A4B">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sharply differentiated by education and skill. </w:t>
      </w:r>
      <w:r w:rsidR="00694668">
        <w:t>As was discussed before, a</w:t>
      </w:r>
      <w:r w:rsidR="003104F4">
        <w:t>uthors</w:t>
      </w:r>
      <w:r w:rsidRPr="00C54A4B">
        <w:t xml:space="preserve"> application of Acemoglu's framework</w:t>
      </w:r>
      <w:r w:rsidR="00997F77">
        <w:t xml:space="preserve"> in </w:t>
      </w:r>
      <w:r w:rsidR="003104F4">
        <w:t xml:space="preserve">work </w:t>
      </w:r>
      <w:r w:rsidR="00997F77">
        <w:t>“Artificial Intelligence and Productivity in Europe”</w:t>
      </w:r>
      <w:r w:rsidRPr="00C54A4B">
        <w:t xml:space="preserve"> to 31 European countries further establishes that the productivity gains from AI adoption across the 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837E64">
        <w:t xml:space="preserve"> [17]</w:t>
      </w:r>
      <w:r w:rsidRPr="00C54A4B">
        <w:t xml:space="preserve"> </w:t>
      </w:r>
      <w:r w:rsidR="00F149B4">
        <w:t>. This is</w:t>
      </w:r>
      <w:r w:rsidRPr="00C54A4B">
        <w:t xml:space="preserve"> the moderating relationship that this </w:t>
      </w:r>
      <w:r w:rsidR="00F149B4">
        <w:t xml:space="preserve">work’s </w:t>
      </w:r>
      <w:r w:rsidRPr="00C54A4B">
        <w:t>empirical model is designed to measure at a finer sectoral level.</w:t>
      </w:r>
    </w:p>
    <w:p w14:paraId="27A71A82" w14:textId="5193D407" w:rsidR="00C54A4B" w:rsidRPr="00C54A4B" w:rsidRDefault="00C54A4B" w:rsidP="00BB0164">
      <w:pPr>
        <w:pStyle w:val="Thesisbody"/>
      </w:pPr>
      <w:r w:rsidRPr="00C54A4B">
        <w:t xml:space="preserve">At the micro-empirical level, the most directly relevant European study is </w:t>
      </w:r>
      <w:r w:rsidR="00997F77">
        <w:t xml:space="preserve">Karol </w:t>
      </w:r>
      <w:r w:rsidRPr="00C54A4B">
        <w:t xml:space="preserve">Madoń </w:t>
      </w:r>
      <w:r w:rsidR="00997F77">
        <w:t>“The Relationship Between Artificial Intelligence (AI) exposure and returns to education”</w:t>
      </w:r>
      <w:r w:rsidRPr="00C54A4B">
        <w:t>, who uses the 2018 EU Structure of Earnings Survey across 21 European countries to estimate Mincerian wage regressions as a function of occupational AI exposure, skill level, and sector and country fixed effects</w:t>
      </w:r>
      <w:r w:rsidR="00326A5F">
        <w:t xml:space="preserve"> [</w:t>
      </w:r>
      <w:r w:rsidR="00354E4F">
        <w:t>25</w:t>
      </w:r>
      <w:r w:rsidR="00326A5F">
        <w:t>]</w:t>
      </w:r>
      <w:r w:rsidRPr="00C54A4B">
        <w:t>. His findings establish three results that directly motivate the present study's research design. First, overall AI exposure is positively associated with wages (coefficient 0.082</w:t>
      </w:r>
      <w:r w:rsidR="00EC6298">
        <w:t>-</w:t>
      </w:r>
      <w:r w:rsidRPr="00C54A4B">
        <w:t>0.091 log points per standard deviation of exposure)</w:t>
      </w:r>
      <w:r w:rsidR="00B532AD">
        <w:t xml:space="preserve">. However, </w:t>
      </w:r>
      <w:r w:rsidRPr="00C54A4B">
        <w:t xml:space="preserve"> this positive relationship is driven almost entirely by high-skilled, tertiary-educated workers, for whom returns to AI-related skills reach 0.15</w:t>
      </w:r>
      <w:r w:rsidR="00B532AD">
        <w:t>-</w:t>
      </w:r>
      <w:r w:rsidRPr="00C54A4B">
        <w:t>0.43 log points</w:t>
      </w:r>
      <w:r w:rsidR="00B532AD">
        <w:t xml:space="preserve">, </w:t>
      </w:r>
      <w:r w:rsidRPr="00C54A4B">
        <w:t xml:space="preserve"> compared to 0.09</w:t>
      </w:r>
      <w:r w:rsidR="00B532AD">
        <w:t>-</w:t>
      </w:r>
      <w:r w:rsidRPr="00C54A4B">
        <w:t>0.14 for secondary-educated workers</w:t>
      </w:r>
      <w:r w:rsidR="00B532AD">
        <w:t>. This confirms</w:t>
      </w:r>
      <w:r w:rsidRPr="00C54A4B">
        <w:t xml:space="preserve"> that human capital is the binding constraint on whether AI </w:t>
      </w:r>
      <w:r w:rsidR="00CC693E">
        <w:t>adoption</w:t>
      </w:r>
      <w:r w:rsidRPr="00C54A4B">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w:t>
      </w:r>
      <w:r w:rsidRPr="00C54A4B">
        <w:lastRenderedPageBreak/>
        <w:t xml:space="preserve">the wage effect of AI adoption is conditional on the intensity of adoption rather than its mere presence. Third, </w:t>
      </w:r>
      <w:r w:rsidR="00CC693E">
        <w:t>important</w:t>
      </w:r>
      <w:r w:rsidRPr="00C54A4B">
        <w:t xml:space="preserve"> for the EU context, AI-related wage </w:t>
      </w:r>
      <w:r w:rsidR="00CC693E">
        <w:t>bonuses</w:t>
      </w:r>
      <w:r w:rsidRPr="00C54A4B">
        <w:t xml:space="preserve"> are significantly higher in Eastern European countries than in Western European countries</w:t>
      </w:r>
      <w:r w:rsidR="00CC693E">
        <w:t>. This</w:t>
      </w:r>
      <w:r w:rsidRPr="00C54A4B">
        <w:t xml:space="preserve"> result </w:t>
      </w:r>
      <w:r w:rsidR="00EC6298">
        <w:t>the author</w:t>
      </w:r>
      <w:r w:rsidRPr="00C54A4B">
        <w:t xml:space="preserve"> </w:t>
      </w:r>
      <w:r w:rsidR="00CC693E">
        <w:t>explains</w:t>
      </w:r>
      <w:r w:rsidRPr="00C54A4B">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p>
    <w:p w14:paraId="50B0B41C" w14:textId="608410C2" w:rsidR="00C54A4B" w:rsidRDefault="00C54A4B" w:rsidP="00BB0164">
      <w:pPr>
        <w:pStyle w:val="Thesisbody"/>
      </w:pPr>
      <w:r w:rsidRPr="00C54A4B">
        <w:t>However,</w:t>
      </w:r>
      <w:r w:rsidR="00EC6298">
        <w:t xml:space="preserve"> Karol</w:t>
      </w:r>
      <w:r w:rsidRPr="00C54A4B">
        <w:t xml:space="preserve"> </w:t>
      </w:r>
      <w:r w:rsidR="00EC6298" w:rsidRPr="00C54A4B">
        <w:t xml:space="preserve">Madoń </w:t>
      </w:r>
      <w:r w:rsidRPr="00C54A4B">
        <w:t>identifies a fundamental limitation of his own approach: because his data are cross-sectional and his AI exposure measures are fixed at the occupational level, he cannot distinguish the</w:t>
      </w:r>
      <w:r w:rsidRPr="00EC6298">
        <w:t> dynamic</w:t>
      </w:r>
      <w:r w:rsidRPr="00C54A4B">
        <w:t> wage effects of actual AI adoption within sectors over time from the </w:t>
      </w:r>
      <w:r w:rsidRPr="00EC6298">
        <w:t>structural </w:t>
      </w:r>
      <w:r w:rsidRPr="00C54A4B">
        <w:t xml:space="preserve">wage differences between occupations with different AI exposure profiles. This is precisely the methodological gap that the present </w:t>
      </w:r>
      <w:r w:rsidR="00EC6298">
        <w:t xml:space="preserve">work </w:t>
      </w:r>
      <w:r w:rsidRPr="00C54A4B">
        <w:t>address</w:t>
      </w:r>
      <w:r w:rsidR="004F70E3">
        <w:t xml:space="preserve">es. </w:t>
      </w:r>
      <w:r w:rsidR="004F70E3" w:rsidRPr="004F70E3">
        <w:t>Based on the theoretical and empirical evidence reviewed in this chapter, two testable hypotheses are formulated to structure the empirical analysis of this thesis</w:t>
      </w:r>
      <w:r w:rsidR="004F70E3">
        <w:t xml:space="preserve">: </w:t>
      </w:r>
    </w:p>
    <w:p w14:paraId="69B12309" w14:textId="6E817408" w:rsidR="004F70E3" w:rsidRPr="00571B2F" w:rsidRDefault="004F70E3" w:rsidP="00571B2F">
      <w:pPr>
        <w:spacing w:line="360" w:lineRule="auto"/>
        <w:jc w:val="center"/>
        <w:rPr>
          <w:rFonts w:ascii="Times New Roman" w:hAnsi="Times New Roman" w:cs="Times New Roman"/>
          <w:i/>
          <w:iCs/>
          <w:sz w:val="24"/>
          <w:szCs w:val="24"/>
        </w:rPr>
      </w:pPr>
      <w:r w:rsidRPr="00571B2F">
        <w:rPr>
          <w:rFonts w:ascii="Times New Roman" w:hAnsi="Times New Roman" w:cs="Times New Roman"/>
          <w:i/>
          <w:iCs/>
          <w:sz w:val="24"/>
          <w:szCs w:val="24"/>
        </w:rPr>
        <w:t>“</w:t>
      </w:r>
      <w:r w:rsidRPr="00571B2F">
        <w:rPr>
          <w:rFonts w:ascii="Times New Roman" w:hAnsi="Times New Roman" w:cs="Times New Roman"/>
          <w:b/>
          <w:bCs/>
          <w:i/>
          <w:iCs/>
          <w:sz w:val="24"/>
          <w:szCs w:val="24"/>
        </w:rPr>
        <w:t>H1:</w:t>
      </w:r>
      <w:r w:rsidRPr="00571B2F">
        <w:rPr>
          <w:rFonts w:ascii="Times New Roman" w:hAnsi="Times New Roman" w:cs="Times New Roman"/>
          <w:i/>
          <w:iCs/>
          <w:sz w:val="24"/>
          <w:szCs w:val="24"/>
        </w:rPr>
        <w:t xml:space="preserve"> Withing-sector increases in AI adoption are associated with </w:t>
      </w:r>
      <w:r w:rsidR="00CC43EB">
        <w:rPr>
          <w:rFonts w:ascii="Times New Roman" w:hAnsi="Times New Roman" w:cs="Times New Roman"/>
          <w:i/>
          <w:iCs/>
          <w:sz w:val="24"/>
          <w:szCs w:val="24"/>
        </w:rPr>
        <w:t>lower average sectoral wages</w:t>
      </w:r>
      <w:r w:rsidRPr="00571B2F">
        <w:rPr>
          <w:rFonts w:ascii="Times New Roman" w:hAnsi="Times New Roman" w:cs="Times New Roman"/>
          <w:i/>
          <w:iCs/>
          <w:sz w:val="24"/>
          <w:szCs w:val="24"/>
        </w:rPr>
        <w:t>, and this effect is weaken</w:t>
      </w:r>
      <w:r w:rsidR="00571B2F" w:rsidRPr="00571B2F">
        <w:rPr>
          <w:rFonts w:ascii="Times New Roman" w:hAnsi="Times New Roman" w:cs="Times New Roman"/>
          <w:i/>
          <w:iCs/>
          <w:sz w:val="24"/>
          <w:szCs w:val="24"/>
        </w:rPr>
        <w:t>e</w:t>
      </w:r>
      <w:r w:rsidRPr="00571B2F">
        <w:rPr>
          <w:rFonts w:ascii="Times New Roman" w:hAnsi="Times New Roman" w:cs="Times New Roman"/>
          <w:i/>
          <w:iCs/>
          <w:sz w:val="24"/>
          <w:szCs w:val="24"/>
        </w:rPr>
        <w:t>d in sectors with greater ICT training investment”</w:t>
      </w:r>
    </w:p>
    <w:p w14:paraId="356CE26F" w14:textId="56DBBD73" w:rsidR="00571B2F" w:rsidRDefault="00571B2F" w:rsidP="00BB0164">
      <w:pPr>
        <w:pStyle w:val="Thesisbody"/>
      </w:pPr>
      <w:r w:rsidRPr="00571B2F">
        <w:t>The first hypothesis concerns the within-sector, dynamic dimension of the AI</w:t>
      </w:r>
      <w:r w:rsidR="00CC43EB">
        <w:t>-</w:t>
      </w:r>
      <w:r w:rsidRPr="00571B2F">
        <w:t xml:space="preserve">wage relationship. Drawing on the displacement mechanism established by Acemoglu and Restrepo, it is hypothesised that increases in AI adoption within a given sector over time are associated with downward wage pressure, and that this displacement effect is </w:t>
      </w:r>
      <w:r w:rsidR="00CC43EB">
        <w:t>weakened</w:t>
      </w:r>
      <w:r w:rsidRPr="00571B2F">
        <w:t xml:space="preserve"> in sectors where investment in ICT training is higher. </w:t>
      </w:r>
    </w:p>
    <w:p w14:paraId="64A3F8FE" w14:textId="0775D8A2" w:rsidR="00CC43EB" w:rsidRPr="00CC43EB" w:rsidRDefault="00CC43EB" w:rsidP="00CC43EB">
      <w:pPr>
        <w:spacing w:line="360" w:lineRule="auto"/>
        <w:jc w:val="center"/>
        <w:rPr>
          <w:rFonts w:ascii="Times New Roman" w:hAnsi="Times New Roman" w:cs="Times New Roman"/>
          <w:i/>
          <w:iCs/>
          <w:sz w:val="24"/>
          <w:szCs w:val="24"/>
        </w:rPr>
      </w:pPr>
      <w:r w:rsidRPr="00CC43EB">
        <w:rPr>
          <w:rFonts w:ascii="Times New Roman" w:hAnsi="Times New Roman" w:cs="Times New Roman"/>
          <w:i/>
          <w:iCs/>
          <w:sz w:val="24"/>
          <w:szCs w:val="24"/>
        </w:rPr>
        <w:t>“</w:t>
      </w:r>
      <w:r w:rsidRPr="00CC43EB">
        <w:rPr>
          <w:rFonts w:ascii="Times New Roman" w:hAnsi="Times New Roman" w:cs="Times New Roman"/>
          <w:b/>
          <w:bCs/>
          <w:i/>
          <w:iCs/>
          <w:sz w:val="24"/>
          <w:szCs w:val="24"/>
        </w:rPr>
        <w:t>H2</w:t>
      </w:r>
      <w:r w:rsidRPr="00CC43EB">
        <w:rPr>
          <w:rFonts w:ascii="Times New Roman" w:hAnsi="Times New Roman" w:cs="Times New Roman"/>
          <w:i/>
          <w:iCs/>
          <w:sz w:val="24"/>
          <w:szCs w:val="24"/>
        </w:rPr>
        <w:t>: Sectors with structurally higher AI adoption exhibit higher average wages, reflecting long-run reinstatement gains, though this positive wage premium diminishes as sectoral ICT capacity increases”</w:t>
      </w:r>
    </w:p>
    <w:p w14:paraId="2F9CC3D0" w14:textId="1CE58CC3" w:rsidR="00CC43EB" w:rsidRPr="00CC43EB" w:rsidRDefault="00CC43EB" w:rsidP="00BB0164">
      <w:pPr>
        <w:pStyle w:val="Thesisbody"/>
      </w:pPr>
      <w:r w:rsidRPr="00CC43EB">
        <w:t>The second hypothesis concerns the between-sector, structural dimension. Drawing on the reinstatement mechanism and the complementarity evidence from the IMF</w:t>
      </w:r>
      <w:r w:rsidR="00D87B89">
        <w:t xml:space="preserve"> works</w:t>
      </w:r>
      <w:r w:rsidRPr="00CC43EB">
        <w:t xml:space="preserve"> and</w:t>
      </w:r>
      <w:r w:rsidR="00D87B89">
        <w:t xml:space="preserve"> Karol</w:t>
      </w:r>
      <w:r w:rsidRPr="00CC43EB">
        <w:t xml:space="preserve"> Madoń, it is hypothesised that sectors structurally more advanced in AI adoption pay higher wages on average, reflecting a long-run reinstatement equilibrium, but that this structural wage premium diminishes at higher levels of sectoral ICT capacity, consistent with diminishing marginal complementarity.</w:t>
      </w:r>
    </w:p>
    <w:p w14:paraId="57C7AA51" w14:textId="4D82C814" w:rsidR="00C54A4B" w:rsidRPr="003B0112" w:rsidRDefault="00CC43EB" w:rsidP="00BB0164">
      <w:pPr>
        <w:pStyle w:val="Thesisbody"/>
      </w:pPr>
      <w:r w:rsidRPr="00CC43EB">
        <w:lastRenderedPageBreak/>
        <w:t>Together, the two hypotheses capture the two distinct temporal logics embedded in the Acemoglu</w:t>
      </w:r>
      <w:r w:rsidR="00E3420F">
        <w:t>-</w:t>
      </w:r>
      <w:r w:rsidRPr="00CC43EB">
        <w:t xml:space="preserve">Restrepo framework: the short-run displacement dynamic that characterises periods of rapid automation, and the long-run reinstatement dynamic that emerges in sectors where human capital investment has kept pace with the evolving task frontier. </w:t>
      </w:r>
    </w:p>
    <w:p w14:paraId="1D4470B3" w14:textId="77777777" w:rsidR="000840F3" w:rsidRDefault="000840F3">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074C2FCB" w14:textId="58FEF2E9" w:rsidR="006342A9" w:rsidRDefault="006342A9" w:rsidP="006342A9">
      <w:pPr>
        <w:pStyle w:val="Thesisheading1"/>
      </w:pPr>
      <w:bookmarkStart w:id="9" w:name="_Toc229943323"/>
      <w:r>
        <w:lastRenderedPageBreak/>
        <w:t>CHAPTER II</w:t>
      </w:r>
      <w:bookmarkEnd w:id="9"/>
    </w:p>
    <w:p w14:paraId="5878E300" w14:textId="1CA54F37" w:rsidR="006342A9" w:rsidRPr="006342A9" w:rsidRDefault="006342A9" w:rsidP="006342A9">
      <w:pPr>
        <w:pStyle w:val="Thesisheading1"/>
      </w:pPr>
      <w:bookmarkStart w:id="10" w:name="_Toc229943324"/>
      <w:r>
        <w:t>DATA AND METHODOLOGY</w:t>
      </w:r>
      <w:bookmarkEnd w:id="10"/>
      <w:r>
        <w:t xml:space="preserve"> </w:t>
      </w:r>
    </w:p>
    <w:p w14:paraId="2D5928F5" w14:textId="0847F76E" w:rsidR="0060015D" w:rsidRPr="0060015D" w:rsidRDefault="006342A9" w:rsidP="00570ECB">
      <w:pPr>
        <w:pStyle w:val="Thesisheading2"/>
      </w:pPr>
      <w:bookmarkStart w:id="11" w:name="_Toc229943325"/>
      <w:r>
        <w:t>2.1. Data Sources and Sample Construction</w:t>
      </w:r>
      <w:bookmarkEnd w:id="11"/>
      <w:r>
        <w:t xml:space="preserve"> </w:t>
      </w:r>
    </w:p>
    <w:p w14:paraId="49F16427" w14:textId="6293D439" w:rsidR="009F776D" w:rsidRDefault="000E2B10" w:rsidP="00B17530">
      <w:pPr>
        <w:pStyle w:val="Thesisbody"/>
      </w:pPr>
      <w:r w:rsidRPr="009F776D">
        <w:t>The selection of variables is governed by two factors: the theoretical and empirical requirements needed to test the hypothesis</w:t>
      </w:r>
      <w:r w:rsidR="000801AF" w:rsidRPr="009F776D">
        <w:t>,</w:t>
      </w:r>
      <w:r w:rsidRPr="009F776D">
        <w:t xml:space="preserve"> and the availability of harmonised, comparable data at the country–sector–year level across EU member states.</w:t>
      </w:r>
      <w:r w:rsidR="004B2C8B" w:rsidRPr="009F776D">
        <w:t xml:space="preserve"> </w:t>
      </w:r>
      <w:r w:rsidR="000801AF" w:rsidRPr="009F776D">
        <w:t>The dependent variable is the real wages, measured as wages and salaries per employee in full-time equivalents</w:t>
      </w:r>
      <w:r w:rsidR="00A532CE">
        <w:t xml:space="preserve"> in EUR/hour</w:t>
      </w:r>
      <w:r w:rsidR="000801AF" w:rsidRPr="009F776D">
        <w:t>. Variable selection for AI adoption and ICT follows the research framework of</w:t>
      </w:r>
      <w:r w:rsidR="00D778D2" w:rsidRPr="009F776D">
        <w:t xml:space="preserve"> Karol</w:t>
      </w:r>
      <w:r w:rsidR="000801AF" w:rsidRPr="009F776D">
        <w:t xml:space="preserve"> Madoń, who demonstrates a positive and heterogeneous association between AI exposure and wages across European countries, concentrated among high-skilled workers and sectors with greater ICT penetration [</w:t>
      </w:r>
      <w:r w:rsidR="00012450">
        <w:t>25</w:t>
      </w:r>
      <w:r w:rsidR="000801AF" w:rsidRPr="009F776D">
        <w:t>]. This motivates the inclusion of three complementary technology measures:</w:t>
      </w:r>
      <w:r w:rsidR="00D778D2" w:rsidRPr="009F776D">
        <w:t xml:space="preserve"> AI adoption, ICT specialist and ICT training. </w:t>
      </w:r>
      <w:r w:rsidR="005F3D1E">
        <w:t>AI adoption is a</w:t>
      </w:r>
      <w:r w:rsidR="00D778D2" w:rsidRPr="009F776D">
        <w:t xml:space="preserve"> share of enterprises in a given country–sector–year cell using at least one AI technology (Eurostat: isoc_eb_ain2), expressed as a percentage of enterprises. This variable serves as the primary treatment variable. It directly captures firm-level uptake rather than occupational exposure, addressing the limitation noted by Karol Madoń that purely task-based AI exposure measures do not reflect actual organisational </w:t>
      </w:r>
      <w:r w:rsidR="00D778D2" w:rsidRPr="00012450">
        <w:t>adoption [</w:t>
      </w:r>
      <w:r w:rsidR="00012450" w:rsidRPr="00012450">
        <w:t>25</w:t>
      </w:r>
      <w:r w:rsidR="00D778D2" w:rsidRPr="00012450">
        <w:t>].</w:t>
      </w:r>
      <w:r w:rsidR="00353FEA" w:rsidRPr="009F776D">
        <w:t xml:space="preserve"> </w:t>
      </w:r>
      <w:r w:rsidR="009F776D" w:rsidRPr="009F776D">
        <w:t>Next variable is the percentage of enterprises employing ICT/IT specialists (Eurostat: isoc_ske_itspen2). This variable captures the stock of technology-complementary human capital within a sector.</w:t>
      </w:r>
      <w:r w:rsidR="009F776D" w:rsidRPr="006409FF">
        <w:t xml:space="preserve"> </w:t>
      </w:r>
      <w:r w:rsidR="006409FF" w:rsidRPr="006409FF">
        <w:t xml:space="preserve">The inclusion of ICT specialist intensity is justified by the task-based framework established by Autor, Levy, and Murnane </w:t>
      </w:r>
      <w:r w:rsidR="006409FF">
        <w:t>in their work “The skill content of recent technological change: the empirical exploration”</w:t>
      </w:r>
      <w:r w:rsidR="006409FF" w:rsidRPr="006409FF">
        <w:t>, who demonstrate that computers complement workers in non-routine cognitive tasks while substituting for those performing routine ones</w:t>
      </w:r>
      <w:r w:rsidR="00884E91">
        <w:t xml:space="preserve"> </w:t>
      </w:r>
      <w:r w:rsidR="00884E91" w:rsidRPr="006409FF">
        <w:t>[14]</w:t>
      </w:r>
      <w:r w:rsidR="006409FF">
        <w:t>. This implies</w:t>
      </w:r>
      <w:r w:rsidR="006409FF" w:rsidRPr="006409FF">
        <w:t xml:space="preserve"> that AI is more likely to augment rather than displace workers in sectors where ICT-capable human capital is already present</w:t>
      </w:r>
      <w:r w:rsidR="00884E91">
        <w:t xml:space="preserve">. </w:t>
      </w:r>
      <w:r w:rsidR="009F776D" w:rsidRPr="009F776D">
        <w:t>The last technology measure is ICT training variable. The percentage of enterprises providing ICT training to their personnel (Eurostat: isoc_ske_ittn2), used as an alternative ICT complementarity measure in a second specification to test the robustness of the interaction channel.</w:t>
      </w:r>
    </w:p>
    <w:p w14:paraId="0B43D857" w14:textId="6DD41E98" w:rsidR="009F776D" w:rsidRPr="00F4390B" w:rsidRDefault="007A6E9C" w:rsidP="00B17530">
      <w:pPr>
        <w:pStyle w:val="Thesisbody"/>
      </w:pPr>
      <w:r w:rsidRPr="0060015D">
        <w:t xml:space="preserve">As a </w:t>
      </w:r>
      <w:r w:rsidR="00D52857" w:rsidRPr="0060015D">
        <w:t xml:space="preserve">wage </w:t>
      </w:r>
      <w:r w:rsidRPr="0060015D">
        <w:t>control variables were selected</w:t>
      </w:r>
      <w:r w:rsidR="0060015D" w:rsidRPr="0060015D">
        <w:t xml:space="preserve"> labour productivity, firm size index, share of high-skill occupations, and tertiary education rate.</w:t>
      </w:r>
      <w:r w:rsidR="0060015D">
        <w:t xml:space="preserve"> Productivity as </w:t>
      </w:r>
      <w:r w:rsidR="00DA77FD" w:rsidRPr="001C0014">
        <w:t>g</w:t>
      </w:r>
      <w:r w:rsidRPr="001C0014">
        <w:t>ross</w:t>
      </w:r>
      <w:r w:rsidRPr="007A6E9C">
        <w:t xml:space="preserve"> value added per employee (Eurostat</w:t>
      </w:r>
      <w:r>
        <w:t>:</w:t>
      </w:r>
      <w:r w:rsidRPr="007A6E9C">
        <w:t xml:space="preserve"> nama_10_a64_e) is included as the most direct structural control for wage differences across sectors and countries. The </w:t>
      </w:r>
      <w:r w:rsidR="008B6251" w:rsidRPr="008B6251">
        <w:t xml:space="preserve">IMF “Artificial Intelligence and Productivity in </w:t>
      </w:r>
      <w:r w:rsidR="008B6251" w:rsidRPr="008B6251">
        <w:lastRenderedPageBreak/>
        <w:t xml:space="preserve">Europe” </w:t>
      </w:r>
      <w:r w:rsidRPr="008B6251">
        <w:t>paper confirms that productivity effects are the primary theoretical mechanism through which AI g</w:t>
      </w:r>
      <w:r w:rsidRPr="007A6E9C">
        <w:t>enerates wage gains at the macro level: higher AI adoption rates increase total factor productivity, and under competitive labour markets this gain is partially passed through to wa</w:t>
      </w:r>
      <w:r w:rsidRPr="008B6251">
        <w:t>ges [</w:t>
      </w:r>
      <w:r w:rsidR="008B6251">
        <w:t>17</w:t>
      </w:r>
      <w:r w:rsidRPr="008B6251">
        <w:t>]. Excluding</w:t>
      </w:r>
      <w:r w:rsidRPr="007A6E9C">
        <w:t xml:space="preserve"> productivity would risk attributing to AI adoption what is in fact a productivity–wage channel. </w:t>
      </w:r>
    </w:p>
    <w:p w14:paraId="546BA033" w14:textId="71C32B04" w:rsidR="000801AF" w:rsidRDefault="00D10908" w:rsidP="00B17530">
      <w:pPr>
        <w:pStyle w:val="Thesisbody"/>
      </w:pPr>
      <w:r>
        <w:t>The variable Firm Size Index (FSI) is a</w:t>
      </w:r>
      <w:r w:rsidR="00F4390B" w:rsidRPr="00F4390B">
        <w:t xml:space="preserve"> share of employees in enterprises with 250 or more persons in total sectoral employment (Eurostat</w:t>
      </w:r>
      <w:r w:rsidR="00F4390B">
        <w:t>:</w:t>
      </w:r>
      <w:r w:rsidR="00F4390B" w:rsidRPr="00F4390B">
        <w:t> sbs_sc_ovw) controls for market structure. Larger firms tend to pay wage premia and are also more likely to be AI adopters, as the IMF</w:t>
      </w:r>
      <w:r w:rsidR="00F4390B">
        <w:t xml:space="preserve"> paper</w:t>
      </w:r>
      <w:r w:rsidR="00F4390B" w:rsidRPr="00F4390B">
        <w:t xml:space="preserve"> adoption-rate regressions show</w:t>
      </w:r>
      <w:r w:rsidR="00F4390B">
        <w:t xml:space="preserve"> [</w:t>
      </w:r>
      <w:r w:rsidR="003A6C35">
        <w:t>17</w:t>
      </w:r>
      <w:r w:rsidR="00F4390B">
        <w:t>]</w:t>
      </w:r>
      <w:r w:rsidR="00F4390B" w:rsidRPr="00F4390B">
        <w:t>. The variable therefore serves as a proxy for the scale and organisational complexity of the sector, which independently predicts both wage levels and adoption incentives.</w:t>
      </w:r>
    </w:p>
    <w:p w14:paraId="42B2ACF3" w14:textId="5D6856C2" w:rsidR="00A532CE" w:rsidRDefault="000A00E4" w:rsidP="00B17530">
      <w:pPr>
        <w:pStyle w:val="Thesisbody"/>
      </w:pPr>
      <w:r>
        <w:t xml:space="preserve">Next control variable is related to the high-skill occupations. </w:t>
      </w:r>
      <w:r w:rsidRPr="000A00E4">
        <w:t>The share of managers (ISCO OC1), professionals (OC2), and technicians (OC3) in total sector employment (Eurostat</w:t>
      </w:r>
      <w:r>
        <w:t>:</w:t>
      </w:r>
      <w:r w:rsidRPr="000A00E4">
        <w:t> lfsa_eisn2) proxies the occupational skill composition of the sector. In Acemoglu and Restrepo, wage changes are directly linked to a demographic group's specialisation in the tasks being automated: groups whose tasks are displaced experience wage declines, while groups in non-automatable or complementary tasks experience wage gains</w:t>
      </w:r>
      <w:r>
        <w:t xml:space="preserve"> [</w:t>
      </w:r>
      <w:r w:rsidR="00EF64A5">
        <w:t>15</w:t>
      </w:r>
      <w:r>
        <w:t>]</w:t>
      </w:r>
      <w:r w:rsidRPr="000A00E4">
        <w:t xml:space="preserve">. Controlling for the occupational skill mix separates the AI adoption wage effect from underlying compositional differences between sectors that already employ more high-skill workers. </w:t>
      </w:r>
      <w:r w:rsidR="00A60EF4">
        <w:t xml:space="preserve">Karol </w:t>
      </w:r>
      <w:r w:rsidRPr="000A00E4">
        <w:t xml:space="preserve">Madoń similarly includes sectoral composition controls in his Mincerian </w:t>
      </w:r>
      <w:r w:rsidR="00CA701C">
        <w:t xml:space="preserve">wage regression </w:t>
      </w:r>
      <w:r w:rsidRPr="000A00E4">
        <w:t>specifications to isolate the AI-specific wage channel</w:t>
      </w:r>
      <w:r w:rsidR="00A60EF4">
        <w:t xml:space="preserve"> [</w:t>
      </w:r>
      <w:r w:rsidR="00EF64A5">
        <w:t>25</w:t>
      </w:r>
      <w:r w:rsidR="00A60EF4">
        <w:t>]</w:t>
      </w:r>
      <w:r w:rsidRPr="000A00E4">
        <w:t>.</w:t>
      </w:r>
    </w:p>
    <w:p w14:paraId="7FACB8E7" w14:textId="200E41D7" w:rsidR="00CD026B" w:rsidRPr="00CD026B" w:rsidRDefault="005618EA" w:rsidP="00B17530">
      <w:pPr>
        <w:pStyle w:val="Thesisbody"/>
      </w:pPr>
      <w:r w:rsidRPr="005618EA">
        <w:t>The last wage control variable is the tertiary education rate</w:t>
      </w:r>
      <w:r>
        <w:t>. It is a</w:t>
      </w:r>
      <w:r w:rsidRPr="005618EA">
        <w:t xml:space="preserve"> share of employed persons aged 18–69 with tertiary education (ISCED 5–8) in a sector (Eurostat: edat_lfs_9910), which proxies the human capital stock of the sector. </w:t>
      </w:r>
      <w:r w:rsidR="00E47A87" w:rsidRPr="00E47A87">
        <w:t xml:space="preserve">Consistent with this framework, </w:t>
      </w:r>
      <w:r w:rsidR="00960E90">
        <w:t xml:space="preserve">Karol </w:t>
      </w:r>
      <w:r w:rsidR="00E47A87" w:rsidRPr="00E47A87">
        <w:t xml:space="preserve">Madoń's specifications further include education level as a core covariate, on the grounds that </w:t>
      </w:r>
      <w:r w:rsidR="00E47A87">
        <w:t>“</w:t>
      </w:r>
      <w:r w:rsidR="00E47A87" w:rsidRPr="00E47A87">
        <w:t>education level is a good proxy for worker skills</w:t>
      </w:r>
      <w:r w:rsidR="00E47A87">
        <w:t>”</w:t>
      </w:r>
      <w:r w:rsidR="00E47A87" w:rsidRPr="00E47A87">
        <w:t xml:space="preserve"> and that higher-skilled workers command systematically higher wage premia </w:t>
      </w:r>
      <w:r w:rsidR="00847ED2">
        <w:t>[25]</w:t>
      </w:r>
      <w:r w:rsidRPr="005618EA">
        <w:t xml:space="preserve">. This is </w:t>
      </w:r>
      <w:r>
        <w:t xml:space="preserve">also </w:t>
      </w:r>
      <w:r w:rsidR="00847ED2">
        <w:t xml:space="preserve">proved </w:t>
      </w:r>
      <w:r w:rsidRPr="005618EA">
        <w:t>by Autor, Katz, and Goldin (2020), who document that the wage premium for tertiary education has grown monotonically alongside technological change across decades</w:t>
      </w:r>
      <w:r w:rsidR="00847ED2">
        <w:t xml:space="preserve"> [13]</w:t>
      </w:r>
      <w:r w:rsidRPr="005618EA">
        <w:t>. Including tertiary education in the model thus separates the direct human-capital wage premium from the adoption-mediated wage effect.</w:t>
      </w:r>
    </w:p>
    <w:p w14:paraId="7A70806A" w14:textId="2A1F90C9" w:rsidR="000E2B10" w:rsidRDefault="009720E4" w:rsidP="00B17530">
      <w:pPr>
        <w:pStyle w:val="Thesisbody"/>
      </w:pPr>
      <w:r w:rsidRPr="009720E4">
        <w:t xml:space="preserve">The next group of variables are macro controls. There are unemployment rate (Eurostat: tps00203), inflation rate (Eurostat: tec00118) and GDP at market prices per capita in </w:t>
      </w:r>
      <w:r w:rsidRPr="009720E4">
        <w:lastRenderedPageBreak/>
        <w:t xml:space="preserve">current EUR (Eurostat: nama_10_pc). </w:t>
      </w:r>
      <w:r w:rsidR="00960E90" w:rsidRPr="00960E90">
        <w:t xml:space="preserve">Beyond the sectoral controls described above, </w:t>
      </w:r>
      <w:r w:rsidR="00AA0A82">
        <w:t xml:space="preserve">Karol </w:t>
      </w:r>
      <w:r w:rsidR="00960E90" w:rsidRPr="00960E90">
        <w:t>Madoń also incorporates a vector of macroeconomic controls</w:t>
      </w:r>
      <w:r w:rsidR="00960E90">
        <w:t xml:space="preserve"> </w:t>
      </w:r>
      <w:r w:rsidRPr="009720E4">
        <w:t>alongside country and sector fixed effects in order to isolate the AI-specific wage channel from broader economic conditions</w:t>
      </w:r>
      <w:r>
        <w:t xml:space="preserve"> [</w:t>
      </w:r>
      <w:r w:rsidR="00EF64A5">
        <w:t>25</w:t>
      </w:r>
      <w:r>
        <w:t>]</w:t>
      </w:r>
      <w:r w:rsidRPr="009720E4">
        <w:t>. In the present panel setting, these three variables serve analogous purposes</w:t>
      </w:r>
      <w:r>
        <w:t>.</w:t>
      </w:r>
    </w:p>
    <w:p w14:paraId="0713F3DD" w14:textId="5990A4FE" w:rsidR="00D52857" w:rsidRDefault="00D52857" w:rsidP="00B17530">
      <w:pPr>
        <w:pStyle w:val="Thesisbody"/>
      </w:pPr>
      <w:r w:rsidRPr="00D52857">
        <w:t>Several variables require transformation or aggregation from the raw Eurostat series before entering the model</w:t>
      </w:r>
      <w:r>
        <w:t xml:space="preserve">. </w:t>
      </w:r>
      <w:r w:rsidRPr="00D52857">
        <w:t>Real wages are constructed by dividing nominal wages and salaries per employee (FTE-adjusted) by the HICP annual average index, re-based to a common reference year.</w:t>
      </w:r>
      <w:r>
        <w:t xml:space="preserve"> </w:t>
      </w:r>
      <w:r w:rsidRPr="00D52857">
        <w:t>Labour productivity is constructed as GVA in millions of EUR divided by the number of employees (thousands,</w:t>
      </w:r>
      <w:r>
        <w:t xml:space="preserve"> Eurostat:</w:t>
      </w:r>
      <w:r w:rsidRPr="00D52857">
        <w:t> nama_10_a64_e), yielding GVA per employee in thousands of EUR.</w:t>
      </w:r>
      <w:r>
        <w:t xml:space="preserve"> </w:t>
      </w:r>
      <w:r w:rsidRPr="00D52857">
        <w:t>Firm Size Index (FSI) is computed as the share of employees in large enterprises (≥250 persons) relative to total sector employment, derived from the Eurostat Structural Business Statistics.</w:t>
      </w:r>
      <w:r>
        <w:t xml:space="preserve"> </w:t>
      </w:r>
      <w:r w:rsidRPr="00D52857">
        <w:t>Share of high-skill occupations is aggregated from the employment-by-occupation and sector table by summing ISCO major groups 1, 2, and 3 as a percentage of total sector employment.</w:t>
      </w:r>
      <w:r>
        <w:t xml:space="preserve"> </w:t>
      </w:r>
    </w:p>
    <w:p w14:paraId="4EC1E7D9" w14:textId="4B3C01D9" w:rsidR="00B776CE" w:rsidRPr="00B776CE" w:rsidRDefault="00B776CE" w:rsidP="00B17530">
      <w:pPr>
        <w:pStyle w:val="Thesisbody"/>
      </w:pPr>
      <w:r w:rsidRPr="00B776CE">
        <w:t xml:space="preserve">A critical constraint shaping the empirical design is data availability. The Eurostat enterprise survey on AI adoption (isoc_eb_ain2) was first conducted in 2021, with subsequent waves in 2022, 2023, and 2024. As noted by the IMF, the systematic, cross-country, cross-sector data on AI adoption in European enterprises simply did not exist before </w:t>
      </w:r>
      <w:r w:rsidRPr="007C2101">
        <w:t>2021</w:t>
      </w:r>
      <w:r w:rsidR="007C2101" w:rsidRPr="007C2101">
        <w:t xml:space="preserve"> </w:t>
      </w:r>
      <w:r w:rsidRPr="007C2101">
        <w:t>[</w:t>
      </w:r>
      <w:r w:rsidR="007C2101" w:rsidRPr="007C2101">
        <w:t>15</w:t>
      </w:r>
      <w:r w:rsidRPr="007C2101">
        <w:t>]. This</w:t>
      </w:r>
      <w:r w:rsidRPr="00B776CE">
        <w:t xml:space="preserve"> determines the sample period: 2021–2024, yielding a four-year panel. The sample covers country–sector cells constructed as a composite panel identifier, drawing on Eurostat's NACE Rev. 2 one-digit </w:t>
      </w:r>
      <w:r w:rsidRPr="00837EC3">
        <w:t>classification</w:t>
      </w:r>
      <w:r w:rsidR="00FD2175" w:rsidRPr="00837EC3">
        <w:t>,</w:t>
      </w:r>
      <w:r w:rsidRPr="00837EC3">
        <w:t xml:space="preserve"> meaning that each observation represents a single broad sector letter (e.g., </w:t>
      </w:r>
      <w:r w:rsidRPr="00837EC3">
        <w:rPr>
          <w:i/>
          <w:iCs/>
        </w:rPr>
        <w:t>C</w:t>
      </w:r>
      <w:r w:rsidRPr="00837EC3">
        <w:t> for Manufacturing, </w:t>
      </w:r>
      <w:r w:rsidRPr="00837EC3">
        <w:rPr>
          <w:i/>
          <w:iCs/>
        </w:rPr>
        <w:t>G</w:t>
      </w:r>
      <w:r w:rsidRPr="00837EC3">
        <w:t> for Wholesale and Retail Trade) within a given country and year. This level of aggregation, combined with the four-year time horizon, results in a panel that is short and wide by econometric standards, with a limited number of time periods relative to the number of cross-sectional units.</w:t>
      </w:r>
    </w:p>
    <w:p w14:paraId="2438E72F" w14:textId="584481CD" w:rsidR="00D52857" w:rsidRDefault="00C321DA" w:rsidP="00B17530">
      <w:pPr>
        <w:pStyle w:val="Thesisbody"/>
      </w:pPr>
      <w:r w:rsidRPr="00C321DA">
        <w:t>This constitutes a recognised limitation of the present study. From an econometric perspective, a panel with a short time dimension</w:t>
      </w:r>
      <w:r w:rsidR="004E2B1C">
        <w:t xml:space="preserve"> (T = 4</w:t>
      </w:r>
      <w:r w:rsidRPr="00C321DA">
        <w:t xml:space="preserve">) restricts the temporal variation available to identify structural changes. </w:t>
      </w:r>
      <w:r w:rsidR="0051185F" w:rsidRPr="0051185F">
        <w:t xml:space="preserve">Jeffrey </w:t>
      </w:r>
      <w:r w:rsidRPr="0051185F">
        <w:t>Wooldridge</w:t>
      </w:r>
      <w:r w:rsidR="00121246" w:rsidRPr="0051185F">
        <w:t xml:space="preserve"> in</w:t>
      </w:r>
      <w:r w:rsidR="00121246">
        <w:t xml:space="preserve"> his work “Econometric Analysis of Cross Section and Panel Data”</w:t>
      </w:r>
      <w:r w:rsidRPr="00C321DA">
        <w:t xml:space="preserve"> explicitly notes that bias-adjustment procedures for panel estimators require a number of time periods </w:t>
      </w:r>
      <w:r w:rsidR="004E2B1C">
        <w:t>“</w:t>
      </w:r>
      <w:r w:rsidRPr="00C321DA">
        <w:t>greater than is available in many applications,</w:t>
      </w:r>
      <w:r w:rsidR="004E2B1C">
        <w:t>”</w:t>
      </w:r>
      <w:r w:rsidRPr="00C321DA">
        <w:t xml:space="preserve"> and that consistent identification through within-entity variation relies on there being </w:t>
      </w:r>
      <w:r w:rsidR="004E2B1C">
        <w:t>“</w:t>
      </w:r>
      <w:r w:rsidRPr="00C321DA">
        <w:t>sufficient time variation in the covariates</w:t>
      </w:r>
      <w:r w:rsidR="004E2B1C">
        <w:t xml:space="preserve">”. It is </w:t>
      </w:r>
      <w:r w:rsidRPr="00C321DA">
        <w:t xml:space="preserve">a condition that becomes increasingly binding </w:t>
      </w:r>
      <w:r w:rsidRPr="00C321DA">
        <w:lastRenderedPageBreak/>
        <w:t>as </w:t>
      </w:r>
      <w:r w:rsidR="004E2B1C">
        <w:t>T</w:t>
      </w:r>
      <w:r w:rsidRPr="00C321DA">
        <w:t xml:space="preserve"> shrinks. With only four annual observations per country–sector cell, the scope to trace delayed or gradual wage responses to technology adoption shocks is therefore inherently </w:t>
      </w:r>
      <w:r w:rsidRPr="00095E9F">
        <w:t>limited [</w:t>
      </w:r>
      <w:r w:rsidR="00121246" w:rsidRPr="00095E9F">
        <w:t>26</w:t>
      </w:r>
      <w:r w:rsidRPr="00095E9F">
        <w:t>].</w:t>
      </w:r>
      <w:r>
        <w:t xml:space="preserve"> </w:t>
      </w:r>
    </w:p>
    <w:p w14:paraId="4F9F2620" w14:textId="42582E90" w:rsidR="00CA57C6" w:rsidRPr="00EC25D3" w:rsidRDefault="00C321DA" w:rsidP="00EC25D3">
      <w:pPr>
        <w:pStyle w:val="Thesisbody"/>
        <w:rPr>
          <w:lang w:val="ru-RU"/>
        </w:rPr>
      </w:pPr>
      <w:r w:rsidRPr="00C321DA">
        <w:t>Furthermore, relying on highly aggregated cross-sectional units introduces the risk of aggregation bias. Averaging data at the NACE</w:t>
      </w:r>
      <w:r w:rsidR="00573BE8">
        <w:t xml:space="preserve"> Rev 2.</w:t>
      </w:r>
      <w:r w:rsidRPr="00C321DA">
        <w:t xml:space="preserve"> one-digit letter level means that considerable micro-level heterogeneity across sub-industries, firm sizes, and occupational structures</w:t>
      </w:r>
      <w:r w:rsidR="00573BE8">
        <w:t>,</w:t>
      </w:r>
      <w:r w:rsidRPr="00C321DA">
        <w:t xml:space="preserve"> is absorbed into a single cell mean. This concern </w:t>
      </w:r>
      <w:r w:rsidR="00573BE8">
        <w:t>reflects</w:t>
      </w:r>
      <w:r w:rsidRPr="00C321DA">
        <w:t xml:space="preserve"> the limitation acknowledged directly </w:t>
      </w:r>
      <w:r w:rsidRPr="00AA44C2">
        <w:t xml:space="preserve">by </w:t>
      </w:r>
      <w:r w:rsidR="00573BE8" w:rsidRPr="00AA44C2">
        <w:t xml:space="preserve">Karol </w:t>
      </w:r>
      <w:r w:rsidRPr="00AA44C2">
        <w:t>Madoń, who</w:t>
      </w:r>
      <w:r w:rsidRPr="00C321DA">
        <w:t xml:space="preserve"> notes that to estimate causal effects of AI on wages </w:t>
      </w:r>
      <w:r w:rsidR="00573BE8">
        <w:t>“</w:t>
      </w:r>
      <w:r w:rsidRPr="00C321DA">
        <w:t>one should use firm-level data with information about technology adoption,</w:t>
      </w:r>
      <w:r w:rsidR="00573BE8">
        <w:t>”</w:t>
      </w:r>
      <w:r w:rsidRPr="00C321DA">
        <w:t xml:space="preserve"> and that results based on more aggregated or exposure-based measures </w:t>
      </w:r>
      <w:r w:rsidR="00573BE8">
        <w:t>“</w:t>
      </w:r>
      <w:r w:rsidRPr="00C321DA">
        <w:t>should be interpreted with caution and treated as a description of final allocation in equilibrium, rather than causal relationships</w:t>
      </w:r>
      <w:r w:rsidRPr="00AA44C2">
        <w:t>.</w:t>
      </w:r>
      <w:r w:rsidR="00573BE8" w:rsidRPr="00AA44C2">
        <w:t>” [</w:t>
      </w:r>
      <w:r w:rsidR="00AA44C2" w:rsidRPr="00AA44C2">
        <w:t>25</w:t>
      </w:r>
      <w:r w:rsidR="00573BE8" w:rsidRPr="00AA44C2">
        <w:t>]</w:t>
      </w:r>
      <w:r w:rsidRPr="00C321DA">
        <w:t xml:space="preserve"> These trade-offs are, however, unavoidable given the current state of Eurostat data availability. Because this period coincides precisely with the active diffusion phase of enterprise AI adoption across EU sectors, 2021–2024 remains the only feasible and substantively relevant observation window for testing the macro-level wage effects of actual AI adoption.</w:t>
      </w:r>
    </w:p>
    <w:p w14:paraId="27867B42" w14:textId="01104A7F" w:rsidR="00CA57C6" w:rsidRDefault="00A911C4" w:rsidP="00A911C4">
      <w:pPr>
        <w:pStyle w:val="Thesisheading2"/>
      </w:pPr>
      <w:bookmarkStart w:id="12" w:name="_Toc229943326"/>
      <w:r>
        <w:t>2.3. Exploratory Data Analysis</w:t>
      </w:r>
      <w:bookmarkEnd w:id="12"/>
      <w:r>
        <w:t xml:space="preserve"> </w:t>
      </w:r>
    </w:p>
    <w:p w14:paraId="7F191584" w14:textId="7075E8A5" w:rsidR="0046122E" w:rsidRDefault="0046122E" w:rsidP="003E42F9">
      <w:pPr>
        <w:pStyle w:val="Thesisbody"/>
      </w:pPr>
      <w:r w:rsidRPr="0046122E">
        <w:t>The exploratory analysis presented in this section was conducted by the author. All code utilised for data preparation, visualisation, and subsequent econometric modelling is available in a publicly accessible repositor</w:t>
      </w:r>
      <w:r w:rsidRPr="004A2FE9">
        <w:t>y. [</w:t>
      </w:r>
      <w:r w:rsidR="004A2FE9" w:rsidRPr="004A2FE9">
        <w:t>27</w:t>
      </w:r>
      <w:r w:rsidRPr="004A2FE9">
        <w:t>]</w:t>
      </w:r>
    </w:p>
    <w:p w14:paraId="7AADFC79" w14:textId="1A6FBE5F" w:rsidR="004703BE" w:rsidRPr="004703BE" w:rsidRDefault="004703BE" w:rsidP="003E42F9">
      <w:pPr>
        <w:pStyle w:val="Thesisbody"/>
      </w:pPr>
      <w:r w:rsidRPr="004703BE">
        <w:t xml:space="preserve">The empirical analysis is built on a multi-dimensional panel dataset spanning four years, from 2021 to 2024. </w:t>
      </w:r>
      <w:r w:rsidR="002A6D9C">
        <w:t>T</w:t>
      </w:r>
      <w:r w:rsidRPr="004703BE">
        <w:t xml:space="preserve">he sample </w:t>
      </w:r>
      <w:r w:rsidR="002A6D9C">
        <w:t>includes</w:t>
      </w:r>
      <w:r w:rsidRPr="004703BE">
        <w:t xml:space="preserve"> 25 European countries</w:t>
      </w:r>
      <w:r w:rsidR="002A6D9C">
        <w:t xml:space="preserve">: </w:t>
      </w:r>
      <w:r w:rsidRPr="004703BE">
        <w:t>Austria, Belgium, Bulgaria, Cyprus, Czechia, Germany, Denmark, Estonia, Spain, Finland, France, Croatia, Hungary, Ireland, Italy, Lithuania, Latvia, Malta, the Netherlands, Norway, Poland, Portugal, Romania, Slovenia, Slovakia, and Sweden</w:t>
      </w:r>
      <w:r w:rsidR="002A6D9C">
        <w:t xml:space="preserve">. The data for these countries </w:t>
      </w:r>
      <w:r w:rsidRPr="004703BE">
        <w:t>provi</w:t>
      </w:r>
      <w:r w:rsidR="002A6D9C">
        <w:t>de</w:t>
      </w:r>
      <w:r w:rsidRPr="004703BE">
        <w:t xml:space="preserve"> broad coverage across income levels, institutional frameworks, and stages of digital development within the European economic area.</w:t>
      </w:r>
    </w:p>
    <w:p w14:paraId="5A2F0065" w14:textId="7FBB9CEC" w:rsidR="004703BE" w:rsidRPr="0046122E" w:rsidRDefault="004703BE" w:rsidP="003E42F9">
      <w:pPr>
        <w:pStyle w:val="Thesisbody"/>
      </w:pPr>
      <w:r w:rsidRPr="004703BE">
        <w:t>The sectoral dimension of the panel is defined at the one-digit level of the NACE Rev. 2 classification, yielding seven distinct economic activities that span both digitally intensive and traditionally labour-intensive segments of the European economy:</w:t>
      </w:r>
    </w:p>
    <w:p w14:paraId="3C180A16"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lastRenderedPageBreak/>
        <w:t>C</w:t>
      </w:r>
      <w:r w:rsidRPr="00EA04C9">
        <w:rPr>
          <w:rFonts w:ascii="Times New Roman" w:hAnsi="Times New Roman" w:cs="Times New Roman"/>
          <w:sz w:val="24"/>
          <w:szCs w:val="24"/>
        </w:rPr>
        <w:t> – Manufacturing</w:t>
      </w:r>
    </w:p>
    <w:p w14:paraId="0147D21A"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3B53D655"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A525F23"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188200"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7840345B"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22578A6" w14:textId="45F8E7E2"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0FBFBB73" w14:textId="29CDDD3A" w:rsidR="00CA57C6" w:rsidRPr="00EA04C9" w:rsidRDefault="004703BE" w:rsidP="00E91088">
      <w:pPr>
        <w:pStyle w:val="Thesisbody"/>
      </w:pPr>
      <w:r w:rsidRPr="004703BE">
        <w:t>The seven</w:t>
      </w:r>
      <w:r w:rsidR="00056002">
        <w:t xml:space="preserve"> available</w:t>
      </w:r>
      <w:r w:rsidRPr="004703BE">
        <w:t xml:space="preserve"> activities collectively cover the full spectrum of AI readiness: from </w:t>
      </w:r>
      <w:r w:rsidR="002D4F7C">
        <w:t>s</w:t>
      </w:r>
      <w:r w:rsidRPr="004703BE">
        <w:t xml:space="preserve">ector J, which serves as the structural frontier of enterprise AI adoption and the natural reference category in the empirical model, to </w:t>
      </w:r>
      <w:r w:rsidR="00DF13EA">
        <w:t>s</w:t>
      </w:r>
      <w:r w:rsidRPr="004703BE">
        <w:t xml:space="preserve">ectors F and I, where technology penetration remains systemically low and the workforce is concentrated in manual, site-specific tasks. The observational unit throughout the analysis is a unique country–sector–year </w:t>
      </w:r>
      <w:r w:rsidR="00056002">
        <w:t xml:space="preserve">row </w:t>
      </w:r>
      <w:r w:rsidRPr="004703BE">
        <w:t>in the panel.</w:t>
      </w:r>
    </w:p>
    <w:p w14:paraId="4986E393" w14:textId="12F60DE9" w:rsidR="00CA57C6" w:rsidRPr="00E16CF4" w:rsidRDefault="005235EB" w:rsidP="00E16CF4">
      <w:pPr>
        <w:pStyle w:val="Thesisbody"/>
        <w:rPr>
          <w:lang w:val="ru-RU"/>
        </w:rPr>
      </w:pPr>
      <w:r w:rsidRPr="005235EB">
        <w:rPr>
          <w:noProof/>
        </w:rPr>
        <w:drawing>
          <wp:inline distT="0" distB="0" distL="0" distR="0" wp14:anchorId="04806AFB" wp14:editId="0E6129B4">
            <wp:extent cx="4921898" cy="3055158"/>
            <wp:effectExtent l="0" t="0" r="0" b="0"/>
            <wp:docPr id="21125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0105" name=""/>
                    <pic:cNvPicPr/>
                  </pic:nvPicPr>
                  <pic:blipFill>
                    <a:blip r:embed="rId10"/>
                    <a:stretch>
                      <a:fillRect/>
                    </a:stretch>
                  </pic:blipFill>
                  <pic:spPr>
                    <a:xfrm>
                      <a:off x="0" y="0"/>
                      <a:ext cx="4931199" cy="3060931"/>
                    </a:xfrm>
                    <a:prstGeom prst="rect">
                      <a:avLst/>
                    </a:prstGeom>
                  </pic:spPr>
                </pic:pic>
              </a:graphicData>
            </a:graphic>
          </wp:inline>
        </w:drawing>
      </w:r>
    </w:p>
    <w:p w14:paraId="5A712AA6" w14:textId="77777777" w:rsidR="00A45B4D" w:rsidRDefault="005235EB" w:rsidP="004B03EE">
      <w:pPr>
        <w:pStyle w:val="Figurethesis"/>
        <w:rPr>
          <w:rStyle w:val="FigurethesisChar"/>
          <w:highlight w:val="yellow"/>
        </w:rPr>
      </w:pPr>
      <w:r w:rsidRPr="00A45B4D">
        <w:rPr>
          <w:rStyle w:val="FigurethesisChar"/>
          <w:highlight w:val="yellow"/>
        </w:rPr>
        <w:t>Figure 1. Data coverage matrix: number of years with available observations per country and NACE Rev. 2 sector, 2021–2024.</w:t>
      </w:r>
    </w:p>
    <w:p w14:paraId="448C6F44" w14:textId="23ACCAC7" w:rsidR="002F13F0" w:rsidRPr="00A45B4D" w:rsidRDefault="002F13F0" w:rsidP="004B03EE">
      <w:pPr>
        <w:pStyle w:val="fig3thesis"/>
        <w:rPr>
          <w:highlight w:val="yellow"/>
        </w:rPr>
      </w:pPr>
      <w:r w:rsidRPr="002F13F0">
        <w:rPr>
          <w:highlight w:val="yellow"/>
        </w:rPr>
        <w:t>Filed to: years (number of annual observations, integer scale 0–4).</w:t>
      </w:r>
    </w:p>
    <w:p w14:paraId="56D54C1A" w14:textId="3D7C08FA" w:rsidR="00CA57C6" w:rsidRPr="00A45B4D" w:rsidRDefault="005235EB" w:rsidP="004B03EE">
      <w:pPr>
        <w:pStyle w:val="fig3thesis"/>
        <w:rPr>
          <w:sz w:val="24"/>
          <w:highlight w:val="yellow"/>
        </w:rPr>
      </w:pPr>
      <w:r w:rsidRPr="00A45B4D">
        <w:rPr>
          <w:rStyle w:val="fig3thesisChar"/>
          <w:highlight w:val="yellow"/>
        </w:rPr>
        <w:t>Source: own study based on Eurostat enterprise and labour market surveys (isoc_eb_ain2, isoc_ske_itspen2, isoc_ske_ittn2, nama_10_a64_e), 2021–2024.</w:t>
      </w:r>
    </w:p>
    <w:p w14:paraId="63C75F13" w14:textId="2B698BE4" w:rsidR="003B5EE3" w:rsidRDefault="0007359B" w:rsidP="00486C60">
      <w:pPr>
        <w:pStyle w:val="Thesisbody"/>
      </w:pPr>
      <w:r w:rsidRPr="0007359B">
        <w:t>Figure 1 confirms that the resulting dataset constitutes an </w:t>
      </w:r>
      <w:r w:rsidRPr="00260E50">
        <w:t>unbalanced panel</w:t>
      </w:r>
      <w:r w:rsidRPr="0007359B">
        <w:t>. The missing observations are not randomly distributed across time</w:t>
      </w:r>
      <w:r w:rsidR="003A50A9">
        <w:t>. T</w:t>
      </w:r>
      <w:r w:rsidRPr="0007359B">
        <w:t xml:space="preserve">hey are structurally absent for entire country–sector pairs across all four years. This pattern is econometrically significant: because the gaps reflect a persistent absence of reporting rather than isolated measurement failures, </w:t>
      </w:r>
      <w:r w:rsidRPr="0007359B">
        <w:lastRenderedPageBreak/>
        <w:t>standard imputation methods cannot be applied without introducing systematic bias into the cross-sectional dimension. [</w:t>
      </w:r>
      <w:r w:rsidR="003A50A9">
        <w:t>28</w:t>
      </w:r>
      <w:r w:rsidRPr="0007359B">
        <w:t>]</w:t>
      </w:r>
    </w:p>
    <w:p w14:paraId="5170282B" w14:textId="2D705EF2" w:rsidR="00CA57C6" w:rsidRDefault="003A50A9" w:rsidP="00F91FC4">
      <w:pPr>
        <w:pStyle w:val="Thesisbody"/>
      </w:pPr>
      <w:r w:rsidRPr="003A50A9">
        <w:t>The spatial concentration of missingness is itself informative. It is disproportionately clustered in consumer-facing service Accommodation and Food Service Activities (I)</w:t>
      </w:r>
      <w:r w:rsidR="00FC7085">
        <w:t xml:space="preserve"> sector</w:t>
      </w:r>
      <w:r w:rsidRPr="003A50A9">
        <w:t xml:space="preserve"> and, Administrative and Support Services (N) </w:t>
      </w:r>
      <w:r w:rsidR="00FC7085">
        <w:t xml:space="preserve">sector. </w:t>
      </w:r>
      <w:r w:rsidRPr="003A50A9">
        <w:t>This non-random missingness pattern raises the possibility of </w:t>
      </w:r>
      <w:r w:rsidRPr="00CE4794">
        <w:t>structural selection:</w:t>
      </w:r>
      <w:r w:rsidRPr="003A50A9">
        <w:t xml:space="preserve"> countries and sectors that do report may be systematically more digitally advanced than those that do not, which would imply that the observed sample slightly overstates average AI adoption levels relative to the full European economy.</w:t>
      </w:r>
      <w:r w:rsidR="00C50E4E">
        <w:t xml:space="preserve"> </w:t>
      </w:r>
      <w:r w:rsidR="00C50E4E" w:rsidRPr="00C50E4E">
        <w:t>Given these constraints, all subsequent econometric estimations are conducted on the unbalanced panel as observed, employing robust estimators that account for unequally sized cross-sectional groups without requiring a balanced structure.</w:t>
      </w:r>
    </w:p>
    <w:p w14:paraId="2659A101" w14:textId="472B6114" w:rsidR="001130EB" w:rsidRPr="00EA04C9" w:rsidRDefault="001130EB" w:rsidP="00CA57C6">
      <w:pPr>
        <w:jc w:val="both"/>
        <w:rPr>
          <w:rFonts w:ascii="Times New Roman" w:hAnsi="Times New Roman" w:cs="Times New Roman"/>
          <w:sz w:val="24"/>
          <w:szCs w:val="24"/>
        </w:rPr>
      </w:pPr>
      <w:r w:rsidRPr="001130EB">
        <w:rPr>
          <w:rFonts w:ascii="Times New Roman" w:hAnsi="Times New Roman" w:cs="Times New Roman"/>
          <w:b/>
          <w:bCs/>
          <w:sz w:val="24"/>
          <w:szCs w:val="24"/>
          <w:highlight w:val="yellow"/>
        </w:rPr>
        <w:t>Table 1.</w:t>
      </w:r>
      <w:r w:rsidRPr="001130EB">
        <w:rPr>
          <w:rFonts w:ascii="Times New Roman" w:hAnsi="Times New Roman" w:cs="Times New Roman"/>
          <w:sz w:val="24"/>
          <w:szCs w:val="24"/>
          <w:highlight w:val="yellow"/>
        </w:rPr>
        <w:t> Summary statistics of panel variables for selected European countries, 2021–2024.</w:t>
      </w:r>
    </w:p>
    <w:tbl>
      <w:tblPr>
        <w:tblStyle w:val="TableGrid"/>
        <w:tblW w:w="0" w:type="auto"/>
        <w:tblLayout w:type="fixed"/>
        <w:tblLook w:val="04A0" w:firstRow="1" w:lastRow="0" w:firstColumn="1" w:lastColumn="0" w:noHBand="0" w:noVBand="1"/>
      </w:tblPr>
      <w:tblGrid>
        <w:gridCol w:w="1413"/>
        <w:gridCol w:w="1276"/>
        <w:gridCol w:w="992"/>
        <w:gridCol w:w="1134"/>
        <w:gridCol w:w="1276"/>
        <w:gridCol w:w="1417"/>
        <w:gridCol w:w="1508"/>
      </w:tblGrid>
      <w:tr w:rsidR="00CA57C6" w:rsidRPr="00EA04C9" w14:paraId="161D3A8D" w14:textId="77777777" w:rsidTr="00CE126F">
        <w:tc>
          <w:tcPr>
            <w:tcW w:w="1413" w:type="dxa"/>
          </w:tcPr>
          <w:p w14:paraId="56C1D5E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Variable</w:t>
            </w:r>
          </w:p>
        </w:tc>
        <w:tc>
          <w:tcPr>
            <w:tcW w:w="1276" w:type="dxa"/>
          </w:tcPr>
          <w:p w14:paraId="6539034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Mean</w:t>
            </w:r>
          </w:p>
        </w:tc>
        <w:tc>
          <w:tcPr>
            <w:tcW w:w="992" w:type="dxa"/>
          </w:tcPr>
          <w:p w14:paraId="573F58E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Min</w:t>
            </w:r>
          </w:p>
        </w:tc>
        <w:tc>
          <w:tcPr>
            <w:tcW w:w="1134" w:type="dxa"/>
          </w:tcPr>
          <w:p w14:paraId="3442E39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Max</w:t>
            </w:r>
          </w:p>
        </w:tc>
        <w:tc>
          <w:tcPr>
            <w:tcW w:w="1276" w:type="dxa"/>
          </w:tcPr>
          <w:p w14:paraId="05222F3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Overall_Std</w:t>
            </w:r>
          </w:p>
        </w:tc>
        <w:tc>
          <w:tcPr>
            <w:tcW w:w="1417" w:type="dxa"/>
          </w:tcPr>
          <w:p w14:paraId="0B7A012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Between_Std</w:t>
            </w:r>
          </w:p>
        </w:tc>
        <w:tc>
          <w:tcPr>
            <w:tcW w:w="1508" w:type="dxa"/>
          </w:tcPr>
          <w:p w14:paraId="628B53D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Within_Std</w:t>
            </w:r>
          </w:p>
        </w:tc>
      </w:tr>
      <w:tr w:rsidR="00CA57C6" w:rsidRPr="00EA04C9" w14:paraId="37F52476" w14:textId="77777777" w:rsidTr="00CE126F">
        <w:tc>
          <w:tcPr>
            <w:tcW w:w="1413" w:type="dxa"/>
          </w:tcPr>
          <w:p w14:paraId="7A5BF0F6"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real_wage    </w:t>
            </w:r>
          </w:p>
        </w:tc>
        <w:tc>
          <w:tcPr>
            <w:tcW w:w="1276" w:type="dxa"/>
          </w:tcPr>
          <w:p w14:paraId="343800F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16.59</w:t>
            </w:r>
          </w:p>
        </w:tc>
        <w:tc>
          <w:tcPr>
            <w:tcW w:w="992" w:type="dxa"/>
          </w:tcPr>
          <w:p w14:paraId="638A818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4.67</w:t>
            </w:r>
          </w:p>
        </w:tc>
        <w:tc>
          <w:tcPr>
            <w:tcW w:w="1134" w:type="dxa"/>
          </w:tcPr>
          <w:p w14:paraId="539760B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50.00</w:t>
            </w:r>
          </w:p>
        </w:tc>
        <w:tc>
          <w:tcPr>
            <w:tcW w:w="1276" w:type="dxa"/>
          </w:tcPr>
          <w:p w14:paraId="7167574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9.60</w:t>
            </w:r>
          </w:p>
        </w:tc>
        <w:tc>
          <w:tcPr>
            <w:tcW w:w="1417" w:type="dxa"/>
          </w:tcPr>
          <w:p w14:paraId="248C1B1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9.59</w:t>
            </w:r>
          </w:p>
        </w:tc>
        <w:tc>
          <w:tcPr>
            <w:tcW w:w="1508" w:type="dxa"/>
          </w:tcPr>
          <w:p w14:paraId="2DF8AC4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0.80</w:t>
            </w:r>
          </w:p>
        </w:tc>
      </w:tr>
      <w:tr w:rsidR="00CA57C6" w:rsidRPr="00EA04C9" w14:paraId="5149A48F" w14:textId="77777777" w:rsidTr="00CE126F">
        <w:tc>
          <w:tcPr>
            <w:tcW w:w="1413" w:type="dxa"/>
          </w:tcPr>
          <w:p w14:paraId="52849D74"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ai_adoption        </w:t>
            </w:r>
          </w:p>
        </w:tc>
        <w:tc>
          <w:tcPr>
            <w:tcW w:w="1276" w:type="dxa"/>
          </w:tcPr>
          <w:p w14:paraId="44995C2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10.87</w:t>
            </w:r>
          </w:p>
        </w:tc>
        <w:tc>
          <w:tcPr>
            <w:tcW w:w="992" w:type="dxa"/>
          </w:tcPr>
          <w:p w14:paraId="4A705A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0.05</w:t>
            </w:r>
          </w:p>
        </w:tc>
        <w:tc>
          <w:tcPr>
            <w:tcW w:w="1134" w:type="dxa"/>
          </w:tcPr>
          <w:p w14:paraId="535BD5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68.30</w:t>
            </w:r>
          </w:p>
        </w:tc>
        <w:tc>
          <w:tcPr>
            <w:tcW w:w="1276" w:type="dxa"/>
          </w:tcPr>
          <w:p w14:paraId="050D7B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11.63</w:t>
            </w:r>
          </w:p>
        </w:tc>
        <w:tc>
          <w:tcPr>
            <w:tcW w:w="1417" w:type="dxa"/>
          </w:tcPr>
          <w:p w14:paraId="713A91A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10.73</w:t>
            </w:r>
          </w:p>
        </w:tc>
        <w:tc>
          <w:tcPr>
            <w:tcW w:w="1508" w:type="dxa"/>
          </w:tcPr>
          <w:p w14:paraId="6EF1E77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4.54</w:t>
            </w:r>
          </w:p>
        </w:tc>
      </w:tr>
      <w:tr w:rsidR="00CA57C6" w:rsidRPr="00EA04C9" w14:paraId="0373325E" w14:textId="77777777" w:rsidTr="00CE126F">
        <w:tc>
          <w:tcPr>
            <w:tcW w:w="1413" w:type="dxa"/>
          </w:tcPr>
          <w:p w14:paraId="113AE42F"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spec_ict    </w:t>
            </w:r>
          </w:p>
        </w:tc>
        <w:tc>
          <w:tcPr>
            <w:tcW w:w="1276" w:type="dxa"/>
          </w:tcPr>
          <w:p w14:paraId="1B50979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26.59</w:t>
            </w:r>
          </w:p>
        </w:tc>
        <w:tc>
          <w:tcPr>
            <w:tcW w:w="992" w:type="dxa"/>
          </w:tcPr>
          <w:p w14:paraId="7DD3943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1.58</w:t>
            </w:r>
          </w:p>
        </w:tc>
        <w:tc>
          <w:tcPr>
            <w:tcW w:w="1134" w:type="dxa"/>
          </w:tcPr>
          <w:p w14:paraId="38EA6D4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98.25</w:t>
            </w:r>
          </w:p>
        </w:tc>
        <w:tc>
          <w:tcPr>
            <w:tcW w:w="1276" w:type="dxa"/>
          </w:tcPr>
          <w:p w14:paraId="146E3DF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23.56</w:t>
            </w:r>
          </w:p>
        </w:tc>
        <w:tc>
          <w:tcPr>
            <w:tcW w:w="1417" w:type="dxa"/>
          </w:tcPr>
          <w:p w14:paraId="644B0C8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23.58</w:t>
            </w:r>
          </w:p>
        </w:tc>
        <w:tc>
          <w:tcPr>
            <w:tcW w:w="1508" w:type="dxa"/>
          </w:tcPr>
          <w:p w14:paraId="2E2CB04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r w:rsidR="00CA57C6" w:rsidRPr="00EA04C9" w14:paraId="09D8BA69" w14:textId="77777777" w:rsidTr="00CE126F">
        <w:tc>
          <w:tcPr>
            <w:tcW w:w="1413" w:type="dxa"/>
          </w:tcPr>
          <w:p w14:paraId="755FF7D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training_ict          </w:t>
            </w:r>
          </w:p>
        </w:tc>
        <w:tc>
          <w:tcPr>
            <w:tcW w:w="1276" w:type="dxa"/>
          </w:tcPr>
          <w:p w14:paraId="7DB30B8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25.89</w:t>
            </w:r>
          </w:p>
        </w:tc>
        <w:tc>
          <w:tcPr>
            <w:tcW w:w="992" w:type="dxa"/>
          </w:tcPr>
          <w:p w14:paraId="58CF1F8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3.03</w:t>
            </w:r>
          </w:p>
        </w:tc>
        <w:tc>
          <w:tcPr>
            <w:tcW w:w="1134" w:type="dxa"/>
          </w:tcPr>
          <w:p w14:paraId="1CF948E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84.70</w:t>
            </w:r>
          </w:p>
        </w:tc>
        <w:tc>
          <w:tcPr>
            <w:tcW w:w="1276" w:type="dxa"/>
          </w:tcPr>
          <w:p w14:paraId="226E64A4"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18.37</w:t>
            </w:r>
          </w:p>
        </w:tc>
        <w:tc>
          <w:tcPr>
            <w:tcW w:w="1417" w:type="dxa"/>
          </w:tcPr>
          <w:p w14:paraId="0017AD3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18.33</w:t>
            </w:r>
          </w:p>
        </w:tc>
        <w:tc>
          <w:tcPr>
            <w:tcW w:w="1508" w:type="dxa"/>
          </w:tcPr>
          <w:p w14:paraId="275BDA7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1.82</w:t>
            </w:r>
          </w:p>
        </w:tc>
      </w:tr>
      <w:tr w:rsidR="00CA57C6" w:rsidRPr="00EA04C9" w14:paraId="4C7F4112" w14:textId="77777777" w:rsidTr="00CE126F">
        <w:tc>
          <w:tcPr>
            <w:tcW w:w="1413" w:type="dxa"/>
          </w:tcPr>
          <w:p w14:paraId="5A741194"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productivity   </w:t>
            </w:r>
          </w:p>
        </w:tc>
        <w:tc>
          <w:tcPr>
            <w:tcW w:w="1276" w:type="dxa"/>
          </w:tcPr>
          <w:p w14:paraId="31D346E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70.04</w:t>
            </w:r>
          </w:p>
        </w:tc>
        <w:tc>
          <w:tcPr>
            <w:tcW w:w="992" w:type="dxa"/>
          </w:tcPr>
          <w:p w14:paraId="1153506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13.66</w:t>
            </w:r>
          </w:p>
        </w:tc>
        <w:tc>
          <w:tcPr>
            <w:tcW w:w="1134" w:type="dxa"/>
          </w:tcPr>
          <w:p w14:paraId="444136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665.90</w:t>
            </w:r>
          </w:p>
        </w:tc>
        <w:tc>
          <w:tcPr>
            <w:tcW w:w="1276" w:type="dxa"/>
          </w:tcPr>
          <w:p w14:paraId="14E3CC1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71.95</w:t>
            </w:r>
          </w:p>
        </w:tc>
        <w:tc>
          <w:tcPr>
            <w:tcW w:w="1417" w:type="dxa"/>
          </w:tcPr>
          <w:p w14:paraId="0219E44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71.46</w:t>
            </w:r>
          </w:p>
        </w:tc>
        <w:tc>
          <w:tcPr>
            <w:tcW w:w="1508" w:type="dxa"/>
          </w:tcPr>
          <w:p w14:paraId="365741A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9.96</w:t>
            </w:r>
          </w:p>
        </w:tc>
      </w:tr>
      <w:tr w:rsidR="00CA57C6" w:rsidRPr="00EA04C9" w14:paraId="0AA05EA7" w14:textId="77777777" w:rsidTr="00CE126F">
        <w:tc>
          <w:tcPr>
            <w:tcW w:w="1413" w:type="dxa"/>
          </w:tcPr>
          <w:p w14:paraId="48F03B5C"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gdp </w:t>
            </w:r>
          </w:p>
        </w:tc>
        <w:tc>
          <w:tcPr>
            <w:tcW w:w="1276" w:type="dxa"/>
          </w:tcPr>
          <w:p w14:paraId="432220D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37223.88</w:t>
            </w:r>
          </w:p>
        </w:tc>
        <w:tc>
          <w:tcPr>
            <w:tcW w:w="992" w:type="dxa"/>
          </w:tcPr>
          <w:p w14:paraId="0F53ECC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10960.00</w:t>
            </w:r>
          </w:p>
        </w:tc>
        <w:tc>
          <w:tcPr>
            <w:tcW w:w="1134" w:type="dxa"/>
          </w:tcPr>
          <w:p w14:paraId="21B003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104510.00</w:t>
            </w:r>
          </w:p>
        </w:tc>
        <w:tc>
          <w:tcPr>
            <w:tcW w:w="1276" w:type="dxa"/>
          </w:tcPr>
          <w:p w14:paraId="7876067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21130.78</w:t>
            </w:r>
          </w:p>
        </w:tc>
        <w:tc>
          <w:tcPr>
            <w:tcW w:w="1417" w:type="dxa"/>
          </w:tcPr>
          <w:p w14:paraId="62E2395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20905.19</w:t>
            </w:r>
          </w:p>
        </w:tc>
        <w:tc>
          <w:tcPr>
            <w:tcW w:w="1508" w:type="dxa"/>
          </w:tcPr>
          <w:p w14:paraId="1BBF07F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3454.54</w:t>
            </w:r>
          </w:p>
        </w:tc>
      </w:tr>
      <w:tr w:rsidR="00CA57C6" w:rsidRPr="00EA04C9" w14:paraId="209A1F53" w14:textId="77777777" w:rsidTr="00CE126F">
        <w:tc>
          <w:tcPr>
            <w:tcW w:w="1413" w:type="dxa"/>
          </w:tcPr>
          <w:p w14:paraId="455BE5B0" w14:textId="77777777" w:rsidR="00CA57C6" w:rsidRPr="00196233" w:rsidRDefault="00CA57C6" w:rsidP="00CE126F">
            <w:pP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unempl_r     </w:t>
            </w:r>
          </w:p>
        </w:tc>
        <w:tc>
          <w:tcPr>
            <w:tcW w:w="1276" w:type="dxa"/>
          </w:tcPr>
          <w:p w14:paraId="7187738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5.79</w:t>
            </w:r>
          </w:p>
        </w:tc>
        <w:tc>
          <w:tcPr>
            <w:tcW w:w="992" w:type="dxa"/>
          </w:tcPr>
          <w:p w14:paraId="746876D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2.20</w:t>
            </w:r>
          </w:p>
        </w:tc>
        <w:tc>
          <w:tcPr>
            <w:tcW w:w="1134" w:type="dxa"/>
          </w:tcPr>
          <w:p w14:paraId="66A3B36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14.90</w:t>
            </w:r>
          </w:p>
        </w:tc>
        <w:tc>
          <w:tcPr>
            <w:tcW w:w="1276" w:type="dxa"/>
          </w:tcPr>
          <w:p w14:paraId="3126512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2.40</w:t>
            </w:r>
          </w:p>
        </w:tc>
        <w:tc>
          <w:tcPr>
            <w:tcW w:w="1417" w:type="dxa"/>
          </w:tcPr>
          <w:p w14:paraId="2604441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2.33</w:t>
            </w:r>
          </w:p>
        </w:tc>
        <w:tc>
          <w:tcPr>
            <w:tcW w:w="1508" w:type="dxa"/>
          </w:tcPr>
          <w:p w14:paraId="0CB5416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0.60</w:t>
            </w:r>
          </w:p>
        </w:tc>
      </w:tr>
      <w:tr w:rsidR="00CA57C6" w:rsidRPr="00EA04C9" w14:paraId="6F826CBC" w14:textId="77777777" w:rsidTr="00CE126F">
        <w:tc>
          <w:tcPr>
            <w:tcW w:w="1413" w:type="dxa"/>
          </w:tcPr>
          <w:p w14:paraId="53B07B02"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infl_r     </w:t>
            </w:r>
          </w:p>
        </w:tc>
        <w:tc>
          <w:tcPr>
            <w:tcW w:w="1276" w:type="dxa"/>
          </w:tcPr>
          <w:p w14:paraId="346BDCF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5.96</w:t>
            </w:r>
          </w:p>
        </w:tc>
        <w:tc>
          <w:tcPr>
            <w:tcW w:w="992" w:type="dxa"/>
          </w:tcPr>
          <w:p w14:paraId="2909808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0.70</w:t>
            </w:r>
          </w:p>
        </w:tc>
        <w:tc>
          <w:tcPr>
            <w:tcW w:w="1134" w:type="dxa"/>
          </w:tcPr>
          <w:p w14:paraId="6C953B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19.40</w:t>
            </w:r>
          </w:p>
        </w:tc>
        <w:tc>
          <w:tcPr>
            <w:tcW w:w="1276" w:type="dxa"/>
          </w:tcPr>
          <w:p w14:paraId="3427B38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4.28</w:t>
            </w:r>
          </w:p>
        </w:tc>
        <w:tc>
          <w:tcPr>
            <w:tcW w:w="1417" w:type="dxa"/>
          </w:tcPr>
          <w:p w14:paraId="721E4AA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1.95</w:t>
            </w:r>
          </w:p>
        </w:tc>
        <w:tc>
          <w:tcPr>
            <w:tcW w:w="1508" w:type="dxa"/>
          </w:tcPr>
          <w:p w14:paraId="0F23E7D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3.81</w:t>
            </w:r>
          </w:p>
        </w:tc>
      </w:tr>
      <w:tr w:rsidR="00CA57C6" w:rsidRPr="00EA04C9" w14:paraId="3CF4ED91" w14:textId="77777777" w:rsidTr="00CE126F">
        <w:tc>
          <w:tcPr>
            <w:tcW w:w="1413" w:type="dxa"/>
          </w:tcPr>
          <w:p w14:paraId="799260A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FSI    </w:t>
            </w:r>
          </w:p>
        </w:tc>
        <w:tc>
          <w:tcPr>
            <w:tcW w:w="1276" w:type="dxa"/>
          </w:tcPr>
          <w:p w14:paraId="7F91F5E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32.35</w:t>
            </w:r>
          </w:p>
        </w:tc>
        <w:tc>
          <w:tcPr>
            <w:tcW w:w="992" w:type="dxa"/>
          </w:tcPr>
          <w:p w14:paraId="1D936AA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0.00</w:t>
            </w:r>
          </w:p>
        </w:tc>
        <w:tc>
          <w:tcPr>
            <w:tcW w:w="1134" w:type="dxa"/>
          </w:tcPr>
          <w:p w14:paraId="3B70148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66.47</w:t>
            </w:r>
          </w:p>
        </w:tc>
        <w:tc>
          <w:tcPr>
            <w:tcW w:w="1276" w:type="dxa"/>
          </w:tcPr>
          <w:p w14:paraId="55D0B39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15.46</w:t>
            </w:r>
          </w:p>
        </w:tc>
        <w:tc>
          <w:tcPr>
            <w:tcW w:w="1417" w:type="dxa"/>
          </w:tcPr>
          <w:p w14:paraId="4287AB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15.45</w:t>
            </w:r>
          </w:p>
        </w:tc>
        <w:tc>
          <w:tcPr>
            <w:tcW w:w="1508" w:type="dxa"/>
          </w:tcPr>
          <w:p w14:paraId="69BE19E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w:t>
            </w:r>
          </w:p>
        </w:tc>
      </w:tr>
      <w:tr w:rsidR="00CA57C6" w:rsidRPr="00EA04C9" w14:paraId="7CE4BD39" w14:textId="77777777" w:rsidTr="00CE126F">
        <w:tc>
          <w:tcPr>
            <w:tcW w:w="1413" w:type="dxa"/>
          </w:tcPr>
          <w:p w14:paraId="1B4A9910"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share_high_skill    </w:t>
            </w:r>
          </w:p>
        </w:tc>
        <w:tc>
          <w:tcPr>
            <w:tcW w:w="1276" w:type="dxa"/>
          </w:tcPr>
          <w:p w14:paraId="17DEB5E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36.04</w:t>
            </w:r>
          </w:p>
        </w:tc>
        <w:tc>
          <w:tcPr>
            <w:tcW w:w="992" w:type="dxa"/>
          </w:tcPr>
          <w:p w14:paraId="55F6515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8.04</w:t>
            </w:r>
          </w:p>
        </w:tc>
        <w:tc>
          <w:tcPr>
            <w:tcW w:w="1134" w:type="dxa"/>
          </w:tcPr>
          <w:p w14:paraId="659C37D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96.43</w:t>
            </w:r>
          </w:p>
        </w:tc>
        <w:tc>
          <w:tcPr>
            <w:tcW w:w="1276" w:type="dxa"/>
          </w:tcPr>
          <w:p w14:paraId="351667B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23.82</w:t>
            </w:r>
          </w:p>
        </w:tc>
        <w:tc>
          <w:tcPr>
            <w:tcW w:w="1417" w:type="dxa"/>
          </w:tcPr>
          <w:p w14:paraId="37962EC0"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23.83</w:t>
            </w:r>
          </w:p>
        </w:tc>
        <w:tc>
          <w:tcPr>
            <w:tcW w:w="1508" w:type="dxa"/>
          </w:tcPr>
          <w:p w14:paraId="178C4FF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1.59</w:t>
            </w:r>
          </w:p>
        </w:tc>
      </w:tr>
      <w:tr w:rsidR="00CA57C6" w:rsidRPr="00EA04C9" w14:paraId="3B5DA2F7" w14:textId="77777777" w:rsidTr="00CE126F">
        <w:trPr>
          <w:trHeight w:val="166"/>
        </w:trPr>
        <w:tc>
          <w:tcPr>
            <w:tcW w:w="1413" w:type="dxa"/>
          </w:tcPr>
          <w:p w14:paraId="6E3C35A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tert_edu    </w:t>
            </w:r>
          </w:p>
        </w:tc>
        <w:tc>
          <w:tcPr>
            <w:tcW w:w="1276" w:type="dxa"/>
          </w:tcPr>
          <w:p w14:paraId="16E2607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31.06</w:t>
            </w:r>
          </w:p>
        </w:tc>
        <w:tc>
          <w:tcPr>
            <w:tcW w:w="992" w:type="dxa"/>
          </w:tcPr>
          <w:p w14:paraId="059C971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4.60</w:t>
            </w:r>
          </w:p>
        </w:tc>
        <w:tc>
          <w:tcPr>
            <w:tcW w:w="1134" w:type="dxa"/>
          </w:tcPr>
          <w:p w14:paraId="635E2F7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85.50</w:t>
            </w:r>
          </w:p>
        </w:tc>
        <w:tc>
          <w:tcPr>
            <w:tcW w:w="1276" w:type="dxa"/>
          </w:tcPr>
          <w:p w14:paraId="2F4FD2B4"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18.81</w:t>
            </w:r>
          </w:p>
        </w:tc>
        <w:tc>
          <w:tcPr>
            <w:tcW w:w="1417" w:type="dxa"/>
          </w:tcPr>
          <w:p w14:paraId="2453218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18.80</w:t>
            </w:r>
          </w:p>
        </w:tc>
        <w:tc>
          <w:tcPr>
            <w:tcW w:w="1508" w:type="dxa"/>
          </w:tcPr>
          <w:p w14:paraId="24390AB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bl>
    <w:p w14:paraId="7E8F3404" w14:textId="0A54DEA4" w:rsidR="008A3449" w:rsidRDefault="001130EB" w:rsidP="00CA57C6">
      <w:pPr>
        <w:rPr>
          <w:rFonts w:ascii="Times New Roman" w:hAnsi="Times New Roman" w:cs="Times New Roman"/>
          <w:sz w:val="24"/>
          <w:szCs w:val="24"/>
        </w:rPr>
      </w:pPr>
      <w:r w:rsidRPr="001130EB">
        <w:rPr>
          <w:rFonts w:ascii="Times New Roman" w:hAnsi="Times New Roman" w:cs="Times New Roman"/>
          <w:sz w:val="24"/>
          <w:szCs w:val="24"/>
          <w:highlight w:val="yellow"/>
        </w:rPr>
        <w:t>Source: own study based on Eurostat enterprise and labour market surveys: isoc_eb_ain2, isoc_ske_itspen2, isoc_ske_ittn2, nama_10_a64_e, sbs_sc_ovw, lfsa_eisn2, edat_lfs_9910, tps00203, tec00118, nama_10_pc, 2021–2024.</w:t>
      </w:r>
    </w:p>
    <w:p w14:paraId="07AD7A4B" w14:textId="5F140C40" w:rsidR="008A3449" w:rsidRDefault="008A3449" w:rsidP="00FB4BE9">
      <w:pPr>
        <w:pStyle w:val="Thesisbody"/>
      </w:pPr>
      <w:r w:rsidRPr="008A3449">
        <w:t xml:space="preserve">Table 1 presents summary statistics for all panel variables, decomposed into overall, between, and within standard deviations. The between–within decomposition is the single most informative structural feature of the dataset: for almost every variable, between-group variation vastly dominates within-group variation over time. Real wages, labour productivity, AI adoption, ICT </w:t>
      </w:r>
      <w:r>
        <w:t>complementarity</w:t>
      </w:r>
      <w:r w:rsidRPr="008A3449">
        <w:t xml:space="preserve">, and all structural controls exhibit between-to-within standard deviation ratios of between 6:1 and 17:1. This confirms that the European wage and technology landscape is characterised by deep, persistent structural heterogeneity across sectors and countries rather than by rapid dynamic change within entities over the four-year window. </w:t>
      </w:r>
      <w:r w:rsidRPr="00ED353B">
        <w:rPr>
          <w:highlight w:val="yellow"/>
        </w:rPr>
        <w:t>From an econometric perspective, this dominance of between variance is the primary quantitative justification for the</w:t>
      </w:r>
      <w:r w:rsidR="00BA5ADA" w:rsidRPr="00ED353B">
        <w:rPr>
          <w:highlight w:val="yellow"/>
        </w:rPr>
        <w:t xml:space="preserve"> model</w:t>
      </w:r>
      <w:r w:rsidRPr="00ED353B">
        <w:rPr>
          <w:highlight w:val="yellow"/>
        </w:rPr>
        <w:t xml:space="preserve">, which explicitly models both the cross-sectional level differences </w:t>
      </w:r>
      <w:r w:rsidRPr="00ED353B">
        <w:rPr>
          <w:highlight w:val="yellow"/>
        </w:rPr>
        <w:lastRenderedPageBreak/>
        <w:t>and the within-entity deviations as separate identification channels.</w:t>
      </w:r>
      <w:r w:rsidR="00BA5ADA" w:rsidRPr="00ED353B">
        <w:rPr>
          <w:highlight w:val="yellow"/>
        </w:rPr>
        <w:t xml:space="preserve"> Correlated Random Effects model could one of the models suits for this specification.</w:t>
      </w:r>
      <w:r w:rsidR="00BA5ADA">
        <w:t xml:space="preserve"> </w:t>
      </w:r>
    </w:p>
    <w:p w14:paraId="21907B92" w14:textId="6B5424CF" w:rsidR="008A3449" w:rsidRDefault="00ED353B" w:rsidP="00FB4BE9">
      <w:pPr>
        <w:pStyle w:val="Thesisbody"/>
      </w:pPr>
      <w:r w:rsidRPr="00ED353B">
        <w:t>The sole exception is the inflation rate, where within-standard deviation (3.81) substantially exceeds between-standard deviation (1.95)</w:t>
      </w:r>
      <w:r>
        <w:t xml:space="preserve">. </w:t>
      </w:r>
      <w:r w:rsidRPr="00ED353B">
        <w:t>This confirms that inflation operated as a common time-series shock rather than a structural cross-country difference across the sample period</w:t>
      </w:r>
      <w:r>
        <w:t>. This pattern</w:t>
      </w:r>
      <w:r w:rsidRPr="00ED353B">
        <w:t xml:space="preserve"> consistent with the energy-price surge of 2022–2023 that affected all EU economies simultaneously</w:t>
      </w:r>
      <w:r w:rsidR="008D095D">
        <w:t xml:space="preserve"> [29]</w:t>
      </w:r>
      <w:r w:rsidRPr="00ED353B">
        <w:t>. Unemployment, by contrast, is almost entirely structural (Between_Std = 2.33, Within_Std = 0.60): countries with persistently high unemployment at the start of the panel retained that position throughout.</w:t>
      </w:r>
    </w:p>
    <w:p w14:paraId="645D9FD0" w14:textId="2D84A5A5" w:rsidR="008A3449" w:rsidRDefault="00ED353B" w:rsidP="00FB4BE9">
      <w:pPr>
        <w:pStyle w:val="Thesisbody"/>
      </w:pPr>
      <w:r w:rsidRPr="00ED353B">
        <w:t xml:space="preserve">Two further observations bear directly on the modelling strategy. First, the average AI adoption rate of 10.87% is low relative to the ICT </w:t>
      </w:r>
      <w:r>
        <w:t>complementarity</w:t>
      </w:r>
      <w:r w:rsidRPr="00ED353B">
        <w:t xml:space="preserve"> variables (spec_ict mean = 26.59%; training_ict mean = 25.89%), confirming that enterprise AI integration remains an early-diffusion phenomenon even while broader digital infrastructure is well established. Second, share_high_skill and tert_edu are effectively time-invariant over this panel (Within_Std ≈ 1.5 for both), which means they function as structural baseline controls rather than dynamic predictors and must be treated accordingly in the fixed-effects specifications to avoid absorbing country-level variation.</w:t>
      </w:r>
    </w:p>
    <w:p w14:paraId="7615F357" w14:textId="7ECE5D91" w:rsidR="00450BB5" w:rsidRPr="005F4407" w:rsidRDefault="000134C0" w:rsidP="00FB4BE9">
      <w:pPr>
        <w:pStyle w:val="Thesisbody"/>
      </w:pPr>
      <w:r w:rsidRPr="000134C0">
        <w:t xml:space="preserve">The distributional properties of all variables are examined in full in Figure A1 (Appendix). Two findings carry direct implications for functional form in the regression specifications. </w:t>
      </w:r>
      <w:r w:rsidR="006A3D5C" w:rsidRPr="006A3D5C">
        <w:t>First, the three monetary variables</w:t>
      </w:r>
      <w:r w:rsidR="005E3931">
        <w:t>,</w:t>
      </w:r>
      <w:r w:rsidR="00A236CB">
        <w:t xml:space="preserve"> </w:t>
      </w:r>
      <w:r w:rsidR="006A3D5C" w:rsidRPr="006A3D5C">
        <w:t>real wages, labour productivity, and GDP per capita</w:t>
      </w:r>
      <w:r w:rsidR="005E3931">
        <w:t xml:space="preserve">, </w:t>
      </w:r>
      <w:r w:rsidR="006A3D5C" w:rsidRPr="006A3D5C">
        <w:t xml:space="preserve"> exhibit moderate to severe right skew and are </w:t>
      </w:r>
      <w:r w:rsidR="007B5E76">
        <w:t xml:space="preserve">would be </w:t>
      </w:r>
      <w:r w:rsidR="006A3D5C" w:rsidRPr="006A3D5C">
        <w:t>entered in natural logarithm form in all subsequent specifications. </w:t>
      </w:r>
      <w:r w:rsidRPr="000134C0">
        <w:t>Second, share_high_skill and FSI display bimodal distributions, reflecting the structural split between predominantly manual sectors</w:t>
      </w:r>
      <w:r w:rsidR="003C38C0">
        <w:t xml:space="preserve"> </w:t>
      </w:r>
      <w:r w:rsidR="003C38C0" w:rsidRPr="00450BB5">
        <w:t>(Construction, Manufacturing, Accommodation)</w:t>
      </w:r>
      <w:r w:rsidR="003C38C0">
        <w:t xml:space="preserve"> </w:t>
      </w:r>
      <w:r w:rsidRPr="000134C0">
        <w:t>and cognitively intensive ones</w:t>
      </w:r>
      <w:r w:rsidR="003C38C0">
        <w:t xml:space="preserve"> </w:t>
      </w:r>
      <w:r w:rsidR="003C38C0" w:rsidRPr="00450BB5">
        <w:t>(Information and Communication, professional services)</w:t>
      </w:r>
      <w:r w:rsidRPr="000134C0">
        <w:t xml:space="preserve">. This bimodality is a distributional expression of the same sectoral heterogeneity that motivates the inclusion of </w:t>
      </w:r>
      <w:r>
        <w:t xml:space="preserve"> the </w:t>
      </w:r>
      <w:r w:rsidRPr="000134C0">
        <w:t>sector fixed effects throughout the empirical model.</w:t>
      </w:r>
    </w:p>
    <w:p w14:paraId="4B6464DC" w14:textId="7A3C6C98" w:rsidR="00CA57C6" w:rsidRDefault="005F4407" w:rsidP="00E16CF4">
      <w:pPr>
        <w:pStyle w:val="Thesisbody"/>
        <w:jc w:val="center"/>
        <w:rPr>
          <w:noProof/>
        </w:rPr>
      </w:pPr>
      <w:r w:rsidRPr="005F4407">
        <w:rPr>
          <w:noProof/>
        </w:rPr>
        <w:lastRenderedPageBreak/>
        <w:drawing>
          <wp:inline distT="0" distB="0" distL="0" distR="0" wp14:anchorId="7B1EF269" wp14:editId="78F694B9">
            <wp:extent cx="4352394" cy="3639312"/>
            <wp:effectExtent l="0" t="0" r="0" b="0"/>
            <wp:docPr id="9245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3430" name=""/>
                    <pic:cNvPicPr/>
                  </pic:nvPicPr>
                  <pic:blipFill>
                    <a:blip r:embed="rId11"/>
                    <a:stretch>
                      <a:fillRect/>
                    </a:stretch>
                  </pic:blipFill>
                  <pic:spPr>
                    <a:xfrm>
                      <a:off x="0" y="0"/>
                      <a:ext cx="4357232" cy="3643357"/>
                    </a:xfrm>
                    <a:prstGeom prst="rect">
                      <a:avLst/>
                    </a:prstGeom>
                  </pic:spPr>
                </pic:pic>
              </a:graphicData>
            </a:graphic>
          </wp:inline>
        </w:drawing>
      </w:r>
    </w:p>
    <w:p w14:paraId="09937FE9" w14:textId="6C1EBF5A" w:rsidR="00EC25D3" w:rsidRPr="00D7658B" w:rsidRDefault="00EE0BF5" w:rsidP="00D7658B">
      <w:pPr>
        <w:pStyle w:val="Figurethesis"/>
        <w:rPr>
          <w:rStyle w:val="FigurethesisChar"/>
          <w:rFonts w:cstheme="minorBidi"/>
          <w:szCs w:val="22"/>
          <w:highlight w:val="yellow"/>
        </w:rPr>
      </w:pPr>
      <w:r w:rsidRPr="00D7658B">
        <w:rPr>
          <w:highlight w:val="yellow"/>
        </w:rPr>
        <w:t xml:space="preserve">Figure </w:t>
      </w:r>
      <w:r w:rsidR="00AB4BE7" w:rsidRPr="00D7658B">
        <w:rPr>
          <w:rStyle w:val="FigurethesisChar"/>
          <w:rFonts w:cstheme="minorBidi"/>
          <w:szCs w:val="22"/>
          <w:highlight w:val="yellow"/>
        </w:rPr>
        <w:t>2</w:t>
      </w:r>
      <w:r w:rsidRPr="00D7658B">
        <w:rPr>
          <w:highlight w:val="yellow"/>
        </w:rPr>
        <w:t>. Pearson pairwise correlation matrix of panel variables, 2021–2024.</w:t>
      </w:r>
    </w:p>
    <w:p w14:paraId="6157EA0C" w14:textId="455EB524" w:rsidR="005C2CAA" w:rsidRPr="00D7658B" w:rsidRDefault="005C2CAA" w:rsidP="00D7658B">
      <w:pPr>
        <w:pStyle w:val="fig3thesis"/>
        <w:rPr>
          <w:highlight w:val="yellow"/>
        </w:rPr>
      </w:pPr>
      <w:r w:rsidRPr="00D7658B">
        <w:rPr>
          <w:rStyle w:val="FigurethesisChar"/>
          <w:sz w:val="20"/>
          <w:highlight w:val="yellow"/>
        </w:rPr>
        <w:t xml:space="preserve">Filed to: </w:t>
      </w:r>
      <w:r w:rsidR="00CB662E" w:rsidRPr="00D7658B">
        <w:rPr>
          <w:highlight w:val="yellow"/>
        </w:rPr>
        <w:t xml:space="preserve">r </w:t>
      </w:r>
      <w:r w:rsidR="00CB662E" w:rsidRPr="00D7658B">
        <w:rPr>
          <w:highlight w:val="yellow"/>
        </w:rPr>
        <w:t>-</w:t>
      </w:r>
      <w:r w:rsidR="00CB662E" w:rsidRPr="00D7658B">
        <w:rPr>
          <w:highlight w:val="yellow"/>
        </w:rPr>
        <w:t xml:space="preserve"> Pearson correlation coefficient; values range from −1 to +1; shading intensity</w:t>
      </w:r>
      <w:r w:rsidR="00CB662E" w:rsidRPr="00D7658B">
        <w:rPr>
          <w:highlight w:val="yellow"/>
        </w:rPr>
        <w:t>.</w:t>
      </w:r>
    </w:p>
    <w:p w14:paraId="48A6509A" w14:textId="35A3281C" w:rsidR="005F4407" w:rsidRPr="00D7658B" w:rsidRDefault="00EE0BF5" w:rsidP="00D7658B">
      <w:pPr>
        <w:pStyle w:val="fig3thesis"/>
      </w:pPr>
      <w:r w:rsidRPr="00D7658B">
        <w:rPr>
          <w:highlight w:val="yellow"/>
        </w:rPr>
        <w:t>Source: own study based on Eurostat enterprise and labour market surveys (isoc_eb_ain2, isoc_ske_itspen2, isoc_ske_ittn2, nama_10_a64_e, sbs_sc_ovw, lfsa_eisn2, edat_lfs_9910, tps00203, tec00118, nama_10_pc), 2021–2024.</w:t>
      </w:r>
    </w:p>
    <w:p w14:paraId="7AB5AFBE" w14:textId="0C37A9ED" w:rsidR="00C16088" w:rsidRDefault="00BC6CB8" w:rsidP="00482273">
      <w:pPr>
        <w:pStyle w:val="Thesisbody"/>
        <w:rPr>
          <w:noProof/>
          <w:lang w:val="en"/>
        </w:rPr>
      </w:pPr>
      <w:r w:rsidRPr="00BC6CB8">
        <w:rPr>
          <w:noProof/>
          <w:lang w:val="en"/>
        </w:rPr>
        <w:t xml:space="preserve">Figure </w:t>
      </w:r>
      <w:r w:rsidR="00AD799D">
        <w:rPr>
          <w:noProof/>
          <w:lang w:val="en"/>
        </w:rPr>
        <w:t>2</w:t>
      </w:r>
      <w:r w:rsidRPr="00BC6CB8">
        <w:rPr>
          <w:noProof/>
          <w:lang w:val="en"/>
        </w:rPr>
        <w:t xml:space="preserve"> reveals a dominant multicollinearity block among the technology and human capital variables: ICT Specialists, ICT Training, High-Skill Share, and Tertiary Education correlate with each other at r = 0.82–0.94. AI Adoption sits at the centre of this cluster (r = 0.81 with ICT Specialists</w:t>
      </w:r>
      <w:r w:rsidR="006E5D30">
        <w:rPr>
          <w:noProof/>
          <w:lang w:val="en"/>
        </w:rPr>
        <w:t xml:space="preserve"> and</w:t>
      </w:r>
      <w:r w:rsidRPr="00BC6CB8">
        <w:rPr>
          <w:noProof/>
          <w:lang w:val="en"/>
        </w:rPr>
        <w:t xml:space="preserve"> r = 0.84 with ICT Training), reflecting the fact that sectors that adopt AI are structurally the same sectors that already employ digitally capable workers and invest in training. </w:t>
      </w:r>
      <w:r w:rsidR="00C16088">
        <w:rPr>
          <w:noProof/>
          <w:lang w:val="en"/>
        </w:rPr>
        <w:t>F</w:t>
      </w:r>
      <w:r w:rsidR="00C16088" w:rsidRPr="00C16088">
        <w:rPr>
          <w:noProof/>
        </w:rPr>
        <w:t xml:space="preserve">ollowing Wooldridge’s treatment of multicollinearity, high pairwise correlations among regressors (above roughly 0.8) and very large variance inflation factors indicate that the model cannot separately identify their individual effects, leading to inflated standard errors and unstable estimates. </w:t>
      </w:r>
      <w:r w:rsidR="00C16088">
        <w:rPr>
          <w:noProof/>
        </w:rPr>
        <w:t>A</w:t>
      </w:r>
      <w:r w:rsidR="00C16088" w:rsidRPr="00C16088">
        <w:rPr>
          <w:noProof/>
        </w:rPr>
        <w:t>s recommended in econometric texts, a natural remedy is to drop or alternate highly collinear variables that measure similar underlying phenomena, or to combine them into a single index</w:t>
      </w:r>
      <w:r w:rsidR="00C16088">
        <w:rPr>
          <w:noProof/>
        </w:rPr>
        <w:t xml:space="preserve"> [30]</w:t>
      </w:r>
      <w:r w:rsidR="00C16088" w:rsidRPr="00C16088">
        <w:rPr>
          <w:noProof/>
        </w:rPr>
        <w:t xml:space="preserve">. Given the correlation of r = 0.94 between ICT Specialists and ICT Training, this </w:t>
      </w:r>
      <w:r w:rsidR="00C16088">
        <w:rPr>
          <w:noProof/>
        </w:rPr>
        <w:t>work</w:t>
      </w:r>
      <w:r w:rsidR="00C16088" w:rsidRPr="00C16088">
        <w:rPr>
          <w:noProof/>
        </w:rPr>
        <w:t xml:space="preserve"> therefore estimates alternative specifications in which these two ICT-capacity measures are introduced separately rather than jointly</w:t>
      </w:r>
    </w:p>
    <w:p w14:paraId="768730F5" w14:textId="12C0C3EC" w:rsidR="00BC6CB8" w:rsidRPr="00BC6CB8" w:rsidRDefault="00BC6CB8" w:rsidP="00482273">
      <w:pPr>
        <w:pStyle w:val="Thesisbody"/>
        <w:rPr>
          <w:noProof/>
          <w:lang w:val="en"/>
        </w:rPr>
      </w:pPr>
      <w:r w:rsidRPr="00BC6CB8">
        <w:rPr>
          <w:noProof/>
          <w:lang w:val="en"/>
        </w:rPr>
        <w:t xml:space="preserve">GDP per capita (r = 0.80) and labour productivity (r = 0.60) are the two strongest correlates of real wages, as expected given that sectoral wages are bounded by value-added </w:t>
      </w:r>
      <w:r w:rsidRPr="00BC6CB8">
        <w:rPr>
          <w:noProof/>
          <w:lang w:val="en"/>
        </w:rPr>
        <w:lastRenderedPageBreak/>
        <w:t>capacity. AI Adoption shows a moderate positive raw correlation with real wages (r = 0.57), providing cross-sectional support for the between-sector reinstatement hypothesis (H2). This association reflects the co-location of high AI adoption and high wages within the same structurally advanced sectors and higher-income countries, which is precisely why country and sector fixed effects are required to isolate the within-entity channel</w:t>
      </w:r>
      <w:r w:rsidR="007942C6">
        <w:rPr>
          <w:noProof/>
          <w:lang w:val="en"/>
        </w:rPr>
        <w:t xml:space="preserve"> [17]</w:t>
      </w:r>
      <w:r w:rsidRPr="00BC6CB8">
        <w:rPr>
          <w:noProof/>
          <w:lang w:val="en"/>
        </w:rPr>
        <w:t>.</w:t>
      </w:r>
    </w:p>
    <w:p w14:paraId="50E82FBC" w14:textId="53D91FA1" w:rsidR="005F4407" w:rsidRPr="005241AD" w:rsidRDefault="00BC6CB8" w:rsidP="00482273">
      <w:pPr>
        <w:pStyle w:val="Thesisbody"/>
        <w:rPr>
          <w:noProof/>
          <w:lang w:val="en"/>
        </w:rPr>
      </w:pPr>
      <w:r w:rsidRPr="00BC6CB8">
        <w:rPr>
          <w:noProof/>
          <w:lang w:val="en"/>
        </w:rPr>
        <w:t>The macro controls behave as expected and do not introduce additional collinearity pressure. Inflation is negatively correlated with real wages (r = −0.31) and near-zero against all technology variables, confirming it captures a time-series macroeconomic shock orthogonal to the digital structure of sectors. Unemployment is essentially uncorrelated with the entire technology block (all |r| &lt; 0.12). The Firm Size Index shows only moderate associations across all variables (max r = 0.31), confirming it captures a distinct dimension of sectoral market structure and can be safely retained across all specifications.</w:t>
      </w:r>
    </w:p>
    <w:p w14:paraId="657E1D85" w14:textId="70BFD69E" w:rsidR="00CA57C6" w:rsidRPr="00EA04C9" w:rsidRDefault="007103A8" w:rsidP="006D3DCC">
      <w:pPr>
        <w:pStyle w:val="Thesisbody"/>
      </w:pPr>
      <w:r w:rsidRPr="007103A8">
        <w:rPr>
          <w:noProof/>
        </w:rPr>
        <w:drawing>
          <wp:inline distT="0" distB="0" distL="0" distR="0" wp14:anchorId="0A996217" wp14:editId="7F418C6A">
            <wp:extent cx="4891516" cy="3764903"/>
            <wp:effectExtent l="0" t="0" r="4445" b="7620"/>
            <wp:docPr id="159711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11830" name=""/>
                    <pic:cNvPicPr/>
                  </pic:nvPicPr>
                  <pic:blipFill>
                    <a:blip r:embed="rId12"/>
                    <a:stretch>
                      <a:fillRect/>
                    </a:stretch>
                  </pic:blipFill>
                  <pic:spPr>
                    <a:xfrm>
                      <a:off x="0" y="0"/>
                      <a:ext cx="4915716" cy="3783529"/>
                    </a:xfrm>
                    <a:prstGeom prst="rect">
                      <a:avLst/>
                    </a:prstGeom>
                  </pic:spPr>
                </pic:pic>
              </a:graphicData>
            </a:graphic>
          </wp:inline>
        </w:drawing>
      </w:r>
    </w:p>
    <w:p w14:paraId="1D7F29D1" w14:textId="3133B40C" w:rsidR="00C4490D" w:rsidRDefault="00817B65" w:rsidP="00220971">
      <w:pPr>
        <w:pStyle w:val="Figurethesis"/>
        <w:rPr>
          <w:rStyle w:val="FigurethesisChar"/>
          <w:highlight w:val="yellow"/>
        </w:rPr>
      </w:pPr>
      <w:r w:rsidRPr="00970D68">
        <w:rPr>
          <w:rStyle w:val="FigurethesisChar"/>
          <w:highlight w:val="yellow"/>
        </w:rPr>
        <w:t xml:space="preserve">Figure </w:t>
      </w:r>
      <w:r w:rsidR="00220971">
        <w:rPr>
          <w:rStyle w:val="FigurethesisChar"/>
          <w:highlight w:val="yellow"/>
        </w:rPr>
        <w:t>3</w:t>
      </w:r>
      <w:r w:rsidRPr="00970D68">
        <w:rPr>
          <w:rStyle w:val="FigurethesisChar"/>
          <w:highlight w:val="yellow"/>
        </w:rPr>
        <w:t>. Geographic distribution of the AI Intensity Index (EU = 100), period average 2021–2024.</w:t>
      </w:r>
    </w:p>
    <w:p w14:paraId="7E408800" w14:textId="0F5A7D22" w:rsidR="00970D68" w:rsidRPr="00220971" w:rsidRDefault="00817B65" w:rsidP="00220971">
      <w:pPr>
        <w:pStyle w:val="fig3thesis"/>
        <w:rPr>
          <w:highlight w:val="yellow"/>
        </w:rPr>
      </w:pPr>
      <w:r w:rsidRPr="00220971">
        <w:rPr>
          <w:rStyle w:val="fig3thesisChar"/>
          <w:i/>
          <w:highlight w:val="yellow"/>
        </w:rPr>
        <w:t>Filed to: index (dimensionless), European Union average = 100; darker shades indicate higher AI intensity.</w:t>
      </w:r>
    </w:p>
    <w:p w14:paraId="0269E313" w14:textId="72B3FEBD" w:rsidR="00817B65" w:rsidRPr="00220971" w:rsidRDefault="00817B65" w:rsidP="00220971">
      <w:pPr>
        <w:pStyle w:val="fig3thesis"/>
        <w:rPr>
          <w:rStyle w:val="fig3thesisChar"/>
          <w:i/>
          <w:highlight w:val="yellow"/>
        </w:rPr>
      </w:pPr>
      <w:r w:rsidRPr="00220971">
        <w:rPr>
          <w:rStyle w:val="fig3thesisChar"/>
          <w:i/>
          <w:highlight w:val="yellow"/>
        </w:rPr>
        <w:t>Source: own calculations based on Eurostat enterprise survey on AI adoption (isoc_eb_ain2), 2021–2024.</w:t>
      </w:r>
    </w:p>
    <w:p w14:paraId="7FB93C3A" w14:textId="327EFB1E" w:rsidR="00817B65" w:rsidRDefault="00817B65" w:rsidP="00645BB5">
      <w:pPr>
        <w:pStyle w:val="Thesisbody"/>
      </w:pPr>
      <w:r w:rsidRPr="00817B65">
        <w:t xml:space="preserve">Figure </w:t>
      </w:r>
      <w:r w:rsidR="00220971">
        <w:t>3</w:t>
      </w:r>
      <w:r w:rsidRPr="00817B65">
        <w:t xml:space="preserve"> maps the cross-country distribution of the AI Intensity Index, normalised to an EU average of 100. The darkest shading is concentrated in the Nordic member states, where </w:t>
      </w:r>
      <w:r w:rsidRPr="00817B65">
        <w:lastRenderedPageBreak/>
        <w:t>index values frequently exceed 150, indicating structurally higher enterprise AI adoption relative to the European baseline. A secondary cluster of above-average intensity is visible in parts of Western Europe, while large parts of Central, Eastern, and Southern Europe lie clearly below the index threshold of 100. Taken together, the map reveals a</w:t>
      </w:r>
      <w:r w:rsidR="009A3B06">
        <w:t xml:space="preserve">n established </w:t>
      </w:r>
      <w:r w:rsidRPr="00817B65">
        <w:t>North–West versus East–South digital divide in enterprise AI integration</w:t>
      </w:r>
      <w:r w:rsidR="009A3B06">
        <w:t xml:space="preserve"> [17]</w:t>
      </w:r>
      <w:r w:rsidRPr="00817B65">
        <w:t>.</w:t>
      </w:r>
    </w:p>
    <w:p w14:paraId="1E90BE2C" w14:textId="502990F7" w:rsidR="00614D9D" w:rsidRPr="00817B65" w:rsidRDefault="00614D9D" w:rsidP="00645BB5">
      <w:pPr>
        <w:pStyle w:val="Thesisbody"/>
      </w:pPr>
      <w:r w:rsidRPr="00614D9D">
        <w:t xml:space="preserve">Figure </w:t>
      </w:r>
      <w:r>
        <w:t>A2 in</w:t>
      </w:r>
      <w:r w:rsidRPr="00614D9D">
        <w:t xml:space="preserve"> Appendix summarises the cross</w:t>
      </w:r>
      <w:r w:rsidRPr="00614D9D">
        <w:noBreakHyphen/>
        <w:t>country dispersion and time evolution of AI adoption, real wages, ICT specialists, and ICT training across NACE</w:t>
      </w:r>
      <w:r>
        <w:t xml:space="preserve"> Rev.2</w:t>
      </w:r>
      <w:r w:rsidRPr="00614D9D">
        <w:t xml:space="preserve"> sectors. The boxplots highlight the extreme digital intensity of Information and Communication (J), where between 60–80% of workers are ICT specialists and around 60% of enterprises offer ICT training, while no other sector reaches a median above 25% for either metric. Despite this digital leadership, median wages in sector J are only slightly higher than in Manufacturing (C) and Wholesale &amp; Retail (G), although J contains the highest wage outliers in the sample. Over 2021–2024, AI adoption and ICT training rise sharply and in a tightly synchronised pattern across most sectors, whereas the distribution of ICT specialists is almost flat, indicating that firms expand short</w:t>
      </w:r>
      <w:r w:rsidRPr="00614D9D">
        <w:noBreakHyphen/>
        <w:t xml:space="preserve">term training much faster than they can increase their stock of specialised ICT labour. Construction (F) and Accommodation &amp; Food (I) remain </w:t>
      </w:r>
      <w:r>
        <w:t>at the end</w:t>
      </w:r>
      <w:r w:rsidRPr="00614D9D">
        <w:t>, with near</w:t>
      </w:r>
      <w:r w:rsidRPr="00614D9D">
        <w:noBreakHyphen/>
        <w:t>zero medians for all three digital variables and the lowest, tightest wage distributions, suggesting that these highly physical, localised activities are only weakly exposed to the current wave of AI</w:t>
      </w:r>
      <w:r w:rsidRPr="00614D9D">
        <w:noBreakHyphen/>
        <w:t>driven technological change.</w:t>
      </w:r>
    </w:p>
    <w:p w14:paraId="19922C17" w14:textId="39C0873D" w:rsidR="00A53C33" w:rsidRPr="00EA04C9" w:rsidRDefault="00933E16" w:rsidP="00E16CF4">
      <w:pPr>
        <w:pStyle w:val="Thesisbody"/>
      </w:pPr>
      <w:r w:rsidRPr="00933E16">
        <w:rPr>
          <w:noProof/>
        </w:rPr>
        <w:drawing>
          <wp:inline distT="0" distB="0" distL="0" distR="0" wp14:anchorId="2A110EFF" wp14:editId="2442B539">
            <wp:extent cx="4749281" cy="2799824"/>
            <wp:effectExtent l="0" t="0" r="0" b="635"/>
            <wp:docPr id="1038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571" name=""/>
                    <pic:cNvPicPr/>
                  </pic:nvPicPr>
                  <pic:blipFill>
                    <a:blip r:embed="rId13"/>
                    <a:stretch>
                      <a:fillRect/>
                    </a:stretch>
                  </pic:blipFill>
                  <pic:spPr>
                    <a:xfrm>
                      <a:off x="0" y="0"/>
                      <a:ext cx="4770816" cy="2812519"/>
                    </a:xfrm>
                    <a:prstGeom prst="rect">
                      <a:avLst/>
                    </a:prstGeom>
                  </pic:spPr>
                </pic:pic>
              </a:graphicData>
            </a:graphic>
          </wp:inline>
        </w:drawing>
      </w:r>
    </w:p>
    <w:p w14:paraId="158115F3" w14:textId="3BE38504" w:rsidR="00970D68" w:rsidRDefault="00A53C33" w:rsidP="00A92E89">
      <w:pPr>
        <w:pStyle w:val="Figurethesis"/>
        <w:rPr>
          <w:rStyle w:val="FigurethesisChar"/>
          <w:highlight w:val="yellow"/>
        </w:rPr>
      </w:pPr>
      <w:r w:rsidRPr="006D3DCC">
        <w:rPr>
          <w:rStyle w:val="FigurethesisChar"/>
          <w:highlight w:val="yellow"/>
        </w:rPr>
        <w:t xml:space="preserve">Figure </w:t>
      </w:r>
      <w:r w:rsidR="00D32E89">
        <w:rPr>
          <w:rStyle w:val="FigurethesisChar"/>
          <w:highlight w:val="yellow"/>
        </w:rPr>
        <w:t>4</w:t>
      </w:r>
      <w:r w:rsidRPr="006D3DCC">
        <w:rPr>
          <w:rStyle w:val="FigurethesisChar"/>
          <w:highlight w:val="yellow"/>
        </w:rPr>
        <w:t>. AI adoption and real wages, moderated by ICT training and ICT specialists, in the years 2021–2024.</w:t>
      </w:r>
    </w:p>
    <w:p w14:paraId="6D570041" w14:textId="77777777" w:rsidR="00970D68" w:rsidRPr="00A92E89" w:rsidRDefault="00A53C33" w:rsidP="00A92E89">
      <w:pPr>
        <w:pStyle w:val="fig3thesis"/>
        <w:rPr>
          <w:rStyle w:val="fig3thesisChar"/>
          <w:i/>
          <w:highlight w:val="yellow"/>
        </w:rPr>
      </w:pPr>
      <w:r w:rsidRPr="00A92E89">
        <w:rPr>
          <w:highlight w:val="yellow"/>
        </w:rPr>
        <w:lastRenderedPageBreak/>
        <w:t>Filed to: AI adoption – percentage of enterprises; real wages – EUR per hour; ICT training – percentage of enterprises providing ICT training (colour scale); ICT specialists – percentage of enterprises employing ICT specialists (bubble size).</w:t>
      </w:r>
    </w:p>
    <w:p w14:paraId="19C2C906" w14:textId="214EF699" w:rsidR="00A53C33" w:rsidRPr="00A92E89" w:rsidRDefault="00A53C33" w:rsidP="00A92E89">
      <w:pPr>
        <w:pStyle w:val="fig3thesis"/>
        <w:rPr>
          <w:highlight w:val="yellow"/>
        </w:rPr>
      </w:pPr>
      <w:r w:rsidRPr="00A92E89">
        <w:rPr>
          <w:highlight w:val="yellow"/>
        </w:rPr>
        <w:t>Source: own study based on Eurostat enterprise and labour market surveys (isoc_eb_ain2, isoc_ske_ittn2, isoc_ske_itspen2, nama_10_a64_e), 2021–2024.</w:t>
      </w:r>
    </w:p>
    <w:p w14:paraId="2B461850" w14:textId="27E702A9" w:rsidR="00CA57C6" w:rsidRDefault="00A53C33" w:rsidP="002C4421">
      <w:pPr>
        <w:pStyle w:val="Thesisbody"/>
      </w:pPr>
      <w:r w:rsidRPr="00A53C33">
        <w:t xml:space="preserve">Figure </w:t>
      </w:r>
      <w:r w:rsidR="00D32E89">
        <w:t>4</w:t>
      </w:r>
      <w:r w:rsidRPr="00A53C33">
        <w:t xml:space="preserve"> plots AI adoption on the horizontal axis and real wages on the vertical axis for each country–sector pair, with bubble colour indicating ICT training intensity and bubble size indicating the share of ICT specialists. Across all four years, a clear positive association between AI adoption and wages is visible: high</w:t>
      </w:r>
      <w:r w:rsidRPr="00A53C33">
        <w:noBreakHyphen/>
        <w:t>adoption observations (40–70% of enterprises using AI) cluster almost exclusively in the 30–50 EUR/hour wage range, whereas low</w:t>
      </w:r>
      <w:r w:rsidRPr="00A53C33">
        <w:noBreakHyphen/>
        <w:t>adoption observations are concentrated at much lower wage levels. However, the wide vertical spread of wages at moderate adoption levels (10–25%) shows that AI alone does not determine wage outcomes. The highest</w:t>
      </w:r>
      <w:r w:rsidRPr="00A53C33">
        <w:noBreakHyphen/>
        <w:t>wage observations in this mid</w:t>
      </w:r>
      <w:r w:rsidRPr="00A53C33">
        <w:noBreakHyphen/>
        <w:t>range are almost always large, bright bubbles, indicating that high wages are achieved only where AI adoption is combined with intensive ICT training and a high share of ICT specialists. This provides visual support for the thesis’ interaction hypothesis: AI technology and ICT skills act as complements, with the wage effect of AI adoption being strongly amplified in sectors that simultaneously invest in training and specialised digital labour. Over time, the cloud of observations shifts rightward, reflecting the diffusion of AI across sectors between 2021 and 2024, while the low</w:t>
      </w:r>
      <w:r w:rsidRPr="00A53C33">
        <w:noBreakHyphen/>
        <w:t>skill, low</w:t>
      </w:r>
      <w:r w:rsidRPr="00A53C33">
        <w:noBreakHyphen/>
        <w:t>training group in the bottom-left remains largely immobile, signalling a widening digital divide within the European economy</w:t>
      </w:r>
      <w:r>
        <w:t>.</w:t>
      </w:r>
    </w:p>
    <w:p w14:paraId="401F5482" w14:textId="624B7310" w:rsidR="00A53C33" w:rsidRDefault="000B06D0" w:rsidP="002C4421">
      <w:pPr>
        <w:pStyle w:val="Thesisbody"/>
      </w:pPr>
      <w:r w:rsidRPr="000B06D0">
        <w:t>As a robustness check, potential outliers in the three core technology variables (AI adoption, ICT specialists, ICT training) were identified using a conditional interquartile</w:t>
      </w:r>
      <w:r w:rsidRPr="000B06D0">
        <w:noBreakHyphen/>
        <w:t>range rule applied separately within each sector–year. This procedure flags a small number of extreme but structurally plausible cases, such as very high AI adoption in Denmark and Norway in traditional sectors and unusually dense concentrations of ICT specialists in selected transport and logistics industries</w:t>
      </w:r>
      <w:r>
        <w:t>,</w:t>
      </w:r>
      <w:r w:rsidRPr="000B06D0">
        <w:t xml:space="preserve"> </w:t>
      </w:r>
      <w:r>
        <w:t>follow</w:t>
      </w:r>
      <w:r w:rsidRPr="000B06D0">
        <w:t xml:space="preserve"> Table A</w:t>
      </w:r>
      <w:r w:rsidR="008B1FB1">
        <w:t>3</w:t>
      </w:r>
      <w:r w:rsidRPr="000B06D0">
        <w:t xml:space="preserve"> in the Appendix. Because these observations reflect genuine frontier positions rather than measurement errors, they are retained in the sample</w:t>
      </w:r>
      <w:r w:rsidR="000B0499">
        <w:t>.</w:t>
      </w:r>
      <w:r w:rsidRPr="000B06D0">
        <w:t xml:space="preserve"> </w:t>
      </w:r>
      <w:r w:rsidR="000B0499">
        <w:t>T</w:t>
      </w:r>
      <w:r w:rsidRPr="000B06D0">
        <w:t>he main implication for the subsequent modelling is that estimation strategies should account for the presence of such high</w:t>
      </w:r>
      <w:r w:rsidRPr="000B06D0">
        <w:noBreakHyphen/>
        <w:t xml:space="preserve">leverage country–sector cells </w:t>
      </w:r>
      <w:r w:rsidR="000B0499">
        <w:t xml:space="preserve">and not </w:t>
      </w:r>
      <w:r w:rsidRPr="000B06D0">
        <w:t>removing them a priori.</w:t>
      </w:r>
    </w:p>
    <w:p w14:paraId="00F7CF37" w14:textId="575F9B6E" w:rsidR="00825B29" w:rsidRPr="000F6B76" w:rsidRDefault="00825B29" w:rsidP="002C4421">
      <w:pPr>
        <w:pStyle w:val="Thesisbody"/>
        <w:rPr>
          <w:lang w:val="en"/>
        </w:rPr>
      </w:pPr>
      <w:r w:rsidRPr="00825B29">
        <w:t xml:space="preserve">The exploratory analysis has several direct implications for the econometric specification in the following chapter. </w:t>
      </w:r>
      <w:r w:rsidR="00430752" w:rsidRPr="00430752">
        <w:rPr>
          <w:lang w:val="en"/>
        </w:rPr>
        <w:t xml:space="preserve">The dominant between-variance structure, the persistent sectoral and geographic digital divide, and the non-random missingness of the panel jointly motivate a multi-specification approach: cross-sectional OLS estimated separately for each year to capture structural between-unit differences, a two-way fixed-effects panel model to isolate within-entity </w:t>
      </w:r>
      <w:r w:rsidR="00430752" w:rsidRPr="00430752">
        <w:rPr>
          <w:lang w:val="en"/>
        </w:rPr>
        <w:lastRenderedPageBreak/>
        <w:t>dynamics while controlling for common time shocks, and a Correlated Random Effects estimator that explicitly models both channels simultaneously and allows direct comparison of cross-sectional and within-entity coefficients</w:t>
      </w:r>
      <w:r w:rsidR="00430752">
        <w:rPr>
          <w:lang w:val="en"/>
        </w:rPr>
        <w:t xml:space="preserve">. </w:t>
      </w:r>
      <w:r w:rsidRPr="00825B29">
        <w:t xml:space="preserve">Log transformations </w:t>
      </w:r>
      <w:r>
        <w:t xml:space="preserve">should be </w:t>
      </w:r>
      <w:r w:rsidRPr="00825B29">
        <w:t xml:space="preserve"> applied to wages, productivity, and GDP per capita to address right skew in the three monetary variables. Given the severe multicollinearity among ICT Training, ICT Specialists, High-Skill Share, and Tertiary Education (r = 0.82–0.94), only one ICT complementarity measure</w:t>
      </w:r>
      <w:r>
        <w:t xml:space="preserve"> should</w:t>
      </w:r>
      <w:r w:rsidRPr="00825B29">
        <w:t xml:space="preserve"> enter each specification</w:t>
      </w:r>
      <w:r>
        <w:t xml:space="preserve">. </w:t>
      </w:r>
      <w:r w:rsidRPr="00825B29">
        <w:t xml:space="preserve"> ICT Training and ICT Specialists </w:t>
      </w:r>
      <w:r>
        <w:t>should be</w:t>
      </w:r>
      <w:r w:rsidRPr="00825B29">
        <w:t xml:space="preserve"> tested in alternative models to assess the robustness of the interaction channel. The visual evidence from the bubble plots, showing that high wages require the joint presence of high AI adoption and intensive ICT capacity, motivates modelling </w:t>
      </w:r>
      <w:r w:rsidRPr="00837EC3">
        <w:t>the two as complements through an interaction term rather than as purely additive regressors. Finally, a small number of structurally extreme but genuine country–sector observations are retained in the sample, and all specifications are estimated with country-clustered robust standard errors to ensure inference is not driven by high-leverage units.</w:t>
      </w:r>
    </w:p>
    <w:p w14:paraId="698210EA" w14:textId="6BB1041D" w:rsidR="00496269" w:rsidRDefault="009B6842" w:rsidP="00F23D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Modelling Approach </w:t>
      </w:r>
    </w:p>
    <w:p w14:paraId="2A8299E1" w14:textId="513167FD" w:rsidR="00815CD3" w:rsidRDefault="00815CD3" w:rsidP="00C36369">
      <w:pPr>
        <w:pStyle w:val="Thesisbody"/>
      </w:pPr>
      <w:r w:rsidRPr="001C4C54">
        <w:t xml:space="preserve">The exploratory data analysis established empirical constraints that </w:t>
      </w:r>
      <w:r w:rsidR="00966592" w:rsidRPr="001C4C54">
        <w:t xml:space="preserve">suggested </w:t>
      </w:r>
      <w:r w:rsidRPr="001C4C54">
        <w:t>the econometric design: high collinearity among technology proxies, visual evidence of AI–ICT complementarity, and a variance structure dominated by cross-sectional dispersion rather than temporal change. Because the between-sector standard deviation in wages substantially exceeds the within-sector variation over time, the analysis must address two distinct questions: a structural question</w:t>
      </w:r>
      <w:r w:rsidR="00966592" w:rsidRPr="001C4C54">
        <w:t xml:space="preserve">, </w:t>
      </w:r>
      <w:r w:rsidRPr="001C4C54">
        <w:t>whether persistently high-AI sectors pay different average wages</w:t>
      </w:r>
      <w:r w:rsidR="00966592" w:rsidRPr="001C4C54">
        <w:t>,</w:t>
      </w:r>
      <w:r w:rsidRPr="001C4C54">
        <w:t xml:space="preserve"> and a dynamic question</w:t>
      </w:r>
      <w:r w:rsidR="00966592" w:rsidRPr="001C4C54">
        <w:t xml:space="preserve">, </w:t>
      </w:r>
      <w:r w:rsidRPr="001C4C54">
        <w:t>whether AI adoption growth within a sector drives wage growth. To isolate and then synthesize these distinct mechanisms, the empirical strategy proceeds in three stages</w:t>
      </w:r>
      <w:r w:rsidR="00966592" w:rsidRPr="001C4C54">
        <w:t xml:space="preserve">, </w:t>
      </w:r>
      <w:r w:rsidRPr="001C4C54">
        <w:t>moving from a cross-sectional baseline to advanced panel specifications</w:t>
      </w:r>
      <w:r w:rsidR="00D3555C" w:rsidRPr="001C4C54">
        <w:t>. The</w:t>
      </w:r>
      <w:r w:rsidRPr="001C4C54">
        <w:t xml:space="preserve"> ICT capacity </w:t>
      </w:r>
      <w:r w:rsidR="00D3555C" w:rsidRPr="001C4C54">
        <w:t>would be modelled</w:t>
      </w:r>
      <w:r w:rsidRPr="001C4C54">
        <w:t xml:space="preserve"> as separate multiplicative interaction terms to capture complementarity while preventing variance inflation.</w:t>
      </w:r>
    </w:p>
    <w:p w14:paraId="6DB8F636" w14:textId="48422107" w:rsidR="009A41CE" w:rsidRDefault="009A41CE" w:rsidP="00C36369">
      <w:pPr>
        <w:pStyle w:val="Thesisbody"/>
      </w:pPr>
      <w:r w:rsidRPr="009A41CE">
        <w:t>This two-dimensional identification logic follows directly from the task-based framework of Acemoglu and Restrepo (2022), who decompose wage inequality into a between-group displacement component</w:t>
      </w:r>
      <w:r w:rsidR="00526708">
        <w:t xml:space="preserve">, </w:t>
      </w:r>
      <w:r w:rsidRPr="009A41CE">
        <w:t xml:space="preserve"> reflecting the settled occupational wage hierarchy</w:t>
      </w:r>
      <w:r w:rsidR="00526708">
        <w:t>,</w:t>
      </w:r>
      <w:r w:rsidRPr="009A41CE">
        <w:t xml:space="preserve"> and a within-group dynamic component driven by ongoing automation</w:t>
      </w:r>
      <w:r w:rsidR="000648F1">
        <w:t xml:space="preserve"> [15]</w:t>
      </w:r>
      <w:r w:rsidRPr="009A41CE">
        <w:t>. The IMF (2025) applies an analogous decomposition at the macro level, distinguishing the cross-country structural productivity premium associated with higher AI adoption from the within-country dynamic wage response to adoption growth</w:t>
      </w:r>
      <w:r w:rsidR="000648F1">
        <w:t xml:space="preserve"> [17]</w:t>
      </w:r>
      <w:r w:rsidRPr="009A41CE">
        <w:t xml:space="preserve">. </w:t>
      </w:r>
      <w:r w:rsidR="000648F1">
        <w:t xml:space="preserve">In terms of Correlated Random Effects model, </w:t>
      </w:r>
      <w:r w:rsidRPr="009A41CE">
        <w:lastRenderedPageBreak/>
        <w:t xml:space="preserve">specification of Mundlak (1978) recommended by Wooldridge (2010) </w:t>
      </w:r>
      <w:r w:rsidR="000648F1">
        <w:t>is</w:t>
      </w:r>
      <w:r w:rsidRPr="009A41CE">
        <w:t xml:space="preserve"> the preferred estimator when both dimensions are substantively informative, provides the formal framework for estimating both simultaneously in the final stage</w:t>
      </w:r>
      <w:r w:rsidR="000648F1">
        <w:t xml:space="preserve"> [26,</w:t>
      </w:r>
      <w:r w:rsidR="00B36CE9">
        <w:t xml:space="preserve"> 31</w:t>
      </w:r>
      <w:r w:rsidR="000648F1">
        <w:t>]</w:t>
      </w:r>
      <w:r w:rsidR="00526708">
        <w:t>.</w:t>
      </w:r>
    </w:p>
    <w:p w14:paraId="76052EE4" w14:textId="5130678A" w:rsidR="000F6B76" w:rsidRDefault="00887C20" w:rsidP="00C36369">
      <w:pPr>
        <w:pStyle w:val="Thesisbody"/>
      </w:pPr>
      <w:r w:rsidRPr="00887C20">
        <w:t xml:space="preserve">As a first step, a </w:t>
      </w:r>
      <w:r w:rsidR="007560DA">
        <w:t>cross-sectional</w:t>
      </w:r>
      <w:r w:rsidRPr="00887C20">
        <w:t xml:space="preserve"> OLS model is estimated, treating all country–sector–year observations as independent and ignoring the panel structure. This specification is analogous to the cross-sectional regression employed by </w:t>
      </w:r>
      <w:r>
        <w:t xml:space="preserve">Karol </w:t>
      </w:r>
      <w:r w:rsidRPr="00887C20">
        <w:t>Madoń as a starting point before introducing fixed effects, and serves two purposes: it provides an unconditional benchmark of the raw association between AI adoption and real wages, and it makes the costs of ignoring unobserved heterogeneity explicit</w:t>
      </w:r>
      <w:r>
        <w:t xml:space="preserve">, </w:t>
      </w:r>
      <w:r w:rsidRPr="00887C20">
        <w:t xml:space="preserve"> thereby motivating the transition to panel estimators. The model takes the form:</w:t>
      </w:r>
    </w:p>
    <w:p w14:paraId="55325BBB" w14:textId="145D3521" w:rsidR="00887C20" w:rsidRDefault="00000000" w:rsidP="00F23D18">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ln(</m:t>
              </m:r>
              <m:r>
                <w:rPr>
                  <w:rFonts w:ascii="Cambria Math" w:hAnsi="Cambria Math"/>
                </w:rPr>
                <m:t>Wage</m:t>
              </m:r>
              <m:r>
                <w:rPr>
                  <w:rFonts w:ascii="Cambria Math" w:hAnsi="Cambria Math"/>
                </w:rPr>
                <m: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7CB8C9C" w14:textId="4E990E8E" w:rsidR="00BD1FC2" w:rsidRDefault="00887C20" w:rsidP="00F23D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oMath>
      <w:r w:rsidRPr="00887C20">
        <w:rPr>
          <w:rFonts w:ascii="Times New Roman" w:hAnsi="Times New Roman" w:cs="Times New Roman"/>
          <w:sz w:val="24"/>
          <w:szCs w:val="24"/>
        </w:rPr>
        <w:t xml:space="preserve"> is the vector of wage and macro controls described in </w:t>
      </w:r>
      <w:r>
        <w:rPr>
          <w:rFonts w:ascii="Times New Roman" w:hAnsi="Times New Roman" w:cs="Times New Roman"/>
          <w:sz w:val="24"/>
          <w:szCs w:val="24"/>
        </w:rPr>
        <w:t>the previous section.</w:t>
      </w:r>
    </w:p>
    <w:p w14:paraId="0CF828D0" w14:textId="7DCA587D" w:rsidR="004B1E6F" w:rsidRDefault="00887C20" w:rsidP="00634A2C">
      <w:pPr>
        <w:pStyle w:val="Thesisbody"/>
      </w:pPr>
      <w:r w:rsidRPr="00887C20">
        <w:t>Because country–sector pairs differ systematically i</w:t>
      </w:r>
      <w:r w:rsidR="00FE0F16">
        <w:t>n</w:t>
      </w:r>
      <w:r w:rsidRPr="00887C20">
        <w:t xml:space="preserve"> unobserved</w:t>
      </w:r>
      <w:r w:rsidR="00FE0F16">
        <w:t xml:space="preserve"> and </w:t>
      </w:r>
      <w:r w:rsidRPr="00887C20">
        <w:t>time-invariant characteristics</w:t>
      </w:r>
      <w:r w:rsidR="00FE0F16">
        <w:t xml:space="preserve">, </w:t>
      </w:r>
      <w:r w:rsidRPr="00887C20">
        <w:t xml:space="preserve"> a </w:t>
      </w:r>
      <w:r w:rsidR="00E423F6">
        <w:t>cross-sectional</w:t>
      </w:r>
      <w:r w:rsidRPr="00887C20">
        <w:t xml:space="preserve"> OLS estimator is likely to yield biased coefficients. Following the approach of Acemoglu and Restrepo, who use industry and year fixed effects to control for confounding structural trends in their wage inequality decomposition, a Two-Way Fixed Effects </w:t>
      </w:r>
      <w:r>
        <w:t xml:space="preserve">panel </w:t>
      </w:r>
      <w:r w:rsidRPr="00887C20">
        <w:t>model is introduced</w:t>
      </w:r>
      <w:r w:rsidR="00E423F6">
        <w:t xml:space="preserve"> [15]</w:t>
      </w:r>
      <w:r w:rsidRPr="00887C20">
        <w:t>. This controls for all time-invariant entity-specific heterogeneity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887C20">
        <w:t>) and for common annual shocks affecting all sectors simultaneously (</w:t>
      </w:r>
      <m:oMath>
        <m:sSub>
          <m:sSubPr>
            <m:ctrlPr>
              <w:rPr>
                <w:rFonts w:ascii="Cambria Math" w:hAnsi="Cambria Math"/>
              </w:rPr>
            </m:ctrlPr>
          </m:sSubPr>
          <m:e>
            <m:r>
              <w:rPr>
                <w:rFonts w:ascii="Cambria Math" w:hAnsi="Cambria Math"/>
              </w:rPr>
              <m:t>λ</m:t>
            </m:r>
          </m:e>
          <m:sub>
            <m:r>
              <w:rPr>
                <w:rFonts w:ascii="Cambria Math" w:hAnsi="Cambria Math"/>
              </w:rPr>
              <m:t>t</m:t>
            </m:r>
          </m:sub>
        </m:sSub>
      </m:oMath>
      <w:r w:rsidRPr="00887C20">
        <w:t>), isolating the </w:t>
      </w:r>
      <w:r w:rsidRPr="00FE0F16">
        <w:t>within</w:t>
      </w:r>
      <w:r w:rsidRPr="00887C20">
        <w:t>-entity variation</w:t>
      </w:r>
      <w:r w:rsidR="00E423F6">
        <w:t xml:space="preserve">. This helps to test the hypothesis </w:t>
      </w:r>
      <w:r w:rsidRPr="00887C20">
        <w:t>how changes in AI adoption </w:t>
      </w:r>
      <w:r w:rsidRPr="00E423F6">
        <w:t>within</w:t>
      </w:r>
      <w:r w:rsidRPr="00887C20">
        <w:t> a given country–sector over time are associated with wage changes:</w:t>
      </w:r>
      <w:r w:rsidR="007274DA" w:rsidRPr="00EA04C9">
        <w:t>​</w:t>
      </w:r>
    </w:p>
    <w:p w14:paraId="2044D5E5" w14:textId="4D3A67B5" w:rsidR="00620BDC" w:rsidRDefault="00620BDC" w:rsidP="00CA57C6">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4D64CEF2" w14:textId="51A070A5" w:rsidR="00620BDC" w:rsidRDefault="00620BDC" w:rsidP="00634A2C">
      <w:pPr>
        <w:pStyle w:val="Thesisbody"/>
      </w:pPr>
      <w:r w:rsidRPr="00620BDC">
        <w:t xml:space="preserve">While </w:t>
      </w:r>
      <w:r w:rsidR="004E0087" w:rsidRPr="00887C20">
        <w:t>Two-Way Fixed Effects</w:t>
      </w:r>
      <w:r w:rsidRPr="00620BDC">
        <w:t xml:space="preserve"> consistently estimates within-entity effects, it discards all between-entity variation and drops any time-invariant structural variables. Given that a core interest of this study is whether </w:t>
      </w:r>
      <w:r w:rsidRPr="008975EC">
        <w:t>structurally</w:t>
      </w:r>
      <w:r w:rsidRPr="00620BDC">
        <w:t> ICT-intensive sectors generate higher AI wage premia, a specification that recovers both within- and between-effects is required. The Correlated Random Effects (CRE) model of Mundlak achieves this by explicitly modelling the unobserved entity effect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620BDC">
        <w:t> as a linear function of the within-entity time averages of all time-varying regressors</w:t>
      </w:r>
      <w:r w:rsidR="008975EC">
        <w:t xml:space="preserve"> [</w:t>
      </w:r>
      <w:r w:rsidR="006B1265">
        <w:t>31</w:t>
      </w:r>
      <w:r w:rsidR="008975EC">
        <w:t>]</w:t>
      </w:r>
      <w:r w:rsidRPr="00620BDC">
        <w:t>:</w:t>
      </w:r>
    </w:p>
    <w:p w14:paraId="1BB524C9" w14:textId="1EE39173" w:rsidR="00620BDC" w:rsidRDefault="00620BDC" w:rsidP="00CA57C6">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r>
            <w:rPr>
              <w:rFonts w:ascii="Cambria Math" w:hAnsi="Cambria Math"/>
            </w:rPr>
            <m:t xml:space="preserve"> </m:t>
          </m:r>
          <m:r>
            <w:rPr>
              <w:rFonts w:ascii="Cambria Math" w:hAnsi="Cambria Math"/>
            </w:rPr>
            <m:t>θ</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rPr>
            <m:t xml:space="preserve">+ </m:t>
          </m:r>
          <m:sSub>
            <m:sSubPr>
              <m:ctrlPr>
                <w:rPr>
                  <w:rFonts w:ascii="Cambria Math" w:hAnsi="Cambria Math"/>
                </w:rPr>
              </m:ctrlPr>
            </m:sSubPr>
            <m:e>
              <m:r>
                <w:rPr>
                  <w:rFonts w:ascii="Cambria Math" w:hAnsi="Cambria Math"/>
                </w:rPr>
                <m:t>ζ</m:t>
              </m:r>
            </m:e>
            <m:sub>
              <m:r>
                <w:rPr>
                  <w:rFonts w:ascii="Cambria Math" w:hAnsi="Cambria Math"/>
                </w:rPr>
                <m:t>i</m:t>
              </m:r>
            </m:sub>
          </m:sSub>
        </m:oMath>
      </m:oMathPara>
    </w:p>
    <w:p w14:paraId="5A424B9E" w14:textId="77777777" w:rsidR="00620BDC" w:rsidRPr="00620BDC" w:rsidRDefault="00620BDC" w:rsidP="00620BDC">
      <w:pPr>
        <w:spacing w:line="360" w:lineRule="auto"/>
        <w:jc w:val="both"/>
        <w:rPr>
          <w:rFonts w:ascii="Times New Roman" w:hAnsi="Times New Roman" w:cs="Times New Roman"/>
          <w:sz w:val="24"/>
          <w:szCs w:val="24"/>
          <w:lang w:val="en"/>
        </w:rPr>
      </w:pPr>
      <w:r w:rsidRPr="00620BDC">
        <w:rPr>
          <w:rFonts w:ascii="Times New Roman" w:hAnsi="Times New Roman" w:cs="Times New Roman"/>
          <w:sz w:val="24"/>
          <w:szCs w:val="24"/>
          <w:lang w:val="en"/>
        </w:rPr>
        <w:t>Substituting this into the random effects equation yields the estimable CRE specification:</w:t>
      </w:r>
    </w:p>
    <w:p w14:paraId="3C5BC99C" w14:textId="7F93564D" w:rsidR="00620BDC" w:rsidRPr="00620BDC" w:rsidRDefault="00620BDC" w:rsidP="00620BDC">
      <w:pPr>
        <w:spacing w:line="360" w:lineRule="auto"/>
        <w:jc w:val="both"/>
        <w:rPr>
          <w:rFonts w:ascii="Times New Roman" w:hAnsi="Times New Roman" w:cs="Times New Roman"/>
          <w:sz w:val="24"/>
          <w:szCs w:val="24"/>
          <w:lang w:val="en"/>
        </w:rPr>
      </w:pPr>
      <m:oMathPara>
        <m:oMath>
          <m:r>
            <m:rPr>
              <m:sty m:val="p"/>
            </m:rPr>
            <w:rPr>
              <w:rFonts w:ascii="Cambria Math" w:hAnsi="Cambria Math" w:cs="Times New Roman"/>
              <w:sz w:val="24"/>
              <w:szCs w:val="24"/>
            </w:rPr>
            <w:lastRenderedPageBreak/>
            <m:t>ln</m:t>
          </m:r>
          <m:r>
            <w:rPr>
              <w:rFonts w:ascii="Cambria Math" w:hAnsi="Cambria Math" w:cs="Times New Roman"/>
              <w:sz w:val="24"/>
              <w:szCs w:val="24"/>
            </w:rPr>
            <m:t>⁡(Wage</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w1</m:t>
              </m:r>
            </m:sub>
          </m:sSub>
          <m:r>
            <w:rPr>
              <w:rFonts w:ascii="Cambria Math" w:hAnsi="Cambria Math" w:cs="Times New Roman"/>
              <w:sz w:val="24"/>
              <w:szCs w:val="24"/>
            </w:rPr>
            <m:t>A</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w2</m:t>
              </m:r>
            </m:sub>
          </m:sSub>
          <m:r>
            <w:rPr>
              <w:rFonts w:ascii="Cambria Math" w:hAnsi="Cambria Math" w:cs="Times New Roman"/>
              <w:sz w:val="24"/>
              <w:szCs w:val="24"/>
            </w:rPr>
            <m:t>IC</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w3</m:t>
              </m:r>
            </m:sub>
          </m:sSub>
          <m:r>
            <w:rPr>
              <w:rFonts w:ascii="Cambria Math" w:hAnsi="Cambria Math" w:cs="Times New Roman"/>
              <w:sz w:val="24"/>
              <w:szCs w:val="24"/>
            </w:rPr>
            <m:t>(AI×ICT</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γ</m:t>
              </m:r>
            </m:e>
            <m:sub>
              <m:r>
                <w:rPr>
                  <w:rFonts w:ascii="Cambria Math" w:hAnsi="Cambria Math" w:cs="Times New Roman"/>
                  <w:sz w:val="24"/>
                  <w:szCs w:val="24"/>
                </w:rPr>
                <m:t>w</m:t>
              </m:r>
            </m:sub>
          </m:sSub>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1</m:t>
              </m:r>
            </m:sub>
          </m:sSub>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w:rPr>
                      <w:rFonts w:ascii="Cambria Math" w:hAnsi="Cambria Math" w:cs="Times New Roman"/>
                      <w:sz w:val="24"/>
                      <w:szCs w:val="24"/>
                    </w:rPr>
                    <m:t>AI</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ICT</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3</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d>
                    <m:dPr>
                      <m:sepChr m:val="×"/>
                      <m:ctrlPr>
                        <w:rPr>
                          <w:rFonts w:ascii="Cambria Math" w:hAnsi="Cambria Math" w:cs="Times New Roman"/>
                          <w:sz w:val="24"/>
                          <w:szCs w:val="24"/>
                        </w:rPr>
                      </m:ctrlPr>
                    </m:dPr>
                    <m:e>
                      <m:r>
                        <w:rPr>
                          <w:rFonts w:ascii="Cambria Math" w:hAnsi="Cambria Math" w:cs="Times New Roman"/>
                          <w:sz w:val="24"/>
                          <w:szCs w:val="24"/>
                        </w:rPr>
                        <m:t>AI</m:t>
                      </m:r>
                    </m:e>
                    <m:e>
                      <m:r>
                        <w:rPr>
                          <w:rFonts w:ascii="Cambria Math" w:hAnsi="Cambria Math" w:cs="Times New Roman"/>
                          <w:sz w:val="24"/>
                          <w:szCs w:val="24"/>
                        </w:rPr>
                        <m:t>ICT</m:t>
                      </m:r>
                    </m:e>
                  </m:d>
                </m:e>
              </m:acc>
            </m:e>
            <m:sub>
              <m:r>
                <w:rPr>
                  <w:rFonts w:ascii="Cambria Math" w:hAnsi="Cambria Math" w:cs="Times New Roman"/>
                  <w:sz w:val="24"/>
                  <w:szCs w:val="24"/>
                </w:rPr>
                <m:t>i</m:t>
              </m:r>
            </m:sub>
          </m:sSub>
          <m:r>
            <w:rPr>
              <w:rFonts w:ascii="Cambria Math" w:hAnsi="Cambria Math" w:cs="Times New Roman"/>
              <w:sz w:val="24"/>
              <w:szCs w:val="24"/>
            </w:rPr>
            <m:t>+ϕ</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ζ</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ε</m:t>
              </m:r>
            </m:e>
            <m:sub>
              <m:r>
                <w:rPr>
                  <w:rFonts w:ascii="Cambria Math" w:hAnsi="Cambria Math" w:cs="Times New Roman"/>
                  <w:sz w:val="24"/>
                  <w:szCs w:val="24"/>
                </w:rPr>
                <m:t>it</m:t>
              </m:r>
            </m:sub>
          </m:sSub>
        </m:oMath>
      </m:oMathPara>
    </w:p>
    <w:p w14:paraId="28523E04" w14:textId="1B4CA709" w:rsidR="00620BDC" w:rsidRDefault="00620BDC" w:rsidP="00634A2C">
      <w:pPr>
        <w:pStyle w:val="Thesisbody"/>
        <w:rPr>
          <w:lang w:val="en"/>
        </w:rPr>
      </w:pPr>
      <w:r w:rsidRPr="00620BDC">
        <w:rPr>
          <w:lang w:val="en"/>
        </w:rPr>
        <w:t>The </w:t>
      </w:r>
      <m:oMath>
        <m:sSub>
          <m:sSubPr>
            <m:ctrlPr>
              <w:rPr>
                <w:rFonts w:ascii="Cambria Math" w:hAnsi="Cambria Math"/>
              </w:rPr>
            </m:ctrlPr>
          </m:sSubPr>
          <m:e>
            <m:r>
              <w:rPr>
                <w:rFonts w:ascii="Cambria Math" w:hAnsi="Cambria Math"/>
              </w:rPr>
              <m:t>β</m:t>
            </m:r>
          </m:e>
          <m:sub>
            <m:r>
              <w:rPr>
                <w:rFonts w:ascii="Cambria Math" w:hAnsi="Cambria Math"/>
              </w:rPr>
              <m:t>w</m:t>
            </m:r>
          </m:sub>
        </m:sSub>
      </m:oMath>
      <w:r w:rsidRPr="00620BDC">
        <w:rPr>
          <w:lang w:val="en"/>
        </w:rPr>
        <w:t xml:space="preserve"> coefficients recover the within-effects equivalent to the </w:t>
      </w:r>
      <w:r w:rsidR="00851EFB" w:rsidRPr="00887C20">
        <w:t>Two-Way Fixed Effects</w:t>
      </w:r>
      <w:r w:rsidRPr="00620BDC">
        <w:rPr>
          <w:lang w:val="en"/>
        </w:rPr>
        <w:t xml:space="preserve"> estimators</w:t>
      </w:r>
      <w:r w:rsidR="00851EFB">
        <w:rPr>
          <w:lang w:val="en"/>
        </w:rPr>
        <w:t xml:space="preserve">, </w:t>
      </w:r>
      <w:r w:rsidRPr="00620BDC">
        <w:rPr>
          <w:lang w:val="en"/>
        </w:rPr>
        <w:t>while the </w:t>
      </w:r>
      <m:oMath>
        <m:r>
          <w:rPr>
            <w:rFonts w:ascii="Cambria Math" w:hAnsi="Cambria Math"/>
          </w:rPr>
          <m:t>θ</m:t>
        </m:r>
      </m:oMath>
      <w:r w:rsidRPr="00620BDC">
        <w:rPr>
          <w:lang w:val="en"/>
        </w:rPr>
        <w:t> coefficients on the entity-level means capture the </w:t>
      </w:r>
      <w:r w:rsidRPr="00851EFB">
        <w:rPr>
          <w:lang w:val="en"/>
        </w:rPr>
        <w:t>between</w:t>
      </w:r>
      <w:r w:rsidRPr="00620BDC">
        <w:rPr>
          <w:lang w:val="en"/>
        </w:rPr>
        <w:t xml:space="preserve">-effects, reflecting structural cross-sectional differences between sectors. This dual identification is the primary methodological advantage of the CRE approach over pure </w:t>
      </w:r>
      <w:r w:rsidR="00851EFB" w:rsidRPr="00887C20">
        <w:t>Two-Way Fixed Effects</w:t>
      </w:r>
      <w:r w:rsidR="00851EFB" w:rsidRPr="00620BDC">
        <w:rPr>
          <w:lang w:val="en"/>
        </w:rPr>
        <w:t xml:space="preserve"> estimator</w:t>
      </w:r>
      <w:r w:rsidRPr="00620BDC">
        <w:rPr>
          <w:lang w:val="en"/>
        </w:rPr>
        <w:t>:</w:t>
      </w:r>
      <w:r w:rsidR="00851EFB">
        <w:rPr>
          <w:lang w:val="en"/>
        </w:rPr>
        <w:t xml:space="preserve">  because</w:t>
      </w:r>
      <w:r w:rsidRPr="00620BDC">
        <w:rPr>
          <w:lang w:val="en"/>
        </w:rPr>
        <w:t xml:space="preserve"> it allows testing whether the AI–wage premium operates through temporal adoption dynamics (within), through persistent sectoral ICT endowments (between), or both</w:t>
      </w:r>
      <w:r w:rsidR="00F637B0">
        <w:rPr>
          <w:lang w:val="en"/>
        </w:rPr>
        <w:t xml:space="preserve"> [26, </w:t>
      </w:r>
      <w:r w:rsidR="006B1265">
        <w:rPr>
          <w:lang w:val="en"/>
        </w:rPr>
        <w:t>31]</w:t>
      </w:r>
      <w:r w:rsidRPr="00620BDC">
        <w:rPr>
          <w:lang w:val="en"/>
        </w:rPr>
        <w:t xml:space="preserve">. </w:t>
      </w:r>
    </w:p>
    <w:p w14:paraId="35FC3FEA" w14:textId="3098B93F" w:rsidR="00620BDC" w:rsidRPr="00865419" w:rsidRDefault="00D3195F" w:rsidP="00634A2C">
      <w:pPr>
        <w:pStyle w:val="Thesisbody"/>
      </w:pPr>
      <w:r w:rsidRPr="00D3195F">
        <w:t xml:space="preserve">Each estimation stage is accompanied by a set of diagnostic tests to validate the underlying model assumptions and confirm specification choices. The cross-sectional OLS specifications are subjected to tests for heteroskedasticity, functional form, and multicollinearity. For the </w:t>
      </w:r>
      <w:r>
        <w:t>T</w:t>
      </w:r>
      <w:r w:rsidRPr="00D3195F">
        <w:t>wo-</w:t>
      </w:r>
      <w:r>
        <w:t>W</w:t>
      </w:r>
      <w:r w:rsidRPr="00D3195F">
        <w:t xml:space="preserve">ay </w:t>
      </w:r>
      <w:r>
        <w:t>F</w:t>
      </w:r>
      <w:r w:rsidRPr="00D3195F">
        <w:t xml:space="preserve">ixed </w:t>
      </w:r>
      <w:r>
        <w:t>E</w:t>
      </w:r>
      <w:r w:rsidRPr="00D3195F">
        <w:t>ffects model, formal</w:t>
      </w:r>
      <w:r w:rsidR="00865419">
        <w:t xml:space="preserve"> specification</w:t>
      </w:r>
      <w:r w:rsidRPr="00D3195F">
        <w:t xml:space="preserve"> tests are applied</w:t>
      </w:r>
      <w:r w:rsidR="00865419">
        <w:t>.</w:t>
      </w:r>
      <w:r w:rsidRPr="00D3195F">
        <w:t xml:space="preserve"> The CRE model is validated through a Mundlak–Hausman test. Detailed test statistics and their implications for specification choices are reported in the results chapter.</w:t>
      </w:r>
    </w:p>
    <w:p w14:paraId="016DEDEE" w14:textId="77777777" w:rsidR="00620BDC" w:rsidRPr="00EA04C9" w:rsidRDefault="00620BDC" w:rsidP="00CA57C6">
      <w:pPr>
        <w:spacing w:line="360" w:lineRule="auto"/>
        <w:jc w:val="both"/>
        <w:rPr>
          <w:rFonts w:ascii="Times New Roman" w:hAnsi="Times New Roman" w:cs="Times New Roman"/>
          <w:sz w:val="24"/>
          <w:szCs w:val="24"/>
        </w:rPr>
      </w:pPr>
    </w:p>
    <w:p w14:paraId="2A529246" w14:textId="1BC5541B" w:rsidR="00E21666" w:rsidRDefault="00CE2656" w:rsidP="00E21666">
      <w:pPr>
        <w:pStyle w:val="Heading2"/>
        <w:rPr>
          <w:rFonts w:ascii="Times New Roman" w:hAnsi="Times New Roman" w:cs="Times New Roman"/>
          <w:sz w:val="24"/>
          <w:szCs w:val="24"/>
        </w:rPr>
      </w:pPr>
      <w:bookmarkStart w:id="13" w:name="_Toc229943327"/>
      <w:r w:rsidRPr="00EA04C9">
        <w:rPr>
          <w:rFonts w:ascii="Times New Roman" w:hAnsi="Times New Roman" w:cs="Times New Roman"/>
          <w:sz w:val="24"/>
          <w:szCs w:val="24"/>
        </w:rPr>
        <w:t>Results</w:t>
      </w:r>
      <w:bookmarkEnd w:id="13"/>
      <w:r w:rsidRPr="00EA04C9">
        <w:rPr>
          <w:rFonts w:ascii="Times New Roman" w:hAnsi="Times New Roman" w:cs="Times New Roman"/>
          <w:sz w:val="24"/>
          <w:szCs w:val="24"/>
        </w:rPr>
        <w:t xml:space="preserve"> </w:t>
      </w:r>
      <w:r w:rsidR="00AF27EE">
        <w:rPr>
          <w:rFonts w:ascii="Times New Roman" w:hAnsi="Times New Roman" w:cs="Times New Roman"/>
          <w:sz w:val="24"/>
          <w:szCs w:val="24"/>
        </w:rPr>
        <w:tab/>
      </w:r>
    </w:p>
    <w:p w14:paraId="4C1EDE86" w14:textId="77777777" w:rsidR="00590EF7" w:rsidRPr="00590EF7" w:rsidRDefault="00590EF7" w:rsidP="00590EF7">
      <w:pPr>
        <w:pStyle w:val="Heading3"/>
      </w:pPr>
      <w:bookmarkStart w:id="14" w:name="_Toc229943328"/>
      <w:r w:rsidRPr="00590EF7">
        <w:t>Cross-Sectional Models (2021–2024): The Structural AI–Wage Relationship</w:t>
      </w:r>
      <w:bookmarkEnd w:id="14"/>
    </w:p>
    <w:p w14:paraId="6D7F7F9D" w14:textId="416404D4" w:rsidR="00590EF7" w:rsidRDefault="00AC63B5" w:rsidP="00E123DC">
      <w:pPr>
        <w:pStyle w:val="Thesisbody"/>
      </w:pPr>
      <w:commentRangeStart w:id="15"/>
      <w:r w:rsidRPr="00AC63B5">
        <w:t xml:space="preserve">Cross-sectional </w:t>
      </w:r>
      <w:commentRangeEnd w:id="15"/>
      <w:r w:rsidR="00607520" w:rsidRPr="00AC63B5">
        <w:rPr>
          <w:rStyle w:val="CommentReference"/>
          <w:sz w:val="24"/>
          <w:szCs w:val="24"/>
        </w:rPr>
        <w:commentReference w:id="15"/>
      </w:r>
      <w:r w:rsidRPr="00AC63B5">
        <w:t>models, estimated separately for each year from 2021 to 2024, capture the between-sector, structural relationship between AI adoption and wage levels. This design directly addresses Hypothesis 2 (H2):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t xml:space="preserve"> data analysis </w:t>
      </w:r>
      <w:r w:rsidRPr="00AC63B5">
        <w:t xml:space="preserve"> section. This confirms that the structurally relevant signal</w:t>
      </w:r>
      <w:r w:rsidR="00EC085F">
        <w:t xml:space="preserve">, </w:t>
      </w:r>
      <w:r w:rsidRPr="00AC63B5">
        <w:t xml:space="preserve">the long-run wage hierarchy across sectors at different stages of AI </w:t>
      </w:r>
      <w:r w:rsidR="00EC085F">
        <w:t xml:space="preserve">adoption, </w:t>
      </w:r>
      <w:r w:rsidRPr="00AC63B5">
        <w:t xml:space="preserve"> lives in the cross-sectional dimension of the data, not in its short-run time variation. As Acemoglu and Restrepo establish</w:t>
      </w:r>
      <w:r w:rsidR="00EC085F">
        <w:t xml:space="preserve"> in their work “Task, Automation and the Rise in US Wage Inequality”</w:t>
      </w:r>
      <w:r w:rsidRPr="00AC63B5">
        <w:t xml:space="preserve">, the displacement effect on wages is a structural equilibrium outcome: sectors that adopted automation earlier and more intensively exhibit permanently lower task shares for routine workers and persistently suppressed wages </w:t>
      </w:r>
      <w:r w:rsidRPr="00AC63B5">
        <w:lastRenderedPageBreak/>
        <w:t>for affected groups</w:t>
      </w:r>
      <w:r w:rsidR="00EC085F">
        <w:t xml:space="preserve"> [15]</w:t>
      </w:r>
      <w:r w:rsidRPr="00AC63B5">
        <w:t>. A cross-sectional OLS with country and sector fixed effects is therefore the appropriate estimator for isolating this settled, between-sector relationship.</w:t>
      </w:r>
    </w:p>
    <w:p w14:paraId="0366CB63" w14:textId="056122C1" w:rsidR="009026C0" w:rsidRDefault="009026C0" w:rsidP="00AC63B5">
      <w:pPr>
        <w:spacing w:line="360" w:lineRule="auto"/>
        <w:jc w:val="both"/>
        <w:rPr>
          <w:rFonts w:ascii="Times New Roman" w:hAnsi="Times New Roman" w:cs="Times New Roman"/>
          <w:sz w:val="24"/>
          <w:szCs w:val="24"/>
        </w:rPr>
      </w:pPr>
      <w:r>
        <w:rPr>
          <w:rFonts w:ascii="Times New Roman" w:hAnsi="Times New Roman" w:cs="Times New Roman"/>
          <w:sz w:val="24"/>
          <w:szCs w:val="24"/>
        </w:rPr>
        <w:t>Cross-sectional Models Diagnostic Tests</w:t>
      </w:r>
    </w:p>
    <w:p w14:paraId="7619F1ED" w14:textId="7ECA4829" w:rsidR="009026C0" w:rsidRPr="009026C0" w:rsidRDefault="009026C0" w:rsidP="00E123DC">
      <w:pPr>
        <w:pStyle w:val="Thesisbody"/>
      </w:pPr>
      <w:r w:rsidRPr="009026C0">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t xml:space="preserve"> </w:t>
      </w:r>
      <w:r w:rsidRPr="00EA04C9">
        <w:t xml:space="preserve"> [</w:t>
      </w:r>
      <w:r w:rsidR="0011420F">
        <w:t>30</w:t>
      </w:r>
      <w:r w:rsidRPr="00EA04C9">
        <w:t>]</w:t>
      </w:r>
      <w:r w:rsidRPr="009026C0">
        <w:t>. The Breusch-Pagan test confirmed heteroskedasticity in </w:t>
      </w:r>
      <w:r w:rsidR="00CC1C30" w:rsidRPr="00CC1C30">
        <w:t xml:space="preserve">all </w:t>
      </w:r>
      <w:r w:rsidRPr="009026C0">
        <w:t xml:space="preserve">estimated specifications. This result is consistent with the nature of cross-country sectoral data where units exhibit fundamentally different variance structures, as documented in the </w:t>
      </w:r>
      <w:r w:rsidR="000D43FD">
        <w:t>data analysis chapter in</w:t>
      </w:r>
      <w:r w:rsidRPr="009026C0">
        <w:t xml:space="preserve"> distribution analysis</w:t>
      </w:r>
      <w:r w:rsidR="00B32E64">
        <w:t xml:space="preserve"> part</w:t>
      </w:r>
      <w:r w:rsidRPr="009026C0">
        <w:t>. Given the small sample of 134 observations per cross-section, standard HC0 robust estimators may perform poorly. Following Long and Ervin (2000) and White (1985), the HC3 variant of the heteroskedasticity-consistent covariance estimator was adopted for all heteroskedastic specifications, as it provides superior finite-sample performance and reduces over-rejection under the null</w:t>
      </w:r>
      <w:r w:rsidR="000F4E89">
        <w:t xml:space="preserve"> </w:t>
      </w:r>
      <w:r w:rsidR="000F4E89" w:rsidRPr="00EA04C9">
        <w:t>[</w:t>
      </w:r>
      <w:r w:rsidR="00ED4806">
        <w:t>32, 33</w:t>
      </w:r>
      <w:r w:rsidR="000F4E89" w:rsidRPr="00EA04C9">
        <w:t>]</w:t>
      </w:r>
      <w:r w:rsidRPr="009026C0">
        <w:t>.</w:t>
      </w:r>
    </w:p>
    <w:p w14:paraId="3CE127BD" w14:textId="6A4D3EA2" w:rsidR="00590EF7" w:rsidRPr="000C155A" w:rsidRDefault="000C155A" w:rsidP="00E123DC">
      <w:pPr>
        <w:pStyle w:val="Thesisbody"/>
      </w:pPr>
      <w:r w:rsidRPr="000C155A">
        <w:t>The Ramsey RESET test was applied to assess whether the linear functional form is adequate. The test examines whether non-linear combinations of fitted values carry additional explanatory power</w:t>
      </w:r>
      <w:r w:rsidR="00BB55C5">
        <w:t>.</w:t>
      </w:r>
      <w:r w:rsidRPr="000C155A">
        <w:t xml:space="preserve"> </w:t>
      </w:r>
      <w:r w:rsidR="00BB55C5">
        <w:t>I</w:t>
      </w:r>
      <w:r w:rsidRPr="000C155A">
        <w:t xml:space="preserve">f they do, the linear form is rejected. </w:t>
      </w:r>
      <w:r w:rsidR="00BB55C5">
        <w:t xml:space="preserve"> Based on the test results, a</w:t>
      </w:r>
      <w:r w:rsidRPr="000C155A">
        <w:t>ll rejected the null hypothesis at the 0.1% level (all p &lt; 0.001). For instance, model 1 returned F = 33.85 (p &lt; 0.001), model 3 F = 33.85 (p &lt; 0.001), and model 9 F = 31.40 (p &lt; 0.001). This rejection motivated the inclusion of multiplicative AI × ICT interaction terms in models 9</w:t>
      </w:r>
      <w:r w:rsidR="00FC72C1">
        <w:t>-</w:t>
      </w:r>
      <w:r w:rsidRPr="000C155A">
        <w:t>28, which partially capture non-linear moderating effects. However, even with interaction terms, the RESET test continued to reject the null across all wage-level specifications</w:t>
      </w:r>
      <w:r w:rsidR="00FC72C1">
        <w:t>.</w:t>
      </w:r>
      <w:r w:rsidR="00BB55C5">
        <w:t xml:space="preserve"> </w:t>
      </w:r>
      <w:r w:rsidR="00FC72C1">
        <w:t>F</w:t>
      </w:r>
      <w:r w:rsidR="00BB55C5">
        <w:t xml:space="preserve">or instance, </w:t>
      </w:r>
      <w:r w:rsidRPr="000C155A">
        <w:t xml:space="preserve"> model 27</w:t>
      </w:r>
      <w:r w:rsidR="00BB55C5">
        <w:t xml:space="preserve"> </w:t>
      </w:r>
      <w:r w:rsidR="00BB55C5" w:rsidRPr="00E123DC">
        <w:t>with</w:t>
      </w:r>
      <w:r w:rsidRPr="00E123DC">
        <w:t xml:space="preserve"> F = 17.30, p &lt; 0.001, indicating that the true AI–wage relationship contains non-linearities beyond what a linear interaction can fully capture. This is treated as a model limitation and discussed below.</w:t>
      </w:r>
    </w:p>
    <w:p w14:paraId="3657ADDA" w14:textId="33E40C83" w:rsidR="00590EF7" w:rsidRPr="00857237" w:rsidRDefault="00F823DB" w:rsidP="00E123DC">
      <w:pPr>
        <w:pStyle w:val="Thesisbody"/>
      </w:pPr>
      <w:r w:rsidRPr="00857237">
        <w:t xml:space="preserve">Three sources of collinearity were identified and addressed. First, in specifications combining country fixed effects with country-level macroeconomic controls (GDP, inflation, unemployment), VIFs reached infinity due to perfect collinearity: these variables do not vary across sectors within a country and are fully absorbed by country dummies. Macroeconomic controls were accordingly excluded from all fixed-effects specifications, following Wooldridge </w:t>
      </w:r>
      <w:r w:rsidR="00372814" w:rsidRPr="00EA04C9">
        <w:lastRenderedPageBreak/>
        <w:t>[</w:t>
      </w:r>
      <w:r w:rsidR="0029396C">
        <w:t>30</w:t>
      </w:r>
      <w:r w:rsidR="00372814">
        <w:t>].</w:t>
      </w:r>
      <w:r w:rsidR="007B6824">
        <w:t xml:space="preserve"> </w:t>
      </w:r>
      <w:r w:rsidRPr="00857237">
        <w:t>Second, baseline models showed high VIFs for high-skill occupations (56</w:t>
      </w:r>
      <w:r w:rsidR="00D4791D">
        <w:t>-</w:t>
      </w:r>
      <w:r w:rsidRPr="00857237">
        <w:t>66), tertiary education (33</w:t>
      </w:r>
      <w:r w:rsidR="00D4791D">
        <w:t>-</w:t>
      </w:r>
      <w:r w:rsidRPr="00857237">
        <w:t>37), and the sector J dummy (27</w:t>
      </w:r>
      <w:r w:rsidR="00D4791D">
        <w:t>-</w:t>
      </w:r>
      <w:r w:rsidRPr="00857237">
        <w:t>37), reflecting the structural overlap between these variables. Education and occupation shares were dropped from AI</w:t>
      </w:r>
      <w:r w:rsidR="009F1284">
        <w:t>-</w:t>
      </w:r>
      <w:r w:rsidR="007B6824">
        <w:t>I</w:t>
      </w:r>
      <w:r w:rsidRPr="00857237">
        <w:t>CT specifications, with sector fixed effects retained to absorb workforce composition. Third, inclusion of the AI × ICT interaction term inflated VIFs for the AI variable (from 9.7</w:t>
      </w:r>
      <w:r w:rsidR="00D4791D">
        <w:t>-</w:t>
      </w:r>
      <w:r w:rsidRPr="00857237">
        <w:t>19.4 to 39.2</w:t>
      </w:r>
      <w:r w:rsidR="00D4791D">
        <w:t>-</w:t>
      </w:r>
      <w:r w:rsidRPr="00857237">
        <w:t>81.7) and the interaction term itself (29.8</w:t>
      </w:r>
      <w:r w:rsidR="00D4791D">
        <w:t>-</w:t>
      </w:r>
      <w:r w:rsidRPr="00857237">
        <w:t xml:space="preserve">55.9). This is documented structural multicollinearity that arises mechanically when an interaction term is included with its constituent variables </w:t>
      </w:r>
      <w:r w:rsidR="007B6824">
        <w:t>[</w:t>
      </w:r>
      <w:r w:rsidR="00594F3C">
        <w:t>34</w:t>
      </w:r>
      <w:r w:rsidR="007B6824">
        <w:t>]</w:t>
      </w:r>
      <w:r w:rsidRPr="00857237">
        <w:t>. As Wooldridge emphasises, this does not bias coefficients</w:t>
      </w:r>
      <w:r w:rsidR="009D0F23">
        <w:t xml:space="preserve"> and just</w:t>
      </w:r>
      <w:r w:rsidRPr="00857237">
        <w:t xml:space="preserve"> inflates standard errors, making significance harder to achieve</w:t>
      </w:r>
      <w:r w:rsidR="00583DD4">
        <w:t xml:space="preserve">. </w:t>
      </w:r>
      <w:r w:rsidRPr="00857237">
        <w:t>Inference on the moderating effect is therefore based on marginal effects calculations, which are not distorted by structural multicollinearity</w:t>
      </w:r>
      <w:r w:rsidR="00206E53">
        <w:t xml:space="preserve"> </w:t>
      </w:r>
      <w:r w:rsidR="00583DD4">
        <w:t>[</w:t>
      </w:r>
      <w:r w:rsidR="00594F3C">
        <w:t>30</w:t>
      </w:r>
      <w:r w:rsidR="00583DD4">
        <w:t>]</w:t>
      </w:r>
      <w:r w:rsidRPr="00857237">
        <w:t>.</w:t>
      </w:r>
    </w:p>
    <w:p w14:paraId="347535FC" w14:textId="27167388" w:rsidR="00590EF7" w:rsidRDefault="003E61CC" w:rsidP="00E123DC">
      <w:pPr>
        <w:pStyle w:val="Thesisbody"/>
      </w:pPr>
      <w:r w:rsidRPr="003E61CC">
        <w:t>All wage-level specifications with country and sector fixed effects achieved R² between 0.978 and 0.984, and adjusted R² between 0.970 and 0.978. The high explanatory power reflects that country fixed effects absorb the dominant share of wage dispersion across Europe. The narrow R²</w:t>
      </w:r>
      <w:r w:rsidR="004B294B">
        <w:t xml:space="preserve">, </w:t>
      </w:r>
      <w:r w:rsidRPr="003E61CC">
        <w:t>adjusted R² gap (0.5</w:t>
      </w:r>
      <w:r w:rsidR="004B294B">
        <w:t>-</w:t>
      </w:r>
      <w:r w:rsidRPr="003E61CC">
        <w:t>0.8 percentage points) confirms that the included regressors contribute meaningful explanatory power beyond chance. Model selection using AIC and BIC consistently favoured interaction specifications over additive models across all four years</w:t>
      </w:r>
      <w:r w:rsidR="00AF2F47">
        <w:t xml:space="preserve"> </w:t>
      </w:r>
      <w:r w:rsidR="00AF2F47" w:rsidRPr="00EA04C9">
        <w:rPr>
          <w:highlight w:val="yellow"/>
        </w:rPr>
        <w:t>[</w:t>
      </w:r>
      <w:r w:rsidR="00FD5EB4">
        <w:t>26</w:t>
      </w:r>
      <w:r w:rsidR="00AF2F47">
        <w:t>]</w:t>
      </w:r>
      <w:r w:rsidR="00E40716">
        <w:t xml:space="preserve">. </w:t>
      </w:r>
      <w:r w:rsidRPr="003E61CC">
        <w:t xml:space="preserve"> In 2021, the ICT training interaction model achieved AIC = </w:t>
      </w:r>
      <w:r w:rsidR="00656048">
        <w:t>-</w:t>
      </w:r>
      <w:r w:rsidRPr="003E61CC">
        <w:t xml:space="preserve">237.9 and BIC = </w:t>
      </w:r>
      <w:r w:rsidR="00656048">
        <w:t>-</w:t>
      </w:r>
      <w:r w:rsidRPr="003E61CC">
        <w:t xml:space="preserve">130.7, compared to AIC = </w:t>
      </w:r>
      <w:r w:rsidR="00656048">
        <w:t>-</w:t>
      </w:r>
      <w:r w:rsidRPr="003E61CC">
        <w:t xml:space="preserve">212.9 and BIC = </w:t>
      </w:r>
      <w:r w:rsidR="00656048">
        <w:t>-</w:t>
      </w:r>
      <w:r w:rsidRPr="003E61CC">
        <w:t>108.6 for the additive ICT specialists model, a pattern that held across 2022</w:t>
      </w:r>
      <w:r w:rsidR="004B294B">
        <w:t>-</w:t>
      </w:r>
      <w:r w:rsidRPr="003E61CC">
        <w:t>2024</w:t>
      </w:r>
      <w:r w:rsidR="004B294B">
        <w:t xml:space="preserve"> as well</w:t>
      </w:r>
      <w:r w:rsidRPr="003E61CC">
        <w:t>.</w:t>
      </w:r>
    </w:p>
    <w:p w14:paraId="5B9710BF" w14:textId="6A228741" w:rsidR="00871CB6" w:rsidRPr="00D82992" w:rsidRDefault="00871CB6" w:rsidP="00E123DC">
      <w:pPr>
        <w:pStyle w:val="Thesisbody"/>
      </w:pPr>
      <w:r w:rsidRPr="00871CB6">
        <w:t xml:space="preserve">Based on the diagnostic evidence, the interaction specifications with country and sector fixed effects and HC3-corrected standard errors are the preferred models for inference (Models </w:t>
      </w:r>
      <w:r w:rsidR="00D71E9B">
        <w:t>u</w:t>
      </w:r>
      <w:r w:rsidRPr="00871CB6">
        <w:t xml:space="preserve">9–16 for ICT specialists, Models </w:t>
      </w:r>
      <w:r>
        <w:t>21</w:t>
      </w:r>
      <w:r w:rsidRPr="00871CB6">
        <w:t>–28 for ICT training). The choice rests on four grounds.</w:t>
      </w:r>
      <w:r>
        <w:t xml:space="preserve"> </w:t>
      </w:r>
      <w:r w:rsidRPr="00871CB6">
        <w:t>First, the AIC and BIC consistently favour interaction specifications over additive models across all four years, confirming that the interaction between AI adoption and ICT capacity provides a statistically superior description of the wage-determination process. Second, the jump in R² from 0.804 (no country FE) to 0.981 (with country FE) confirms that national wage-setting institutions explain approximately 18% of wage variation that sector-level variables alone cannot capture. Omitting country fixed effects would produce severe omitted variable bias. Third, HC3-corrected standard errors are mandatory for all wage-level specifications, as the Breusch-Pagan test confirmed heteroskedasticity in all 28 models (p &lt; 0.05 in every case). The HC3 estimator is preferred over HC0 given the modest sample of 134 observations per cross-section, where HC0 would systematically over-reject the null. Fourth, although all wage-level models fail the</w:t>
      </w:r>
      <w:commentRangeStart w:id="16"/>
      <w:commentRangeStart w:id="17"/>
      <w:r w:rsidRPr="00871CB6">
        <w:t xml:space="preserve"> RESET </w:t>
      </w:r>
      <w:commentRangeEnd w:id="16"/>
      <w:r w:rsidR="00607520" w:rsidRPr="00871CB6">
        <w:rPr>
          <w:rStyle w:val="CommentReference"/>
          <w:sz w:val="24"/>
          <w:szCs w:val="24"/>
        </w:rPr>
        <w:commentReference w:id="16"/>
      </w:r>
      <w:commentRangeEnd w:id="17"/>
      <w:r w:rsidR="003C5253" w:rsidRPr="00871CB6">
        <w:rPr>
          <w:rStyle w:val="CommentReference"/>
          <w:sz w:val="24"/>
          <w:szCs w:val="24"/>
        </w:rPr>
        <w:commentReference w:id="17"/>
      </w:r>
      <w:r w:rsidRPr="00871CB6">
        <w:t>test</w:t>
      </w:r>
      <w:r w:rsidR="00435030">
        <w:t xml:space="preserve">, </w:t>
      </w:r>
      <w:r w:rsidRPr="00871CB6">
        <w:t xml:space="preserve"> indicating residual non-linearity</w:t>
      </w:r>
      <w:r w:rsidR="00435030">
        <w:t xml:space="preserve">, </w:t>
      </w:r>
      <w:r w:rsidRPr="00871CB6">
        <w:t xml:space="preserve"> the interaction term </w:t>
      </w:r>
      <w:r w:rsidRPr="00871CB6">
        <w:lastRenderedPageBreak/>
        <w:t>partially addresses this by capturing the moderating, non-linear relationship between AI and ICT capacity. The failure of even the interaction models to pass RESET is treated as a limitation, not a ground for abandoning the specification.</w:t>
      </w:r>
      <w:r w:rsidR="00D82992">
        <w:t xml:space="preserve"> </w:t>
      </w:r>
      <w:r w:rsidRPr="00D82992">
        <w:t xml:space="preserve">The additive specifications are retained as benchmarks for reading the unconditional average effect of AI adoption and ICT training in isolation, but they are not the basis for testing H2. The interaction models are the primary vehicle for hypothesis testing, with marginal </w:t>
      </w:r>
      <w:r w:rsidR="00C32093">
        <w:t>effects</w:t>
      </w:r>
      <w:r w:rsidRPr="00D82992">
        <w:t xml:space="preserve"> as the unit of inference.</w:t>
      </w:r>
    </w:p>
    <w:p w14:paraId="7C549DF9" w14:textId="0A9E6F36" w:rsidR="00871CB6" w:rsidRDefault="003C0BE5" w:rsidP="003C0BE5">
      <w:pPr>
        <w:pStyle w:val="Heading3"/>
      </w:pPr>
      <w:bookmarkStart w:id="18" w:name="_Toc229943329"/>
      <w:r>
        <w:t>Models results</w:t>
      </w:r>
      <w:bookmarkEnd w:id="18"/>
      <w:r>
        <w:t xml:space="preserve"> </w:t>
      </w:r>
    </w:p>
    <w:p w14:paraId="111ADD69" w14:textId="77777777" w:rsidR="004A1B0B" w:rsidRDefault="004A1B0B" w:rsidP="00E123DC">
      <w:pPr>
        <w:pStyle w:val="Thesisbody"/>
      </w:pPr>
      <w:r w:rsidRPr="00E57728">
        <w:t>In the additive specifications without an interaction term, AI adoption exhibits a </w:t>
      </w:r>
      <w:r w:rsidRPr="00417A15">
        <w:t>consistently negative and statistically significant association with log wages across all four years</w:t>
      </w:r>
      <w:r>
        <w:t>.</w:t>
      </w:r>
    </w:p>
    <w:p w14:paraId="4EACBE50" w14:textId="3CCF2C16" w:rsidR="004A1B0B" w:rsidRPr="00E57728" w:rsidRDefault="004A1B0B" w:rsidP="00E123DC">
      <w:pPr>
        <w:pStyle w:val="Thesisbody"/>
      </w:pPr>
      <w:r w:rsidRPr="006B0452">
        <w:t>The dependent variable is the natural log of real hourly wages in EUR. The AI adoption variable and both ICT variables are measured in percentage points (0</w:t>
      </w:r>
      <w:r>
        <w:t>-</w:t>
      </w:r>
      <w:r w:rsidRPr="006B0452">
        <w:t>100). This log-level specification yields a semi-elasticity: because the independent variables enter in levels, a 1 percentage point increase in AI adoption is associated with a</w:t>
      </w:r>
      <w:r w:rsidR="00D71E9B" w:rsidRPr="00D71E9B">
        <w:t xml:space="preserve"> </w:t>
      </w:r>
      <w:commentRangeStart w:id="19"/>
      <w:r w:rsidRPr="000C7D8D">
        <w:rPr>
          <w:highlight w:val="yellow"/>
        </w:rPr>
        <w:t>(</w:t>
      </w:r>
      <w:r w:rsidR="00D71E9B" w:rsidRPr="000C7D8D">
        <w:rPr>
          <w:highlight w:val="yellow"/>
        </w:rPr>
        <w:t>e</w:t>
      </w:r>
      <w:r w:rsidRPr="000C7D8D">
        <w:rPr>
          <w:highlight w:val="yellow"/>
        </w:rPr>
        <w:t>^</w:t>
      </w:r>
      <w:r w:rsidR="00D71E9B" w:rsidRPr="000C7D8D">
        <w:rPr>
          <w:highlight w:val="yellow"/>
        </w:rPr>
        <w:t xml:space="preserve"> β^</w:t>
      </w:r>
      <w:r w:rsidRPr="000C7D8D">
        <w:rPr>
          <w:highlight w:val="yellow"/>
        </w:rPr>
        <w:t>−1)×100%</w:t>
      </w:r>
      <w:r w:rsidRPr="006B0452">
        <w:t xml:space="preserve"> </w:t>
      </w:r>
      <w:commentRangeEnd w:id="19"/>
      <w:r w:rsidR="00607520" w:rsidRPr="006B0452">
        <w:rPr>
          <w:rStyle w:val="CommentReference"/>
          <w:sz w:val="24"/>
          <w:szCs w:val="24"/>
        </w:rPr>
        <w:commentReference w:id="19"/>
      </w:r>
      <w:r w:rsidRPr="006B0452">
        <w:t>change in real wages. For the coefficients reported in this study</w:t>
      </w:r>
      <w:r>
        <w:t xml:space="preserve"> </w:t>
      </w:r>
      <w:r w:rsidRPr="006B0452">
        <w:t xml:space="preserve">ranging from </w:t>
      </w:r>
      <w:r>
        <w:t>-</w:t>
      </w:r>
      <w:r w:rsidRPr="006B0452">
        <w:t xml:space="preserve">0.007 to </w:t>
      </w:r>
      <w:r>
        <w:t>-</w:t>
      </w:r>
      <w:r w:rsidRPr="006B0452">
        <w:t>0.013</w:t>
      </w:r>
      <w:r>
        <w:t xml:space="preserve"> </w:t>
      </w:r>
      <w:r w:rsidRPr="006B0452">
        <w:t xml:space="preserve">this precise transformation differs from the linear approximation </w:t>
      </w:r>
      <w:r w:rsidRPr="000C7D8D">
        <w:rPr>
          <w:highlight w:val="yellow"/>
        </w:rPr>
        <w:t>β^×100%</w:t>
      </w:r>
      <w:r w:rsidRPr="006B0452">
        <w:t xml:space="preserve"> by less than 0.05 percentage points, and the approximation is used throughout for readability. This is not an elasticity, which would require both variables to be log-transformed</w:t>
      </w:r>
      <w:r>
        <w:t xml:space="preserve">, </w:t>
      </w:r>
      <w:r w:rsidRPr="006B0452">
        <w:t xml:space="preserve">rather, it captures the proportional wage response to a one-unit absolute change in sectoral AI adoption. For the interaction term, which is the product of two percentage-scale variables, the coefficient is scaled by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Pr>
          <w:rFonts w:eastAsiaTheme="minorEastAsia"/>
        </w:rPr>
        <w:t xml:space="preserve"> </w:t>
      </w:r>
      <w:r w:rsidRPr="006B0452">
        <w:t>for presentation purposes to prevent rounding to zero</w:t>
      </w:r>
      <w:r>
        <w:t>.</w:t>
      </w:r>
      <w:r w:rsidRPr="006B0452">
        <w:t xml:space="preserve"> </w:t>
      </w:r>
      <w:r>
        <w:t>A</w:t>
      </w:r>
      <w:r w:rsidRPr="006B0452">
        <w:t xml:space="preserve">ll substantive interpretations use the unscaled values. Marginal effects are evaluated at the 25th, 50th, </w:t>
      </w:r>
      <w:r w:rsidRPr="00695A51">
        <w:t xml:space="preserve">and 75th percentiles of the ICT distribution, following Brambor, Clark, and Golder </w:t>
      </w:r>
      <w:r w:rsidR="00695A51" w:rsidRPr="00695A51">
        <w:t>work</w:t>
      </w:r>
      <w:r w:rsidRPr="00695A51">
        <w:t>, who</w:t>
      </w:r>
      <w:r w:rsidRPr="006B0452">
        <w:t xml:space="preserve"> emphasise that constitutive terms in interaction models must not be read as unconditional average </w:t>
      </w:r>
      <w:r w:rsidRPr="00695A51">
        <w:t>effects [</w:t>
      </w:r>
      <w:r w:rsidR="00695A51" w:rsidRPr="00695A51">
        <w:t>35</w:t>
      </w:r>
      <w:r w:rsidRPr="00695A51">
        <w:t>].</w:t>
      </w:r>
    </w:p>
    <w:p w14:paraId="2AB1764A" w14:textId="5C6A9DCD" w:rsidR="00E57728" w:rsidRDefault="00E57728" w:rsidP="00E57728">
      <w:pPr>
        <w:spacing w:line="360" w:lineRule="auto"/>
        <w:jc w:val="both"/>
        <w:rPr>
          <w:rFonts w:ascii="Times New Roman" w:hAnsi="Times New Roman" w:cs="Times New Roman"/>
          <w:b/>
          <w:bCs/>
          <w:sz w:val="24"/>
          <w:szCs w:val="24"/>
        </w:rPr>
      </w:pPr>
      <w:r w:rsidRPr="00E57728">
        <w:rPr>
          <w:rFonts w:ascii="Times New Roman" w:hAnsi="Times New Roman" w:cs="Times New Roman"/>
          <w:b/>
          <w:bCs/>
          <w:sz w:val="24"/>
          <w:szCs w:val="24"/>
        </w:rPr>
        <w:t xml:space="preserve">Additive specifications </w:t>
      </w:r>
    </w:p>
    <w:p w14:paraId="7073CF9E" w14:textId="77777777" w:rsidR="00241E99" w:rsidRPr="00EA04C9" w:rsidRDefault="00241E99" w:rsidP="00241E99">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levels</w:t>
      </w:r>
    </w:p>
    <w:p w14:paraId="25F0CF8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30863C47" w14:textId="77777777" w:rsidTr="00AB5D40">
        <w:tc>
          <w:tcPr>
            <w:tcW w:w="758" w:type="dxa"/>
          </w:tcPr>
          <w:p w14:paraId="2255E32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53F9289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1896EA4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70A6227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43D2F672" w14:textId="77777777" w:rsidTr="00AB5D40">
        <w:tc>
          <w:tcPr>
            <w:tcW w:w="758" w:type="dxa"/>
            <w:vMerge w:val="restart"/>
          </w:tcPr>
          <w:p w14:paraId="28C337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6423BD9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4A2D622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(0.003)</w:t>
            </w:r>
          </w:p>
        </w:tc>
        <w:tc>
          <w:tcPr>
            <w:tcW w:w="3209" w:type="dxa"/>
          </w:tcPr>
          <w:p w14:paraId="4A1C897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1B962E1" w14:textId="77777777" w:rsidTr="00AB5D40">
        <w:tc>
          <w:tcPr>
            <w:tcW w:w="758" w:type="dxa"/>
            <w:vMerge/>
          </w:tcPr>
          <w:p w14:paraId="0F454730" w14:textId="77777777" w:rsidR="00241E99" w:rsidRPr="00EA04C9" w:rsidRDefault="00241E99" w:rsidP="00AB5D40">
            <w:pPr>
              <w:rPr>
                <w:rFonts w:ascii="Times New Roman" w:hAnsi="Times New Roman" w:cs="Times New Roman"/>
                <w:sz w:val="24"/>
                <w:szCs w:val="24"/>
              </w:rPr>
            </w:pPr>
          </w:p>
        </w:tc>
        <w:tc>
          <w:tcPr>
            <w:tcW w:w="2072" w:type="dxa"/>
          </w:tcPr>
          <w:p w14:paraId="6FC8B2C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(0.008)</w:t>
            </w:r>
          </w:p>
        </w:tc>
        <w:tc>
          <w:tcPr>
            <w:tcW w:w="2977" w:type="dxa"/>
          </w:tcPr>
          <w:p w14:paraId="017EB0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7450257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-0.020***  (0.008)</w:t>
            </w:r>
          </w:p>
        </w:tc>
      </w:tr>
      <w:tr w:rsidR="00241E99" w:rsidRPr="00EA04C9" w14:paraId="2AA28A11" w14:textId="77777777" w:rsidTr="00AB5D40">
        <w:tc>
          <w:tcPr>
            <w:tcW w:w="758" w:type="dxa"/>
            <w:vMerge w:val="restart"/>
          </w:tcPr>
          <w:p w14:paraId="0013164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74B432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-0.011*** (0.004)</w:t>
            </w:r>
          </w:p>
        </w:tc>
        <w:tc>
          <w:tcPr>
            <w:tcW w:w="2977" w:type="dxa"/>
          </w:tcPr>
          <w:p w14:paraId="1D5C8F2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(0.004)</w:t>
            </w:r>
          </w:p>
        </w:tc>
        <w:tc>
          <w:tcPr>
            <w:tcW w:w="3209" w:type="dxa"/>
          </w:tcPr>
          <w:p w14:paraId="02EBC99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4392F71" w14:textId="77777777" w:rsidTr="00AB5D40">
        <w:tc>
          <w:tcPr>
            <w:tcW w:w="758" w:type="dxa"/>
            <w:vMerge/>
          </w:tcPr>
          <w:p w14:paraId="38977596" w14:textId="77777777" w:rsidR="00241E99" w:rsidRPr="00EA04C9" w:rsidRDefault="00241E99" w:rsidP="00AB5D40">
            <w:pPr>
              <w:rPr>
                <w:rFonts w:ascii="Times New Roman" w:hAnsi="Times New Roman" w:cs="Times New Roman"/>
                <w:sz w:val="24"/>
                <w:szCs w:val="24"/>
              </w:rPr>
            </w:pPr>
          </w:p>
        </w:tc>
        <w:tc>
          <w:tcPr>
            <w:tcW w:w="2072" w:type="dxa"/>
          </w:tcPr>
          <w:p w14:paraId="2586C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(0.009)</w:t>
            </w:r>
          </w:p>
        </w:tc>
        <w:tc>
          <w:tcPr>
            <w:tcW w:w="2977" w:type="dxa"/>
          </w:tcPr>
          <w:p w14:paraId="3EFE033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31CDEE3C" w14:textId="77777777" w:rsidR="00241E99" w:rsidRPr="00EA04C9" w:rsidRDefault="00241E99" w:rsidP="00AB5D40">
            <w:pPr>
              <w:rPr>
                <w:rFonts w:ascii="Times New Roman" w:hAnsi="Times New Roman" w:cs="Times New Roman"/>
                <w:sz w:val="24"/>
                <w:szCs w:val="24"/>
                <w:highlight w:val="yellow"/>
              </w:rPr>
            </w:pPr>
            <w:r w:rsidRPr="00EA04C9">
              <w:rPr>
                <w:rFonts w:ascii="Times New Roman" w:hAnsi="Times New Roman" w:cs="Times New Roman"/>
                <w:sz w:val="24"/>
                <w:szCs w:val="24"/>
              </w:rPr>
              <w:t>-0.025***  (0.009)</w:t>
            </w:r>
          </w:p>
        </w:tc>
      </w:tr>
      <w:tr w:rsidR="00241E99" w:rsidRPr="00EA04C9" w14:paraId="4A3B359C" w14:textId="77777777" w:rsidTr="00AB5D40">
        <w:tc>
          <w:tcPr>
            <w:tcW w:w="758" w:type="dxa"/>
            <w:vMerge w:val="restart"/>
          </w:tcPr>
          <w:p w14:paraId="60DDCC0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37E826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(0.004)</w:t>
            </w:r>
          </w:p>
        </w:tc>
        <w:tc>
          <w:tcPr>
            <w:tcW w:w="2977" w:type="dxa"/>
          </w:tcPr>
          <w:p w14:paraId="6029D611"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0.008</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(0.008)</w:t>
            </w:r>
          </w:p>
        </w:tc>
        <w:tc>
          <w:tcPr>
            <w:tcW w:w="3209" w:type="dxa"/>
          </w:tcPr>
          <w:p w14:paraId="40063C1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4C8BE38" w14:textId="77777777" w:rsidTr="00AB5D40">
        <w:tc>
          <w:tcPr>
            <w:tcW w:w="758" w:type="dxa"/>
            <w:vMerge/>
          </w:tcPr>
          <w:p w14:paraId="5C848EEA" w14:textId="77777777" w:rsidR="00241E99" w:rsidRPr="00EA04C9" w:rsidRDefault="00241E99" w:rsidP="00AB5D40">
            <w:pPr>
              <w:rPr>
                <w:rFonts w:ascii="Times New Roman" w:hAnsi="Times New Roman" w:cs="Times New Roman"/>
                <w:sz w:val="24"/>
                <w:szCs w:val="24"/>
              </w:rPr>
            </w:pPr>
          </w:p>
        </w:tc>
        <w:tc>
          <w:tcPr>
            <w:tcW w:w="2072" w:type="dxa"/>
          </w:tcPr>
          <w:p w14:paraId="646BA0C4"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10035F6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6C7021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-0.022***  (0.009)</w:t>
            </w:r>
          </w:p>
        </w:tc>
      </w:tr>
      <w:tr w:rsidR="00241E99" w:rsidRPr="00EA04C9" w14:paraId="74A9D961" w14:textId="77777777" w:rsidTr="00AB5D40">
        <w:tc>
          <w:tcPr>
            <w:tcW w:w="758" w:type="dxa"/>
            <w:vMerge w:val="restart"/>
          </w:tcPr>
          <w:p w14:paraId="4436323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lastRenderedPageBreak/>
              <w:t>2024</w:t>
            </w:r>
          </w:p>
        </w:tc>
        <w:tc>
          <w:tcPr>
            <w:tcW w:w="2072" w:type="dxa"/>
          </w:tcPr>
          <w:p w14:paraId="6E30AFC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CD4830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5FB317E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DB5A5B4" w14:textId="77777777" w:rsidTr="00AB5D40">
        <w:tc>
          <w:tcPr>
            <w:tcW w:w="758" w:type="dxa"/>
            <w:vMerge/>
          </w:tcPr>
          <w:p w14:paraId="330548DD" w14:textId="77777777" w:rsidR="00241E99" w:rsidRPr="00EA04C9" w:rsidRDefault="00241E99" w:rsidP="00AB5D40">
            <w:pPr>
              <w:rPr>
                <w:rFonts w:ascii="Times New Roman" w:hAnsi="Times New Roman" w:cs="Times New Roman"/>
                <w:sz w:val="24"/>
                <w:szCs w:val="24"/>
              </w:rPr>
            </w:pPr>
          </w:p>
        </w:tc>
        <w:tc>
          <w:tcPr>
            <w:tcW w:w="2072" w:type="dxa"/>
          </w:tcPr>
          <w:p w14:paraId="6CC90C0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0.004</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DFDFF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629F8B7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 (0.006)</w:t>
            </w:r>
          </w:p>
        </w:tc>
      </w:tr>
    </w:tbl>
    <w:p w14:paraId="5CA2A59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57E00EE4" w14:textId="77777777" w:rsidTr="00AB5D40">
        <w:tc>
          <w:tcPr>
            <w:tcW w:w="758" w:type="dxa"/>
          </w:tcPr>
          <w:p w14:paraId="66B731F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1D0600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0A5E05D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54122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6AA89499" w14:textId="77777777" w:rsidTr="00AB5D40">
        <w:tc>
          <w:tcPr>
            <w:tcW w:w="758" w:type="dxa"/>
            <w:vMerge w:val="restart"/>
          </w:tcPr>
          <w:p w14:paraId="49A822D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524D35B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7711D2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 (0.003)</w:t>
            </w:r>
          </w:p>
        </w:tc>
        <w:tc>
          <w:tcPr>
            <w:tcW w:w="3209" w:type="dxa"/>
          </w:tcPr>
          <w:p w14:paraId="01BA7F0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F226326" w14:textId="77777777" w:rsidTr="00AB5D40">
        <w:tc>
          <w:tcPr>
            <w:tcW w:w="758" w:type="dxa"/>
            <w:vMerge/>
          </w:tcPr>
          <w:p w14:paraId="605995FD" w14:textId="77777777" w:rsidR="00241E99" w:rsidRPr="00EA04C9" w:rsidRDefault="00241E99" w:rsidP="00AB5D40">
            <w:pPr>
              <w:rPr>
                <w:rFonts w:ascii="Times New Roman" w:hAnsi="Times New Roman" w:cs="Times New Roman"/>
                <w:sz w:val="24"/>
                <w:szCs w:val="24"/>
              </w:rPr>
            </w:pPr>
          </w:p>
        </w:tc>
        <w:tc>
          <w:tcPr>
            <w:tcW w:w="2072" w:type="dxa"/>
          </w:tcPr>
          <w:p w14:paraId="67DBE4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(0.007)</w:t>
            </w:r>
          </w:p>
        </w:tc>
        <w:tc>
          <w:tcPr>
            <w:tcW w:w="2977" w:type="dxa"/>
          </w:tcPr>
          <w:p w14:paraId="79E08B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(0.002)</w:t>
            </w:r>
          </w:p>
        </w:tc>
        <w:tc>
          <w:tcPr>
            <w:tcW w:w="3209" w:type="dxa"/>
          </w:tcPr>
          <w:p w14:paraId="36567DB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(0.008)</w:t>
            </w:r>
          </w:p>
        </w:tc>
      </w:tr>
      <w:tr w:rsidR="00241E99" w:rsidRPr="00EA04C9" w14:paraId="76BABB60" w14:textId="77777777" w:rsidTr="00AB5D40">
        <w:tc>
          <w:tcPr>
            <w:tcW w:w="758" w:type="dxa"/>
            <w:vMerge w:val="restart"/>
          </w:tcPr>
          <w:p w14:paraId="5542781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20577D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6D39ED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(0.003)</w:t>
            </w:r>
          </w:p>
        </w:tc>
        <w:tc>
          <w:tcPr>
            <w:tcW w:w="3209" w:type="dxa"/>
          </w:tcPr>
          <w:p w14:paraId="0F81843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5484324D" w14:textId="77777777" w:rsidTr="00AB5D40">
        <w:tc>
          <w:tcPr>
            <w:tcW w:w="758" w:type="dxa"/>
            <w:vMerge/>
          </w:tcPr>
          <w:p w14:paraId="74B339F3" w14:textId="77777777" w:rsidR="00241E99" w:rsidRPr="00EA04C9" w:rsidRDefault="00241E99" w:rsidP="00AB5D40">
            <w:pPr>
              <w:rPr>
                <w:rFonts w:ascii="Times New Roman" w:hAnsi="Times New Roman" w:cs="Times New Roman"/>
                <w:sz w:val="24"/>
                <w:szCs w:val="24"/>
              </w:rPr>
            </w:pPr>
          </w:p>
        </w:tc>
        <w:tc>
          <w:tcPr>
            <w:tcW w:w="2072" w:type="dxa"/>
          </w:tcPr>
          <w:p w14:paraId="1AC304A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(0.010)</w:t>
            </w:r>
          </w:p>
        </w:tc>
        <w:tc>
          <w:tcPr>
            <w:tcW w:w="2977" w:type="dxa"/>
          </w:tcPr>
          <w:p w14:paraId="469671B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(0.002)</w:t>
            </w:r>
          </w:p>
        </w:tc>
        <w:tc>
          <w:tcPr>
            <w:tcW w:w="3209" w:type="dxa"/>
          </w:tcPr>
          <w:p w14:paraId="1495DE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-0.030***  (0.011)</w:t>
            </w:r>
          </w:p>
        </w:tc>
      </w:tr>
      <w:tr w:rsidR="00241E99" w:rsidRPr="00EA04C9" w14:paraId="638113F8" w14:textId="77777777" w:rsidTr="00AB5D40">
        <w:tc>
          <w:tcPr>
            <w:tcW w:w="758" w:type="dxa"/>
            <w:vMerge w:val="restart"/>
          </w:tcPr>
          <w:p w14:paraId="6E8AA1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5757B4BD"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-0.012***</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2977" w:type="dxa"/>
          </w:tcPr>
          <w:p w14:paraId="5ABD96F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365485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2589F4B" w14:textId="77777777" w:rsidTr="00AB5D40">
        <w:tc>
          <w:tcPr>
            <w:tcW w:w="758" w:type="dxa"/>
            <w:vMerge/>
          </w:tcPr>
          <w:p w14:paraId="69E7FF89" w14:textId="77777777" w:rsidR="00241E99" w:rsidRPr="00EA04C9" w:rsidRDefault="00241E99" w:rsidP="00AB5D40">
            <w:pPr>
              <w:rPr>
                <w:rFonts w:ascii="Times New Roman" w:hAnsi="Times New Roman" w:cs="Times New Roman"/>
                <w:sz w:val="24"/>
                <w:szCs w:val="24"/>
              </w:rPr>
            </w:pPr>
          </w:p>
        </w:tc>
        <w:tc>
          <w:tcPr>
            <w:tcW w:w="2072" w:type="dxa"/>
          </w:tcPr>
          <w:p w14:paraId="044320EF"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0.009</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(0.010)</w:t>
            </w:r>
          </w:p>
        </w:tc>
        <w:tc>
          <w:tcPr>
            <w:tcW w:w="2977" w:type="dxa"/>
          </w:tcPr>
          <w:p w14:paraId="1E533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7936B20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(0.012)</w:t>
            </w:r>
          </w:p>
        </w:tc>
      </w:tr>
      <w:tr w:rsidR="00241E99" w:rsidRPr="00EA04C9" w14:paraId="2CBD48DA" w14:textId="77777777" w:rsidTr="00AB5D40">
        <w:tc>
          <w:tcPr>
            <w:tcW w:w="758" w:type="dxa"/>
            <w:vMerge w:val="restart"/>
          </w:tcPr>
          <w:p w14:paraId="5CE3D7B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2BD653C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5859C9A5"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0799A7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B1BBC19" w14:textId="77777777" w:rsidTr="00AB5D40">
        <w:tc>
          <w:tcPr>
            <w:tcW w:w="758" w:type="dxa"/>
            <w:vMerge/>
          </w:tcPr>
          <w:p w14:paraId="74A0A65D" w14:textId="77777777" w:rsidR="00241E99" w:rsidRPr="00EA04C9" w:rsidRDefault="00241E99" w:rsidP="00AB5D40">
            <w:pPr>
              <w:rPr>
                <w:rFonts w:ascii="Times New Roman" w:hAnsi="Times New Roman" w:cs="Times New Roman"/>
                <w:sz w:val="24"/>
                <w:szCs w:val="24"/>
              </w:rPr>
            </w:pPr>
          </w:p>
        </w:tc>
        <w:tc>
          <w:tcPr>
            <w:tcW w:w="2072" w:type="dxa"/>
          </w:tcPr>
          <w:p w14:paraId="521B2F73"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F83DB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0.010***</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0965A29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-0.018***  (0.006)</w:t>
            </w:r>
          </w:p>
        </w:tc>
      </w:tr>
    </w:tbl>
    <w:p w14:paraId="120BCFD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6A3247B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i/>
          <w:iCs/>
          <w:sz w:val="24"/>
          <w:szCs w:val="24"/>
        </w:rPr>
        <w:t>Note: For presentation purposes, the coefficient and standard error for the interaction term have been multiplied by 10^2. This scaling prevents the estimate from rounding to zero due to the interaction of two percentage-scale variable ai and ict specialists/trainings.</w:t>
      </w:r>
    </w:p>
    <w:p w14:paraId="76B8B8CC" w14:textId="43EFA0A6" w:rsidR="00B64021" w:rsidRPr="00E57728" w:rsidRDefault="00E57728" w:rsidP="00BC1CA8">
      <w:pPr>
        <w:pStyle w:val="Thesisbody"/>
      </w:pPr>
      <w:r w:rsidRPr="00E57728">
        <w:t>A 1 percentage point increase in sectoral AI adoption is associated with approximately 0.7</w:t>
      </w:r>
      <w:r>
        <w:t>-</w:t>
      </w:r>
      <w:r w:rsidRPr="00E57728">
        <w:t xml:space="preserve">1.3% lower real hourly wages in the cross-section. This is the net effect of AI adoption in the average European sector, where displacement pressures are not offset by complementary ICT investment. This finding aligns with Acemoglu and Restrepo, whose wage-displacement regressions yield a coefficient of </w:t>
      </w:r>
      <w:r>
        <w:t>-</w:t>
      </w:r>
      <w:r w:rsidRPr="00E57728">
        <w:t>1.31 on task displacement (SE 0.19), implying that a 25 pp increase in task displacement reduces relative wages by 40%</w:t>
      </w:r>
      <w:r>
        <w:t xml:space="preserve"> [15]</w:t>
      </w:r>
      <w:r w:rsidRPr="00E57728">
        <w:t>. At the magnitude documented here</w:t>
      </w:r>
      <w:r w:rsidR="009E4FA4">
        <w:t xml:space="preserve">, </w:t>
      </w:r>
      <w:r w:rsidRPr="00E57728">
        <w:t>roughly 1% per 1 pp of AI adoption</w:t>
      </w:r>
      <w:r w:rsidR="009E4FA4">
        <w:t xml:space="preserve">, </w:t>
      </w:r>
      <w:r w:rsidRPr="00E57728">
        <w:t>the result is consistent with the robots literature of Acemoglu and Restrepo, who find that one additional robot per thousand workers reduces aggregate wages by 0.42%</w:t>
      </w:r>
      <w:r w:rsidR="009E4FA4">
        <w:t xml:space="preserve"> [16]</w:t>
      </w:r>
      <w:r w:rsidRPr="00E57728">
        <w:t>. The cross-sectional negative coefficient thus captures the settled displacement equilibrium: sectors that have adopted AI most intensively over time are those that already automated the largest share of routine tasks, and the wage outcome reflects the long-run compression of task share for affected workers.</w:t>
      </w:r>
    </w:p>
    <w:p w14:paraId="4EB43109" w14:textId="1F222EB2" w:rsidR="003E61CC" w:rsidRPr="008A4ACA" w:rsidRDefault="00941C95" w:rsidP="00BC1CA8">
      <w:pPr>
        <w:pStyle w:val="Thesisbody"/>
      </w:pPr>
      <w:r w:rsidRPr="00B52771">
        <w:t xml:space="preserve">ICT training is positive and statistically significant at the 1% level in nearly every additive specification (0.007-0.008 across years). A 1 pp increase in the share of enterprises providing ICT training is associated with approximately 0.6-1.0% </w:t>
      </w:r>
      <w:r w:rsidRPr="00E96BB2">
        <w:t xml:space="preserve">higher real wages. This robust independent effect of training on wages finds external support in Falck, Heimisch, and Wiederhold </w:t>
      </w:r>
      <w:r w:rsidR="00B52771" w:rsidRPr="00E96BB2">
        <w:t>in the work “</w:t>
      </w:r>
      <w:r w:rsidR="00E96BB2" w:rsidRPr="00E96BB2">
        <w:t>Returns to ICT skills</w:t>
      </w:r>
      <w:r w:rsidR="00B52771" w:rsidRPr="00E96BB2">
        <w:t>”</w:t>
      </w:r>
      <w:r w:rsidRPr="00E96BB2">
        <w:t>, whose cross-country analysis</w:t>
      </w:r>
      <w:r w:rsidRPr="00B52771">
        <w:t xml:space="preserve"> of 19 European countries estimates returns to ICT skills at approximately 8% per standard deviation, identifying learning-by-doing as the core mechanism</w:t>
      </w:r>
      <w:r w:rsidR="00B52771" w:rsidRPr="00B52771">
        <w:t xml:space="preserve"> [</w:t>
      </w:r>
      <w:r w:rsidR="00E96BB2">
        <w:t>36</w:t>
      </w:r>
      <w:r w:rsidR="00B52771" w:rsidRPr="00530A58">
        <w:t>]</w:t>
      </w:r>
      <w:r w:rsidRPr="00530A58">
        <w:t xml:space="preserve">. Tomelleri, Cutuli, and Signoretti </w:t>
      </w:r>
      <w:r w:rsidR="00C52F2B" w:rsidRPr="00530A58">
        <w:t>in the work “</w:t>
      </w:r>
      <w:r w:rsidR="00530A58" w:rsidRPr="00530A58">
        <w:t>Returns  to ICT  skills in  European labour markets, trade unions and contractual cleavages</w:t>
      </w:r>
      <w:r w:rsidR="00C52F2B" w:rsidRPr="00530A58">
        <w:t>”</w:t>
      </w:r>
      <w:r w:rsidRPr="00B52771">
        <w:t xml:space="preserve"> </w:t>
      </w:r>
      <w:r w:rsidRPr="00B52771">
        <w:lastRenderedPageBreak/>
        <w:t xml:space="preserve">independently </w:t>
      </w:r>
      <w:r w:rsidR="007022D1">
        <w:t>presented</w:t>
      </w:r>
      <w:r w:rsidRPr="00B52771">
        <w:t xml:space="preserve"> this, reporting a 2.6% wage increase for each additional ICT skill deployed at work (p &lt; 0.001), stable across all model specifications</w:t>
      </w:r>
      <w:r w:rsidR="00C52F2B">
        <w:t xml:space="preserve"> [</w:t>
      </w:r>
      <w:r w:rsidR="00530A58">
        <w:t>37</w:t>
      </w:r>
      <w:r w:rsidR="00C52F2B">
        <w:t>]</w:t>
      </w:r>
      <w:r w:rsidRPr="00B52771">
        <w:t>.</w:t>
      </w:r>
    </w:p>
    <w:p w14:paraId="6FBD6975" w14:textId="62316EEA" w:rsidR="003E61CC" w:rsidRPr="00B35183" w:rsidRDefault="00941C95" w:rsidP="00BC1CA8">
      <w:pPr>
        <w:pStyle w:val="Thesisbody"/>
      </w:pPr>
      <w:r w:rsidRPr="00730099">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rsidR="00DC0DE2">
        <w:t xml:space="preserve">also presented </w:t>
      </w:r>
      <w:r w:rsidRPr="00730099">
        <w:t xml:space="preserve">by Barisic, Ghodsi, and Stehrer, whose cross-country sectoral analysis of 32 countries and 38 industries finds that ICT capital investment has an insignificant effect on wages </w:t>
      </w:r>
      <w:r w:rsidRPr="00EC070C">
        <w:t>once total factor productivity is controlled, while TFP itself shows a strongly positive association</w:t>
      </w:r>
      <w:r w:rsidR="00730099" w:rsidRPr="00EC070C">
        <w:t xml:space="preserve"> [</w:t>
      </w:r>
      <w:r w:rsidR="002A0653" w:rsidRPr="00EC070C">
        <w:t>38</w:t>
      </w:r>
      <w:r w:rsidR="00730099" w:rsidRPr="00EC070C">
        <w:t>]</w:t>
      </w:r>
      <w:r w:rsidRPr="00EC070C">
        <w:t>.</w:t>
      </w:r>
    </w:p>
    <w:p w14:paraId="7DD98B1B" w14:textId="4B222121" w:rsidR="001571E4" w:rsidRPr="001571E4" w:rsidRDefault="001571E4" w:rsidP="001571E4">
      <w:pPr>
        <w:jc w:val="both"/>
        <w:rPr>
          <w:highlight w:val="yellow"/>
        </w:rPr>
      </w:pPr>
      <w:r w:rsidRPr="001571E4">
        <w:rPr>
          <w:b/>
          <w:bCs/>
          <w:highlight w:val="yellow"/>
        </w:rPr>
        <w:t>Interaction specifications (Mo</w:t>
      </w:r>
    </w:p>
    <w:p w14:paraId="184EB6C6" w14:textId="10458955" w:rsidR="003C2B06" w:rsidRPr="006A59A3" w:rsidRDefault="003C2B06" w:rsidP="000176F0">
      <w:pPr>
        <w:pStyle w:val="Thesisbody"/>
      </w:pPr>
      <w:r w:rsidRPr="006A59A3">
        <w:t>Upon introduction of the AI × ICT interaction term, a systematic sign reversal occurs in the AI adoption coefficient: it shifts from negative and highly significant (−0.009 to −0.013) in the additive specifications to positive (0.004–0.012) and statistically insignificant in the interaction specifications. As Brambor, Clark, and Golder establish, coefficients in interaction models are almost certain to change with the inclusion of an interaction term, and this should not be interpreted as a sign of multicollinearity or model instability [</w:t>
      </w:r>
      <w:r w:rsidR="004004A6">
        <w:t>35</w:t>
      </w:r>
      <w:r w:rsidRPr="006A59A3">
        <w:t>]. In the additive model, the AI coefficient captures a forced average of its wage effect across all ICT levels simultaneously — a weighted mixture of the AI effect in digitally weak and digitally strong sectors. This average is negative because high-ICT sectors pull the overall estimate downward. Once the interaction term is introduced, this heterogeneous variation is reassigned to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and what remains in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is only the AI effect at the boundary where ICT = 0. Because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becomes insignificant, no standalone interpretation of this boundary condition is warranted. As Brambor, Clark, and Golder emphasise, the coefficient on a constitutive term must not be read as the average or unconditional effect of AI on wages [</w:t>
      </w:r>
      <w:r w:rsidR="00793BB8">
        <w:t>35</w:t>
      </w:r>
      <w:r w:rsidR="00BC538B" w:rsidRPr="006A59A3">
        <w:t>]</w:t>
      </w:r>
      <w:r w:rsidRPr="006A59A3">
        <w:t>.</w:t>
      </w:r>
    </w:p>
    <w:p w14:paraId="40278C0E" w14:textId="53FE7346" w:rsidR="003C2B06" w:rsidRPr="006A59A3" w:rsidRDefault="003C2B06" w:rsidP="000176F0">
      <w:pPr>
        <w:pStyle w:val="Thesisbody"/>
      </w:pPr>
      <w:r w:rsidRPr="006A59A3">
        <w:t>The interaction coefficient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xml:space="preserve"> is negative and significant at the 1% level across all years and both ICT measures. </w:t>
      </w:r>
      <w:r w:rsidR="00502F57" w:rsidRPr="006A59A3">
        <w:t xml:space="preserve">It </w:t>
      </w:r>
      <w:r w:rsidRPr="006A59A3">
        <w:t>means that as sectoral ICT capacity increases, the wage effect of AI adoption is systematically compressed downward. The marginal effects evaluated at the 25th, 50th, and 75th percentiles of the ICT distribution are therefore the primary vehicle for interpreting this gradient at empirically observed values of the condition</w:t>
      </w:r>
      <w:r w:rsidRPr="00CF200B">
        <w:t>ing variable</w:t>
      </w:r>
      <w:r w:rsidR="00502F57" w:rsidRPr="00CF200B">
        <w:t xml:space="preserve"> [</w:t>
      </w:r>
      <w:r w:rsidR="00793BB8" w:rsidRPr="00CF200B">
        <w:t>35</w:t>
      </w:r>
      <w:r w:rsidR="00502F57" w:rsidRPr="00CF200B">
        <w:t xml:space="preserve">]. </w:t>
      </w:r>
      <w:r w:rsidRPr="00CF200B">
        <w:t xml:space="preserve"> ICT specialists become statistically significant in the interaction models. As Brambor</w:t>
      </w:r>
      <w:r w:rsidR="00502F57" w:rsidRPr="00CF200B">
        <w:t>,</w:t>
      </w:r>
      <w:r w:rsidR="003460B2" w:rsidRPr="00CF200B">
        <w:t xml:space="preserve"> Clark and Golder</w:t>
      </w:r>
      <w:r w:rsidRPr="00CF200B">
        <w:t xml:space="preserve"> explain, including the interaction term allows the specialist variable to capture its</w:t>
      </w:r>
      <w:r w:rsidRPr="006A59A3">
        <w:t xml:space="preserve"> pure, </w:t>
      </w:r>
      <w:r w:rsidRPr="006A59A3">
        <w:lastRenderedPageBreak/>
        <w:t>non-AI-related contribution to wages more cleanly, isolating the portion of the wage–specialist correlation that is not mediated by AI adoption</w:t>
      </w:r>
      <w:r w:rsidR="00502F57" w:rsidRPr="006A59A3">
        <w:t xml:space="preserve"> [</w:t>
      </w:r>
      <w:r w:rsidR="00793BB8">
        <w:t>35</w:t>
      </w:r>
      <w:r w:rsidR="00502F57" w:rsidRPr="006A59A3">
        <w:t xml:space="preserve">].  </w:t>
      </w:r>
    </w:p>
    <w:p w14:paraId="7FE2F2E2" w14:textId="77777777" w:rsidR="001571E4" w:rsidRPr="001571E4" w:rsidRDefault="001571E4" w:rsidP="001571E4">
      <w:pPr>
        <w:jc w:val="both"/>
        <w:rPr>
          <w:b/>
          <w:bCs/>
          <w:highlight w:val="yellow"/>
        </w:rPr>
      </w:pPr>
      <w:r w:rsidRPr="001571E4">
        <w:rPr>
          <w:b/>
          <w:bCs/>
          <w:highlight w:val="yellow"/>
        </w:rPr>
        <w:t>Marginal Effects and the Moderating Hypothesis</w:t>
      </w:r>
    </w:p>
    <w:p w14:paraId="08B81DBD"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36A891CC" w14:textId="77777777" w:rsidTr="00AB5D40">
        <w:tc>
          <w:tcPr>
            <w:tcW w:w="846" w:type="dxa"/>
          </w:tcPr>
          <w:p w14:paraId="1A599FE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B58E6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1C8C6DD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525F8CC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241E99" w:rsidRPr="00EA04C9" w14:paraId="3C8E5F11" w14:textId="77777777" w:rsidTr="00AB5D40">
        <w:tc>
          <w:tcPr>
            <w:tcW w:w="846" w:type="dxa"/>
          </w:tcPr>
          <w:p w14:paraId="7BEE215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7981E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0.0059</w:t>
            </w:r>
          </w:p>
        </w:tc>
        <w:tc>
          <w:tcPr>
            <w:tcW w:w="2835" w:type="dxa"/>
          </w:tcPr>
          <w:p w14:paraId="074CDE9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0.0048</w:t>
            </w:r>
          </w:p>
        </w:tc>
        <w:tc>
          <w:tcPr>
            <w:tcW w:w="2642" w:type="dxa"/>
          </w:tcPr>
          <w:p w14:paraId="2B0366E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0.0028</w:t>
            </w:r>
          </w:p>
        </w:tc>
      </w:tr>
      <w:tr w:rsidR="00241E99" w:rsidRPr="00EA04C9" w14:paraId="353F5A93" w14:textId="77777777" w:rsidTr="00AB5D40">
        <w:tc>
          <w:tcPr>
            <w:tcW w:w="846" w:type="dxa"/>
          </w:tcPr>
          <w:p w14:paraId="3CE1D1C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3E39F8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0.0087</w:t>
            </w:r>
          </w:p>
        </w:tc>
        <w:tc>
          <w:tcPr>
            <w:tcW w:w="2835" w:type="dxa"/>
          </w:tcPr>
          <w:p w14:paraId="50F43AE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0.0073</w:t>
            </w:r>
          </w:p>
        </w:tc>
        <w:tc>
          <w:tcPr>
            <w:tcW w:w="2642" w:type="dxa"/>
          </w:tcPr>
          <w:p w14:paraId="4484C9D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0.0045</w:t>
            </w:r>
          </w:p>
        </w:tc>
      </w:tr>
      <w:tr w:rsidR="00241E99" w:rsidRPr="00EA04C9" w14:paraId="48C9E040" w14:textId="77777777" w:rsidTr="00AB5D40">
        <w:tc>
          <w:tcPr>
            <w:tcW w:w="846" w:type="dxa"/>
          </w:tcPr>
          <w:p w14:paraId="5A8298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5F2959C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0.0053</w:t>
            </w:r>
          </w:p>
        </w:tc>
        <w:tc>
          <w:tcPr>
            <w:tcW w:w="2835" w:type="dxa"/>
          </w:tcPr>
          <w:p w14:paraId="5065209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0.0042</w:t>
            </w:r>
          </w:p>
        </w:tc>
        <w:tc>
          <w:tcPr>
            <w:tcW w:w="2642" w:type="dxa"/>
          </w:tcPr>
          <w:p w14:paraId="529F6A9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0.0018</w:t>
            </w:r>
          </w:p>
        </w:tc>
      </w:tr>
      <w:tr w:rsidR="00241E99" w:rsidRPr="00EA04C9" w14:paraId="312458A8" w14:textId="77777777" w:rsidTr="00AB5D40">
        <w:tc>
          <w:tcPr>
            <w:tcW w:w="846" w:type="dxa"/>
          </w:tcPr>
          <w:p w14:paraId="03ACE1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1A5694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0.0023</w:t>
            </w:r>
          </w:p>
        </w:tc>
        <w:tc>
          <w:tcPr>
            <w:tcW w:w="2835" w:type="dxa"/>
          </w:tcPr>
          <w:p w14:paraId="068EB2E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0.0016</w:t>
            </w:r>
          </w:p>
        </w:tc>
        <w:tc>
          <w:tcPr>
            <w:tcW w:w="2642" w:type="dxa"/>
          </w:tcPr>
          <w:p w14:paraId="2B7135A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0.0002</w:t>
            </w:r>
          </w:p>
        </w:tc>
      </w:tr>
    </w:tbl>
    <w:p w14:paraId="5A69EAB7" w14:textId="77777777" w:rsidR="00241E99" w:rsidRPr="00EA04C9" w:rsidRDefault="00241E99" w:rsidP="00241E99">
      <w:pPr>
        <w:rPr>
          <w:rFonts w:ascii="Times New Roman" w:hAnsi="Times New Roman" w:cs="Times New Roman"/>
          <w:sz w:val="24"/>
          <w:szCs w:val="24"/>
        </w:rPr>
      </w:pPr>
    </w:p>
    <w:p w14:paraId="2C5E4579"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6854F237" w14:textId="77777777" w:rsidTr="00AB5D40">
        <w:tc>
          <w:tcPr>
            <w:tcW w:w="846" w:type="dxa"/>
          </w:tcPr>
          <w:p w14:paraId="379C086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7FA276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835" w:type="dxa"/>
          </w:tcPr>
          <w:p w14:paraId="52C6CD7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642" w:type="dxa"/>
          </w:tcPr>
          <w:p w14:paraId="2FC65FC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train</w:t>
            </w:r>
          </w:p>
        </w:tc>
      </w:tr>
      <w:tr w:rsidR="00241E99" w:rsidRPr="00EA04C9" w14:paraId="412F148C" w14:textId="77777777" w:rsidTr="00AB5D40">
        <w:tc>
          <w:tcPr>
            <w:tcW w:w="846" w:type="dxa"/>
          </w:tcPr>
          <w:p w14:paraId="1DDD062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43425F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645502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0.0066</w:t>
            </w:r>
          </w:p>
        </w:tc>
        <w:tc>
          <w:tcPr>
            <w:tcW w:w="2642" w:type="dxa"/>
          </w:tcPr>
          <w:p w14:paraId="2C4A80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0.0036</w:t>
            </w:r>
          </w:p>
        </w:tc>
      </w:tr>
      <w:tr w:rsidR="00241E99" w:rsidRPr="00EA04C9" w14:paraId="4F6F3BCA" w14:textId="77777777" w:rsidTr="00AB5D40">
        <w:tc>
          <w:tcPr>
            <w:tcW w:w="846" w:type="dxa"/>
          </w:tcPr>
          <w:p w14:paraId="463404F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54B05E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0D2E4F2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0.0062</w:t>
            </w:r>
          </w:p>
        </w:tc>
        <w:tc>
          <w:tcPr>
            <w:tcW w:w="2642" w:type="dxa"/>
          </w:tcPr>
          <w:p w14:paraId="44A029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0.0032</w:t>
            </w:r>
          </w:p>
        </w:tc>
      </w:tr>
      <w:tr w:rsidR="00241E99" w:rsidRPr="00EA04C9" w14:paraId="5AE76ED3" w14:textId="77777777" w:rsidTr="00AB5D40">
        <w:tc>
          <w:tcPr>
            <w:tcW w:w="846" w:type="dxa"/>
          </w:tcPr>
          <w:p w14:paraId="79558A5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61A8791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0.0055</w:t>
            </w:r>
          </w:p>
        </w:tc>
        <w:tc>
          <w:tcPr>
            <w:tcW w:w="2835" w:type="dxa"/>
          </w:tcPr>
          <w:p w14:paraId="173ACA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0.0037</w:t>
            </w:r>
          </w:p>
        </w:tc>
        <w:tc>
          <w:tcPr>
            <w:tcW w:w="2642" w:type="dxa"/>
          </w:tcPr>
          <w:p w14:paraId="4575FFE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0.0011</w:t>
            </w:r>
          </w:p>
        </w:tc>
      </w:tr>
      <w:tr w:rsidR="00241E99" w:rsidRPr="00EA04C9" w14:paraId="6D49D985" w14:textId="77777777" w:rsidTr="00AB5D40">
        <w:tc>
          <w:tcPr>
            <w:tcW w:w="846" w:type="dxa"/>
          </w:tcPr>
          <w:p w14:paraId="7B93850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6563E28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0.0039</w:t>
            </w:r>
          </w:p>
        </w:tc>
        <w:tc>
          <w:tcPr>
            <w:tcW w:w="2835" w:type="dxa"/>
          </w:tcPr>
          <w:p w14:paraId="43F5D4F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0.0029</w:t>
            </w:r>
          </w:p>
        </w:tc>
        <w:tc>
          <w:tcPr>
            <w:tcW w:w="2642" w:type="dxa"/>
          </w:tcPr>
          <w:p w14:paraId="48F800F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0.0006</w:t>
            </w:r>
          </w:p>
        </w:tc>
      </w:tr>
    </w:tbl>
    <w:p w14:paraId="5847552E" w14:textId="77777777" w:rsidR="00E874A9" w:rsidRDefault="00E874A9" w:rsidP="001571E4">
      <w:pPr>
        <w:jc w:val="both"/>
      </w:pPr>
    </w:p>
    <w:p w14:paraId="75DA6DAA" w14:textId="1BEB8046" w:rsidR="00E874A9" w:rsidRPr="00EF7427" w:rsidRDefault="00E874A9" w:rsidP="00B756E1">
      <w:pPr>
        <w:pStyle w:val="Thesisbody"/>
      </w:pPr>
      <w:r w:rsidRPr="00EF7427">
        <w:t>Two findings emerge directly from marginal effects table. First, the marginal effect of AI adoption on wages is positive at low and median ICT levels but diminishes monotonically as ICT capacity increases. Looking at ICT training specification 2021 year as an example, the AI wage premium falls from +0.82% to +0.36% when moving from a low-training to a high-training environment</w:t>
      </w:r>
      <w:r w:rsidR="007D2F25" w:rsidRPr="00EF7427">
        <w:t>. B</w:t>
      </w:r>
      <w:r w:rsidRPr="00EF7427">
        <w:t>y 2024 this compression reaches its endpoint: in digitally mature sectors, the marginal wage premium associated with AI adoption converges toward zero</w:t>
      </w:r>
      <w:r w:rsidR="007D2F25" w:rsidRPr="00EF7427">
        <w:t xml:space="preserve">: </w:t>
      </w:r>
      <w:r w:rsidRPr="00EF7427">
        <w:t>specialists at +0.02% and training at +0.06%. Taken together, these results are consistent with the second component of H2 and with the task-based framework of Acemoglu and Restrepo, who show that the wage effect of automation reflects the balance between a productivity effect, which raises wages, and a displacement effect, which reduces them</w:t>
      </w:r>
      <w:r w:rsidR="007D2F25" w:rsidRPr="00EF7427">
        <w:t xml:space="preserve"> [16,18]</w:t>
      </w:r>
      <w:r w:rsidRPr="00EF7427">
        <w:t xml:space="preserve">. As sectoral ICT capacity rises, capital substitutes for labour across a progressively broader set of tasks, the </w:t>
      </w:r>
      <w:r w:rsidRPr="00B756E1">
        <w:t>displacement channel intensifies, and the net marginal wage premium is compresse</w:t>
      </w:r>
      <w:r w:rsidR="00A11828" w:rsidRPr="00B756E1">
        <w:t>d</w:t>
      </w:r>
      <w:r w:rsidR="00A11828" w:rsidRPr="00B756E1">
        <w:rPr>
          <w:i/>
          <w:iCs/>
        </w:rPr>
        <w:t xml:space="preserve"> </w:t>
      </w:r>
      <w:r w:rsidR="00A11828" w:rsidRPr="00B756E1">
        <w:t>going toward zero in digitally mature sectors, where the wage premium from AI adoption appears fully absorbed.</w:t>
      </w:r>
      <w:r w:rsidRPr="00B756E1">
        <w:t xml:space="preserve"> Whether this saturation marks a stable equilibrium or a transitional state preceding a new wave of task creation remains beyond the scope of the present study.</w:t>
      </w:r>
    </w:p>
    <w:p w14:paraId="47C86D6A" w14:textId="7366BBD3" w:rsidR="00E874A9" w:rsidRPr="00EF7427" w:rsidRDefault="00E874A9" w:rsidP="00B756E1">
      <w:pPr>
        <w:pStyle w:val="Thesisbody"/>
      </w:pPr>
      <w:r w:rsidRPr="00EF7427">
        <w:t xml:space="preserve">Second, the 2022 spike visible in the ICT specialists track, where the low-ICT marginal effect jumps to +0.87% before declining, is consistent with the nominal wage acceleration observed across the EU in 2022, during which AI-adopting sectors appear to have transmitted </w:t>
      </w:r>
      <w:r w:rsidRPr="00EF7427">
        <w:lastRenderedPageBreak/>
        <w:t>inflationary wage pressure more strongly [</w:t>
      </w:r>
      <w:r w:rsidR="00272AE7">
        <w:t>39</w:t>
      </w:r>
      <w:r w:rsidRPr="00EF7427">
        <w:t xml:space="preserve">]. The ICT training track is notably smoother, peaking at the same level as 2021, which reflects the slower, structural nature of workforce training investment compared to the faster labour-market signal </w:t>
      </w:r>
      <w:r w:rsidR="00B45B0D" w:rsidRPr="00EF7427">
        <w:t>included</w:t>
      </w:r>
      <w:r w:rsidRPr="00EF7427">
        <w:t xml:space="preserve"> in specialist hiring.</w:t>
      </w:r>
    </w:p>
    <w:p w14:paraId="671EC553" w14:textId="3A93686E" w:rsidR="003E61CC" w:rsidRPr="00AF129C" w:rsidRDefault="00860183" w:rsidP="00B756E1">
      <w:pPr>
        <w:pStyle w:val="Thesisbody"/>
      </w:pPr>
      <w:r w:rsidRPr="00EF7427">
        <w:rPr>
          <w:lang w:val="en"/>
        </w:rPr>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w:t>
      </w:r>
      <w:r w:rsidR="006C5EC2" w:rsidRPr="00EF7427">
        <w:rPr>
          <w:lang w:val="en"/>
        </w:rPr>
        <w:t xml:space="preserve">. Through that </w:t>
      </w:r>
      <w:r w:rsidRPr="00EF7427">
        <w:rPr>
          <w:lang w:val="en"/>
        </w:rPr>
        <w:t>the first component of H2 is not confirmed. This is consistent with the Acemoglu</w:t>
      </w:r>
      <w:r w:rsidR="006C5EC2" w:rsidRPr="00EF7427">
        <w:rPr>
          <w:lang w:val="en"/>
        </w:rPr>
        <w:t xml:space="preserve"> and </w:t>
      </w:r>
      <w:r w:rsidRPr="00EF7427">
        <w:rPr>
          <w:lang w:val="en"/>
        </w:rPr>
        <w:t>Restrepo</w:t>
      </w:r>
      <w:r w:rsidR="00C320A8" w:rsidRPr="00EF7427">
        <w:rPr>
          <w:lang w:val="en"/>
        </w:rPr>
        <w:t xml:space="preserve"> </w:t>
      </w:r>
      <w:r w:rsidRPr="00EF7427">
        <w:rPr>
          <w:lang w:val="en"/>
        </w:rPr>
        <w:t>displacement equilibrium: sectors that have automated the most intensively are the sectors that displaced the most routine-task workers, and this displacement is reflected in suppressed average wages rather than a reinstatement premium</w:t>
      </w:r>
      <w:r w:rsidR="00C320A8" w:rsidRPr="00EF7427">
        <w:rPr>
          <w:lang w:val="en"/>
        </w:rPr>
        <w:t xml:space="preserve"> [15,18]</w:t>
      </w:r>
      <w:r w:rsidRPr="00EF7427">
        <w:rPr>
          <w:lang w:val="en"/>
        </w:rPr>
        <w:t>. The second component of H2 that the AI</w:t>
      </w:r>
      <w:r w:rsidR="006C5EC2" w:rsidRPr="00EF7427">
        <w:rPr>
          <w:lang w:val="en"/>
        </w:rPr>
        <w:t>-</w:t>
      </w:r>
      <w:r w:rsidRPr="00EF7427">
        <w:rPr>
          <w:lang w:val="en"/>
        </w:rPr>
        <w:t xml:space="preserve">wage relationship is moderated by ICT capacity is directly confirmed by the negative and significant interaction term and by the monotonically declining marginal effects across the ICT distribution. The between-sector structural wage hierarchy is therefore not primarily driven by AI intensity in isolation, but by the interaction between AI adoption and the sectoral ICT </w:t>
      </w:r>
      <w:r w:rsidR="00C82AB2" w:rsidRPr="00EF7427">
        <w:rPr>
          <w:lang w:val="en"/>
        </w:rPr>
        <w:t>condition</w:t>
      </w:r>
      <w:r w:rsidRPr="00EF7427">
        <w:rPr>
          <w:lang w:val="en"/>
        </w:rPr>
        <w:t>.</w:t>
      </w:r>
    </w:p>
    <w:p w14:paraId="5AE08F6A" w14:textId="14848117" w:rsidR="0002485C" w:rsidRDefault="00AD7069"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Panel models</w:t>
      </w:r>
    </w:p>
    <w:p w14:paraId="3E2883E8" w14:textId="7DE49FA2" w:rsidR="002274BB" w:rsidRDefault="009C2743" w:rsidP="009F4123">
      <w:pPr>
        <w:pStyle w:val="Thesisbody"/>
      </w:pPr>
      <w:r w:rsidRPr="004A524F">
        <w:t>To test whether within-sector increases in AI adoption are associated with negative wage pressures (H1), which is explicitly about within</w:t>
      </w:r>
      <w:r w:rsidRPr="004A524F">
        <w:noBreakHyphen/>
        <w:t>sector wage dynamics over time, the preferred estimator is a two</w:t>
      </w:r>
      <w:r w:rsidRPr="004A524F">
        <w:noBreakHyphen/>
        <w:t>way Fixed Effects (FE) panel model with country–sector and year effects. This specification exploits only within</w:t>
      </w:r>
      <w:r w:rsidRPr="004A524F">
        <w:noBreakHyphen/>
        <w:t>entity variation and differences out all time</w:t>
      </w:r>
      <w:r w:rsidRPr="004A524F">
        <w:noBreakHyphen/>
        <w:t xml:space="preserve">invariant sectoral and country characteristics, while the year dummies absorb common macroeconomic shocks that affected all European labour markets between 2021 and 2024, such as the 2022 inflation spike and subsequent partial recovery </w:t>
      </w:r>
      <w:r w:rsidRPr="00332CEF">
        <w:t>[</w:t>
      </w:r>
      <w:r w:rsidR="00332CEF" w:rsidRPr="00332CEF">
        <w:t>26</w:t>
      </w:r>
      <w:r w:rsidRPr="00332CEF">
        <w:t>].</w:t>
      </w:r>
      <w:r w:rsidRPr="004A524F">
        <w:t> </w:t>
      </w:r>
    </w:p>
    <w:p w14:paraId="6B563469" w14:textId="07EEBB16" w:rsidR="00D04B23" w:rsidRPr="00EA04C9" w:rsidRDefault="00606790" w:rsidP="00D04B23">
      <w:pPr>
        <w:jc w:val="both"/>
        <w:rPr>
          <w:rFonts w:ascii="Times New Roman" w:hAnsi="Times New Roman" w:cs="Times New Roman"/>
          <w:sz w:val="24"/>
          <w:szCs w:val="24"/>
        </w:rPr>
      </w:pPr>
      <w:r>
        <w:rPr>
          <w:rFonts w:ascii="Times New Roman" w:hAnsi="Times New Roman" w:cs="Times New Roman"/>
          <w:sz w:val="24"/>
          <w:szCs w:val="24"/>
        </w:rPr>
        <w:t>Diagnostic tests for two-way Fixed Models</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EA04C9" w:rsidRDefault="00D04B23"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Two-way FE model with ICT training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747BAEB1"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r>
              <w:rPr>
                <w:rFonts w:ascii="Times New Roman" w:hAnsi="Times New Roman" w:cs="Times New Roman"/>
                <w:sz w:val="24"/>
                <w:szCs w:val="24"/>
              </w:rPr>
              <w:t xml:space="preserve"> </w:t>
            </w:r>
          </w:p>
          <w:p w14:paraId="3B81B28F" w14:textId="442939D1"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468.6424</w:t>
            </w:r>
          </w:p>
          <w:p w14:paraId="1585A422" w14:textId="021C53D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47BD5772"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147.0239</w:t>
            </w:r>
          </w:p>
          <w:p w14:paraId="7B100A88" w14:textId="79452600"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41840465"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0.0130</w:t>
            </w:r>
          </w:p>
          <w:p w14:paraId="37BA326B" w14:textId="00A9794D"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lastRenderedPageBreak/>
              <w:t xml:space="preserve">Chow Test </w:t>
            </w:r>
          </w:p>
        </w:tc>
        <w:tc>
          <w:tcPr>
            <w:tcW w:w="3402" w:type="dxa"/>
          </w:tcPr>
          <w:p w14:paraId="7C3ABBE1"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p>
          <w:p w14:paraId="0DCC87FA" w14:textId="7446A18B"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74ADEEA4"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4.87</w:t>
            </w:r>
          </w:p>
          <w:p w14:paraId="55E724C1" w14:textId="39F4308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0.181</w:t>
            </w:r>
            <w:r>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BETWEEN Sectors </w:t>
            </w:r>
          </w:p>
        </w:tc>
        <w:tc>
          <w:tcPr>
            <w:tcW w:w="3402" w:type="dxa"/>
          </w:tcPr>
          <w:p w14:paraId="16F10784" w14:textId="4F852814"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785881FA" w14:textId="640C543C" w:rsidR="00AF2D53" w:rsidRDefault="00BC4D47" w:rsidP="005A6F53">
      <w:pPr>
        <w:pStyle w:val="Thesisbody"/>
      </w:pPr>
      <w:r w:rsidRPr="00BC4D47">
        <w:t>The panel dataset comprises 134 country–sector entities observed over four years (2021</w:t>
      </w:r>
      <w:r w:rsidR="005D7E81">
        <w:t>-</w:t>
      </w:r>
      <w:r w:rsidRPr="00BC4D47">
        <w:t>2024), yielding 536 observations. To select the appropriate estimator, a standard specification sequence was follow</w:t>
      </w:r>
      <w:r w:rsidRPr="00304D7C">
        <w:t>ed [</w:t>
      </w:r>
      <w:r w:rsidR="00304D7C" w:rsidRPr="00304D7C">
        <w:t>26</w:t>
      </w:r>
      <w:r w:rsidRPr="00304D7C">
        <w:t>].</w:t>
      </w:r>
      <w:r w:rsidRPr="00BC4D47">
        <w:t xml:space="preserve"> The Chow test for poolability (F = 188.8</w:t>
      </w:r>
      <w:r w:rsidR="005D7E81">
        <w:t>-</w:t>
      </w:r>
      <w:r w:rsidRPr="00BC4D47">
        <w:t xml:space="preserve">204.0, p &lt; 0.001) and the F-test for entity effects both rejected homogeneous intercepts across entities, </w:t>
      </w:r>
      <w:r w:rsidR="005D7E81">
        <w:t xml:space="preserve">making </w:t>
      </w:r>
      <w:r w:rsidRPr="00BC4D47">
        <w:t>Pooled OLS inappropriate. The Breusch-Pagan LM test (LM = 468.6</w:t>
      </w:r>
      <w:r w:rsidR="004A524F">
        <w:t>-</w:t>
      </w:r>
      <w:r w:rsidRPr="00BC4D47">
        <w:t>545.5, p &lt; 0.001) confirmed the presence of individual effects. The Hausman test strongly rejected the null in the ICT specialist specification (χ² = 147.0, p &lt; 0.001), requiring Fixed Effects over Random Effects. In the ICT training specification, the Hausman test is not significant (χ² = 7.29, p = 0.295)</w:t>
      </w:r>
      <w:r w:rsidR="00E14846">
        <w:t>,</w:t>
      </w:r>
      <w:r w:rsidRPr="00BC4D47">
        <w:t xml:space="preserve"> however, Fixed Effects is retained for consistency</w:t>
      </w:r>
      <w:r w:rsidR="00E14846">
        <w:t>. A</w:t>
      </w:r>
      <w:r w:rsidRPr="00BC4D47">
        <w:t>s Clark and Linzer note, a non-significant Hausman test on a short panel (T = 4) typically reflects low statistical power rather than RE consistency and using FE is the safer choice, guaranteeing unbiasedness at a small cost in precision [</w:t>
      </w:r>
      <w:r w:rsidR="008D530C">
        <w:t>40</w:t>
      </w:r>
      <w:r w:rsidRPr="00BC4D47">
        <w:t>].</w:t>
      </w:r>
    </w:p>
    <w:p w14:paraId="7AD6DF30" w14:textId="7876C218" w:rsidR="00AF2D53" w:rsidRDefault="006005CD" w:rsidP="005A6F53">
      <w:pPr>
        <w:pStyle w:val="Thesisbody"/>
      </w:pPr>
      <w:r w:rsidRPr="006005CD">
        <w:t>The preferred specification is a </w:t>
      </w:r>
      <w:r w:rsidRPr="00D04B23">
        <w:t>two-way</w:t>
      </w:r>
      <w:r w:rsidRPr="006005CD">
        <w:t> Fixed Effects model, incorporating both entity (country–sector) and time (year) fixed effects. The addition of time fixed effects is motivated by the specific macroeconomic context of the 2021–2024 period. Real wages across EU sectors 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t xml:space="preserve">, </w:t>
      </w:r>
      <w:r w:rsidRPr="006005CD">
        <w:t>including inflation, business cycle fluctuations, and EU-wide policy changes</w:t>
      </w:r>
      <w:r w:rsidR="005B70C6">
        <w:t xml:space="preserve">, </w:t>
      </w:r>
      <w:r w:rsidRPr="006005CD">
        <w:t>ensuring that the estim</w:t>
      </w:r>
      <w:r w:rsidRPr="006306D4">
        <w:t xml:space="preserve">ated AI and ICT coefficients reflect </w:t>
      </w:r>
      <w:r w:rsidR="005B70C6" w:rsidRPr="006306D4">
        <w:t>actual</w:t>
      </w:r>
      <w:r w:rsidRPr="006306D4">
        <w:t xml:space="preserve"> within-sector variation rather than aggregate time trends [</w:t>
      </w:r>
      <w:r w:rsidR="006306D4" w:rsidRPr="006306D4">
        <w:t>26,41</w:t>
      </w:r>
      <w:r w:rsidRPr="006306D4">
        <w:t>].</w:t>
      </w:r>
    </w:p>
    <w:p w14:paraId="7FE978FB" w14:textId="462A9299" w:rsidR="007A1D91" w:rsidRPr="00EA04C9" w:rsidRDefault="00D04B23" w:rsidP="005A6F53">
      <w:pPr>
        <w:pStyle w:val="Thesisbody"/>
      </w:pPr>
      <w:r w:rsidRPr="005A6F53">
        <w:t>Heteroskedasticity is detected in both</w:t>
      </w:r>
      <w:r w:rsidRPr="00D04B23">
        <w:t xml:space="preserve"> specifications (White test p &lt; 0.001), and all models use entity-clustered standard errors. An important structural feature of the data is the high between/within variance ratio (115.2 / 20.6 = 5.58): wage variation across country–sector entities is roughly 5.6 times larger than variation within entities over time, consistent with the structural stability of European wage hierarchies</w:t>
      </w:r>
      <w:r w:rsidR="007A1D91">
        <w:t xml:space="preserve">. </w:t>
      </w:r>
      <w:r w:rsidRPr="00D04B23">
        <w:t xml:space="preserve"> </w:t>
      </w:r>
    </w:p>
    <w:tbl>
      <w:tblPr>
        <w:tblStyle w:val="TableGrid"/>
        <w:tblW w:w="4693" w:type="dxa"/>
        <w:tblInd w:w="2299" w:type="dxa"/>
        <w:tblLook w:val="04A0" w:firstRow="1" w:lastRow="0" w:firstColumn="1" w:lastColumn="0" w:noHBand="0" w:noVBand="1"/>
      </w:tblPr>
      <w:tblGrid>
        <w:gridCol w:w="1323"/>
        <w:gridCol w:w="1669"/>
        <w:gridCol w:w="1701"/>
      </w:tblGrid>
      <w:tr w:rsidR="007A1D91" w:rsidRPr="00EA04C9" w14:paraId="370E8D1A" w14:textId="77777777" w:rsidTr="00AB5D40">
        <w:tc>
          <w:tcPr>
            <w:tcW w:w="1323" w:type="dxa"/>
          </w:tcPr>
          <w:p w14:paraId="3AD34532" w14:textId="77777777" w:rsidR="007A1D91" w:rsidRPr="00EA04C9" w:rsidRDefault="007A1D91" w:rsidP="00AB5D40">
            <w:pPr>
              <w:tabs>
                <w:tab w:val="left" w:pos="148"/>
              </w:tabs>
              <w:jc w:val="both"/>
              <w:rPr>
                <w:rFonts w:ascii="Times New Roman" w:hAnsi="Times New Roman" w:cs="Times New Roman"/>
                <w:sz w:val="24"/>
                <w:szCs w:val="24"/>
              </w:rPr>
            </w:pPr>
          </w:p>
        </w:tc>
        <w:tc>
          <w:tcPr>
            <w:tcW w:w="1669" w:type="dxa"/>
          </w:tcPr>
          <w:p w14:paraId="56126D7F"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c>
          <w:tcPr>
            <w:tcW w:w="1701" w:type="dxa"/>
          </w:tcPr>
          <w:p w14:paraId="1BFF9547"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r>
      <w:tr w:rsidR="007A1D91" w:rsidRPr="00EA04C9" w14:paraId="5906A0DF" w14:textId="77777777" w:rsidTr="00AB5D40">
        <w:tc>
          <w:tcPr>
            <w:tcW w:w="1323" w:type="dxa"/>
          </w:tcPr>
          <w:p w14:paraId="4447DCC9"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669" w:type="dxa"/>
          </w:tcPr>
          <w:p w14:paraId="13EDE9A8"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-0.0030</w:t>
            </w:r>
            <w:r>
              <w:rPr>
                <w:rFonts w:ascii="Times New Roman" w:hAnsi="Times New Roman" w:cs="Times New Roman"/>
                <w:sz w:val="24"/>
                <w:szCs w:val="24"/>
              </w:rPr>
              <w:t>**</w:t>
            </w:r>
            <w:r w:rsidRPr="00EA04C9">
              <w:rPr>
                <w:rFonts w:ascii="Times New Roman" w:hAnsi="Times New Roman" w:cs="Times New Roman"/>
                <w:sz w:val="24"/>
                <w:szCs w:val="24"/>
              </w:rPr>
              <w:t xml:space="preserve"> (0.0014)</w:t>
            </w:r>
          </w:p>
        </w:tc>
        <w:tc>
          <w:tcPr>
            <w:tcW w:w="1701" w:type="dxa"/>
          </w:tcPr>
          <w:p w14:paraId="29299552"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-0.0006</w:t>
            </w:r>
          </w:p>
          <w:p w14:paraId="3B52229C"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(0.0016)</w:t>
            </w:r>
          </w:p>
        </w:tc>
      </w:tr>
      <w:tr w:rsidR="007A1D91" w:rsidRPr="00EA04C9" w14:paraId="5404D246" w14:textId="77777777" w:rsidTr="00AB5D40">
        <w:tc>
          <w:tcPr>
            <w:tcW w:w="1323" w:type="dxa"/>
          </w:tcPr>
          <w:p w14:paraId="6E5681EC"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spec_ict</w:t>
            </w:r>
          </w:p>
        </w:tc>
        <w:tc>
          <w:tcPr>
            <w:tcW w:w="1669" w:type="dxa"/>
          </w:tcPr>
          <w:p w14:paraId="07C31EB1"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701" w:type="dxa"/>
          </w:tcPr>
          <w:p w14:paraId="637D2BC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3BB45544" w14:textId="77777777" w:rsidTr="00AB5D40">
        <w:tc>
          <w:tcPr>
            <w:tcW w:w="1323" w:type="dxa"/>
          </w:tcPr>
          <w:p w14:paraId="580399A0"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669" w:type="dxa"/>
          </w:tcPr>
          <w:p w14:paraId="1D2972EF"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701" w:type="dxa"/>
          </w:tcPr>
          <w:p w14:paraId="5A2AEC3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7841CCE8" w14:textId="77777777" w:rsidTr="00AB5D40">
        <w:tc>
          <w:tcPr>
            <w:tcW w:w="1323" w:type="dxa"/>
          </w:tcPr>
          <w:p w14:paraId="1037EB65"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669" w:type="dxa"/>
          </w:tcPr>
          <w:p w14:paraId="4C4E456D"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71CA483A"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0.0040</w:t>
            </w:r>
            <w:r>
              <w:rPr>
                <w:rFonts w:ascii="Times New Roman" w:hAnsi="Times New Roman" w:cs="Times New Roman"/>
                <w:sz w:val="24"/>
                <w:szCs w:val="24"/>
              </w:rPr>
              <w:t>***</w:t>
            </w:r>
            <w:r w:rsidRPr="00EA04C9">
              <w:rPr>
                <w:rFonts w:ascii="Times New Roman" w:hAnsi="Times New Roman" w:cs="Times New Roman"/>
                <w:sz w:val="24"/>
                <w:szCs w:val="24"/>
              </w:rPr>
              <w:t xml:space="preserve"> (0.0015)</w:t>
            </w:r>
          </w:p>
        </w:tc>
      </w:tr>
      <w:tr w:rsidR="007A1D91" w:rsidRPr="00E124E8" w14:paraId="681A622F" w14:textId="77777777" w:rsidTr="00AB5D40">
        <w:tc>
          <w:tcPr>
            <w:tcW w:w="1323" w:type="dxa"/>
          </w:tcPr>
          <w:p w14:paraId="0F5ED998"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669" w:type="dxa"/>
          </w:tcPr>
          <w:p w14:paraId="44CE52B1"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3A472C2A"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-7.282e-06</w:t>
            </w:r>
          </w:p>
          <w:p w14:paraId="57761542"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(2.647e-05)</w:t>
            </w:r>
          </w:p>
        </w:tc>
      </w:tr>
    </w:tbl>
    <w:p w14:paraId="4F796A22" w14:textId="172A26BE" w:rsidR="007A1D91" w:rsidRDefault="007A1D91" w:rsidP="00AF6287">
      <w:pPr>
        <w:jc w:val="both"/>
        <w:rPr>
          <w:rFonts w:ascii="Times New Roman" w:hAnsi="Times New Roman" w:cs="Times New Roman"/>
          <w:sz w:val="24"/>
          <w:szCs w:val="24"/>
        </w:rPr>
      </w:pP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Standard error in the brackets </w:t>
      </w:r>
    </w:p>
    <w:p w14:paraId="38C61A74" w14:textId="6492FA87" w:rsidR="00465A69" w:rsidRDefault="00AF25DE" w:rsidP="00125443">
      <w:pPr>
        <w:pStyle w:val="Thesisbody"/>
      </w:pPr>
      <w:r w:rsidRPr="00AF25DE">
        <w:t>In the two-way Fixed Effects model</w:t>
      </w:r>
      <w:r w:rsidR="00F508A7">
        <w:t xml:space="preserve"> with ICT specialist variable</w:t>
      </w:r>
      <w:r w:rsidRPr="00AF25DE">
        <w:t>, a one percentage point within-sector increase in AI adoption is associated with a 0.3% reduction in real wages (−0.0030, p = 0.035). This finding is consistent with the displacement mechanism formalised by Acemoglu and Restrepo, who documented a comparable within-unit negative wage effect in their robots analysis (−0.42% per robot per thousand workers across US commuting zones) [</w:t>
      </w:r>
      <w:r w:rsidR="00F508A7">
        <w:t>16</w:t>
      </w:r>
      <w:r w:rsidRPr="00AF25DE">
        <w:t xml:space="preserve">]. The interaction term AI × ICT specialists is positive but not statistically significant in the two-way FE model (2.86e-05, p = 0.136). The joint Wald test for the technology block also fails to reject the null of joint insignificance (χ² = 4.87, p = 0.181), indicating that within-sector variation in the AI–ICT channel does not explain short-run wage dynamics over 2021–2024. This is consistent with the finding </w:t>
      </w:r>
      <w:r w:rsidRPr="007F14B4">
        <w:t>of Ghodsi, Stehrer, and Barišić, who documented that technology effects on wages are persistent in cross-sectional specifications</w:t>
      </w:r>
      <w:r w:rsidRPr="00AF25DE">
        <w:t xml:space="preserve"> but largely disappear in within-unit or growth estimations</w:t>
      </w:r>
      <w:r w:rsidR="009874D2">
        <w:t xml:space="preserve"> [</w:t>
      </w:r>
      <w:r w:rsidR="007F14B4">
        <w:t>38</w:t>
      </w:r>
      <w:r w:rsidR="009874D2">
        <w:t>]</w:t>
      </w:r>
      <w:r w:rsidRPr="00AF25DE">
        <w:t xml:space="preserve">. The ICT specialist coefficient is itself </w:t>
      </w:r>
      <w:r w:rsidR="009874D2">
        <w:t xml:space="preserve">insignificant. </w:t>
      </w:r>
    </w:p>
    <w:p w14:paraId="2A1BD562" w14:textId="076BD0BA" w:rsidR="009874D2" w:rsidRDefault="009874D2" w:rsidP="00125443">
      <w:pPr>
        <w:pStyle w:val="Thesisbody"/>
      </w:pPr>
      <w:r>
        <w:t>Comparing</w:t>
      </w:r>
      <w:r w:rsidRPr="00AF25DE">
        <w:t xml:space="preserve"> the two-way </w:t>
      </w:r>
      <w:r w:rsidR="00D67EE9">
        <w:t>FE</w:t>
      </w:r>
      <w:r w:rsidRPr="00AF25DE">
        <w:t xml:space="preserve"> model</w:t>
      </w:r>
      <w:r>
        <w:t xml:space="preserve"> with ICT training variable</w:t>
      </w:r>
      <w:r w:rsidRPr="00AF25DE">
        <w:t xml:space="preserve">, </w:t>
      </w:r>
      <w:r>
        <w:t xml:space="preserve">the </w:t>
      </w:r>
      <w:r w:rsidRPr="009874D2">
        <w:t>two-way FE results for the training track are notably different. A one percentage point within-sector increase in the share of the workforce receiving ICT training is associated with a 0.4% increase in real wages (+0.0040, p = 0.009). The joint Wald test rejects the null of joint insignificance for the training technology block (χ² = 9.07, p = 0.028), unlike the specialist specification. This training wage premium is consistent with the literature</w:t>
      </w:r>
      <w:r w:rsidR="00502336">
        <w:t xml:space="preserve">: </w:t>
      </w:r>
      <w:r w:rsidRPr="00502336">
        <w:t xml:space="preserve"> Dearden, Reed, and Van Reenen find that a one percentage point increase in workforce training is associated with a 0.3% increase in hourly wages in British industries [</w:t>
      </w:r>
      <w:r w:rsidR="00502336">
        <w:t>42</w:t>
      </w:r>
      <w:r w:rsidRPr="00502336">
        <w:t>].</w:t>
      </w:r>
      <w:r>
        <w:t xml:space="preserve"> </w:t>
      </w:r>
      <w:r w:rsidRPr="009874D2">
        <w:t xml:space="preserve"> </w:t>
      </w:r>
      <w:r>
        <w:t>T</w:t>
      </w:r>
      <w:r w:rsidRPr="009874D2">
        <w:t>he 0.4% estimate here falls within the same range. The AI coefficient (−0.0006, p = 0.703) and the interaction term (−7.28e-06, p = 0.783) are both insignificant in the two-way specification, because AI adoption followed a smooth upward trend over 2021–2024, making it highly collinear with the time fixed effects, which absorb the variance the AI variable captured in one-way specifications [</w:t>
      </w:r>
      <w:r w:rsidR="00C83436">
        <w:t>41</w:t>
      </w:r>
      <w:r w:rsidRPr="009874D2">
        <w:t xml:space="preserve">]. </w:t>
      </w:r>
    </w:p>
    <w:p w14:paraId="419B4CFD" w14:textId="57ABCF06" w:rsidR="003D32EE" w:rsidRDefault="003D32EE" w:rsidP="00125443">
      <w:pPr>
        <w:pStyle w:val="Thesisbody"/>
        <w:rPr>
          <w:lang w:val="en"/>
        </w:rPr>
      </w:pPr>
      <w:r w:rsidRPr="003D32EE">
        <w:rPr>
          <w:lang w:val="en"/>
        </w:rPr>
        <w:lastRenderedPageBreak/>
        <w:t xml:space="preserve">The contrast between the two ICT tracks can be interpreted through the lens of task-based and human capital theory. Hiring ICT specialists mainly changes the composition of the workforce, bringing in new employees whose entry wages may differ from the </w:t>
      </w:r>
      <w:r w:rsidR="0054124C">
        <w:rPr>
          <w:lang w:val="en"/>
        </w:rPr>
        <w:t xml:space="preserve">current salaries </w:t>
      </w:r>
      <w:r w:rsidRPr="003D32EE">
        <w:rPr>
          <w:lang w:val="en"/>
        </w:rPr>
        <w:t xml:space="preserve">average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w:t>
      </w:r>
      <w:r w:rsidR="00312EE7">
        <w:rPr>
          <w:lang w:val="en"/>
        </w:rPr>
        <w:t>current</w:t>
      </w:r>
      <w:r w:rsidRPr="003D32EE">
        <w:rPr>
          <w:lang w:val="en"/>
        </w:rPr>
        <w:t xml:space="preserve"> </w:t>
      </w:r>
      <w:r w:rsidR="009701F5">
        <w:rPr>
          <w:lang w:val="en"/>
        </w:rPr>
        <w:t>employees</w:t>
      </w:r>
      <w:r w:rsidRPr="003D32EE">
        <w:rPr>
          <w:lang w:val="en"/>
        </w:rPr>
        <w:t xml:space="preserve"> shift toward AI</w:t>
      </w:r>
      <w:r w:rsidRPr="003D32EE">
        <w:rPr>
          <w:lang w:val="en"/>
        </w:rPr>
        <w:noBreakHyphen/>
        <w:t>complementary, non</w:t>
      </w:r>
      <w:r w:rsidRPr="003D32EE">
        <w:rPr>
          <w:lang w:val="en"/>
        </w:rPr>
        <w:noBreakHyphen/>
        <w:t>automated tasks, which is the mechanism through which new technologies raise wages and the labour share</w:t>
      </w:r>
      <w:r>
        <w:rPr>
          <w:lang w:val="en"/>
        </w:rPr>
        <w:t xml:space="preserve"> [15, 18]</w:t>
      </w:r>
      <w:r w:rsidRPr="003D32EE">
        <w:rPr>
          <w:lang w:val="en"/>
        </w:rPr>
        <w:t xml:space="preserve">. </w:t>
      </w:r>
    </w:p>
    <w:p w14:paraId="251B43E4" w14:textId="60BD513E" w:rsidR="009A5FC4" w:rsidRPr="00EA04C9" w:rsidRDefault="009A5FC4" w:rsidP="00125443">
      <w:pPr>
        <w:pStyle w:val="Thesisbody"/>
      </w:pPr>
      <w:r w:rsidRPr="009A5FC4">
        <w:t xml:space="preserve">H1 </w:t>
      </w:r>
      <w:r w:rsidR="00922787">
        <w:t>states</w:t>
      </w:r>
      <w:r w:rsidRPr="009A5FC4">
        <w:t xml:space="preserve"> two within</w:t>
      </w:r>
      <w:r w:rsidRPr="009A5FC4">
        <w:noBreakHyphen/>
        <w:t>sector mechanisms: (</w:t>
      </w:r>
      <w:r w:rsidR="00922787">
        <w:t>a</w:t>
      </w:r>
      <w:r w:rsidRPr="009A5FC4">
        <w:t>) increases in AI adoption generate negative wage pressures (displacement effect), and (</w:t>
      </w:r>
      <w:r w:rsidR="00922787">
        <w:t>b</w:t>
      </w:r>
      <w:r w:rsidRPr="009A5FC4">
        <w:t xml:space="preserve">) this displacement is reduced in sectors with higher ICT training investment. </w:t>
      </w:r>
      <w:r w:rsidR="00DE683A">
        <w:t>Based on the described panel models results, i</w:t>
      </w:r>
      <w:r w:rsidRPr="009A5FC4">
        <w:t>n the two</w:t>
      </w:r>
      <w:r w:rsidRPr="009A5FC4">
        <w:noBreakHyphen/>
        <w:t>way Fixed Effects model with ICT specialists, a one</w:t>
      </w:r>
      <w:r w:rsidRPr="009A5FC4">
        <w:noBreakHyphen/>
        <w:t>percentage</w:t>
      </w:r>
      <w:r w:rsidRPr="009A5FC4">
        <w:noBreakHyphen/>
        <w:t>point rise in AI adoption is associated with a 0.3% decline in real wages (−0.0030, p = 0.035), which supports the first part of H1 and is consistent with a displacement interpretation. In the ICT</w:t>
      </w:r>
      <w:r w:rsidRPr="009A5FC4">
        <w:noBreakHyphen/>
        <w:t>training specification, however, the AI coefficient is small and insignificant, and in both specifications the interaction terms AI × ICT are insignificant, so there is no evidence that higher ICT training weakens the negative wage effect of AI within sectors. At the same time, ICT training itself has a positive and significant within</w:t>
      </w:r>
      <w:r w:rsidRPr="009A5FC4">
        <w:noBreakHyphen/>
        <w:t>sector effect on wages (+0.0040, p = 0.009), indicating that training operates as an independent wage</w:t>
      </w:r>
      <w:r w:rsidRPr="009A5FC4">
        <w:noBreakHyphen/>
        <w:t>enhancing channel rather than as a detected moderator of AI</w:t>
      </w:r>
      <w:r w:rsidRPr="009A5FC4">
        <w:noBreakHyphen/>
      </w:r>
      <w:r w:rsidR="002C4BE9">
        <w:t xml:space="preserve">caused </w:t>
      </w:r>
      <w:r w:rsidRPr="009A5FC4">
        <w:t>displacement. Taken together, these results mean that H1, as stated, is only partially supported: the data provide some evidence for within</w:t>
      </w:r>
      <w:r w:rsidRPr="009A5FC4">
        <w:noBreakHyphen/>
        <w:t>sector negative wage effects of AI adoption, but do not support the claim that this displacement is systematically reduced in sectors with higher ICT training. Formally, the full H1 cannot be accepted</w:t>
      </w:r>
      <w:r>
        <w:t xml:space="preserve">. </w:t>
      </w:r>
      <w:r w:rsidRPr="009A5FC4">
        <w:t xml:space="preserve"> </w:t>
      </w:r>
      <w:r>
        <w:t>W</w:t>
      </w:r>
      <w:r w:rsidRPr="009A5FC4">
        <w:t>e reject it in its strong form and retain only the first component as weakly supported by the FE estimates.</w:t>
      </w:r>
    </w:p>
    <w:p w14:paraId="16FD76BE" w14:textId="69145648" w:rsidR="00B64946" w:rsidRDefault="00877DCD" w:rsidP="007651EB">
      <w:pPr>
        <w:jc w:val="both"/>
        <w:rPr>
          <w:rFonts w:ascii="Times New Roman" w:hAnsi="Times New Roman" w:cs="Times New Roman"/>
          <w:sz w:val="24"/>
          <w:szCs w:val="24"/>
        </w:rPr>
      </w:pPr>
      <w:r w:rsidRPr="00877DCD">
        <w:rPr>
          <w:rFonts w:ascii="Times New Roman" w:hAnsi="Times New Roman" w:cs="Times New Roman"/>
          <w:sz w:val="24"/>
          <w:szCs w:val="24"/>
          <w:highlight w:val="yellow"/>
        </w:rPr>
        <w:t>CRE</w:t>
      </w:r>
    </w:p>
    <w:p w14:paraId="3342539B" w14:textId="56F36C88" w:rsidR="00BC5A2B" w:rsidRDefault="005B2E33" w:rsidP="00023AAF">
      <w:pPr>
        <w:pStyle w:val="Thesisbody"/>
      </w:pPr>
      <w:r w:rsidRPr="005B2E33">
        <w:t>To test the second hypothesis, Correlated Random Effects (Mundlak) models with year and sector fixed effects for both ICT specifications</w:t>
      </w:r>
      <w:r w:rsidR="00763807">
        <w:t xml:space="preserve"> are used</w:t>
      </w:r>
      <w:r w:rsidRPr="005B2E33">
        <w:t xml:space="preserve">. Before interpreting coefficients, the Mundlak–Hausman test is applied to assess whether the entity means of AI, ICT, and their interaction add explanatory power. The null of jointly zero means (H₀: entity means jointly equal to zero) is strongly rejected in both specifications (χ²(3) = 47.4, p &lt; 0.001 for ICT specialists; χ²(3) = 42.4, p &lt; 0.001 for ICT training), indicating that unobserved country–sector effects are correlated with the regressors and that a standard Random Effects model without </w:t>
      </w:r>
      <w:r w:rsidRPr="005B2E33">
        <w:lastRenderedPageBreak/>
        <w:t>Mundlak terms would be inconsistent. This justifies using the CRE + year FE specification as the main model for H2, with the θ coefficients on the entity means interpreted as structural between</w:t>
      </w:r>
      <w:r w:rsidRPr="005B2E33">
        <w:noBreakHyphen/>
        <w:t>sector effects. Country dummies are omitted because the country–sector means already absorb country-level structural variation and including both would induce perfect collinearity. All CRE models are estimated with entity</w:t>
      </w:r>
      <w:r w:rsidRPr="005B2E33">
        <w:noBreakHyphen/>
        <w:t>clustered standard errors and include year and sector fixed effects.</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14EA9" w:rsidRDefault="00800C1E" w:rsidP="007651EB">
            <w:pPr>
              <w:jc w:val="both"/>
              <w:rPr>
                <w:rFonts w:ascii="Times New Roman" w:hAnsi="Times New Roman" w:cs="Times New Roman"/>
                <w:sz w:val="20"/>
                <w:szCs w:val="20"/>
              </w:rPr>
            </w:pPr>
          </w:p>
        </w:tc>
        <w:tc>
          <w:tcPr>
            <w:tcW w:w="3020" w:type="dxa"/>
          </w:tcPr>
          <w:p w14:paraId="47282994" w14:textId="714E933D" w:rsidR="00800C1E" w:rsidRPr="007A61E1" w:rsidRDefault="00800C1E" w:rsidP="007651EB">
            <w:pPr>
              <w:jc w:val="both"/>
              <w:rPr>
                <w:rFonts w:ascii="Times New Roman" w:hAnsi="Times New Roman" w:cs="Times New Roman"/>
                <w:b/>
                <w:bCs/>
                <w:sz w:val="20"/>
                <w:szCs w:val="20"/>
              </w:rPr>
            </w:pPr>
            <w:commentRangeStart w:id="20"/>
            <w:r w:rsidRPr="007A61E1">
              <w:rPr>
                <w:rFonts w:ascii="Times New Roman" w:hAnsi="Times New Roman" w:cs="Times New Roman"/>
                <w:b/>
                <w:bCs/>
                <w:sz w:val="20"/>
                <w:szCs w:val="20"/>
              </w:rPr>
              <w:t xml:space="preserve">ICT Specialist </w:t>
            </w:r>
          </w:p>
        </w:tc>
        <w:tc>
          <w:tcPr>
            <w:tcW w:w="3020" w:type="dxa"/>
          </w:tcPr>
          <w:p w14:paraId="6ACFDE71" w14:textId="74046FD2" w:rsidR="00800C1E" w:rsidRPr="007A61E1" w:rsidRDefault="00800C1E" w:rsidP="007651EB">
            <w:pPr>
              <w:jc w:val="both"/>
              <w:rPr>
                <w:rFonts w:ascii="Times New Roman" w:hAnsi="Times New Roman" w:cs="Times New Roman"/>
                <w:b/>
                <w:bCs/>
                <w:sz w:val="20"/>
                <w:szCs w:val="20"/>
              </w:rPr>
            </w:pPr>
            <w:r w:rsidRPr="007A61E1">
              <w:rPr>
                <w:rFonts w:ascii="Times New Roman" w:hAnsi="Times New Roman" w:cs="Times New Roman"/>
                <w:b/>
                <w:bCs/>
                <w:sz w:val="20"/>
                <w:szCs w:val="20"/>
              </w:rPr>
              <w:t>ICT Training</w:t>
            </w:r>
            <w:commentRangeEnd w:id="20"/>
            <w:r w:rsidR="00607520" w:rsidRPr="007A61E1">
              <w:rPr>
                <w:rStyle w:val="CommentReference"/>
                <w:rFonts w:ascii="Times New Roman" w:hAnsi="Times New Roman" w:cs="Times New Roman"/>
                <w:b/>
                <w:bCs/>
                <w:sz w:val="20"/>
                <w:szCs w:val="20"/>
              </w:rPr>
              <w:commentReference w:id="20"/>
            </w:r>
          </w:p>
        </w:tc>
      </w:tr>
      <w:tr w:rsidR="00800C1E" w:rsidRPr="00F14EA9" w14:paraId="2DC2BF63" w14:textId="77777777" w:rsidTr="00800C1E">
        <w:tc>
          <w:tcPr>
            <w:tcW w:w="3020" w:type="dxa"/>
          </w:tcPr>
          <w:p w14:paraId="596C9450" w14:textId="5500793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                       </w:t>
            </w:r>
          </w:p>
        </w:tc>
        <w:tc>
          <w:tcPr>
            <w:tcW w:w="3020" w:type="dxa"/>
          </w:tcPr>
          <w:p w14:paraId="35829C2D" w14:textId="2445330F"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-0.00186       </w:t>
            </w:r>
          </w:p>
        </w:tc>
        <w:tc>
          <w:tcPr>
            <w:tcW w:w="3020" w:type="dxa"/>
          </w:tcPr>
          <w:p w14:paraId="6EAE3F64" w14:textId="21964BC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-0.00093       </w:t>
            </w:r>
          </w:p>
        </w:tc>
      </w:tr>
      <w:tr w:rsidR="00800C1E" w:rsidRPr="00F14EA9" w14:paraId="446C3BD6" w14:textId="77777777" w:rsidTr="00800C1E">
        <w:tc>
          <w:tcPr>
            <w:tcW w:w="3020" w:type="dxa"/>
          </w:tcPr>
          <w:p w14:paraId="23350DB6" w14:textId="64EE174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spec_ict                           </w:t>
            </w:r>
          </w:p>
        </w:tc>
        <w:tc>
          <w:tcPr>
            <w:tcW w:w="3020" w:type="dxa"/>
          </w:tcPr>
          <w:p w14:paraId="455BC34D" w14:textId="39FF9D1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0.00110        </w:t>
            </w:r>
          </w:p>
        </w:tc>
        <w:tc>
          <w:tcPr>
            <w:tcW w:w="3020" w:type="dxa"/>
          </w:tcPr>
          <w:p w14:paraId="6C60460C" w14:textId="654A7CE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0.00192       </w:t>
            </w:r>
          </w:p>
        </w:tc>
      </w:tr>
      <w:tr w:rsidR="00800C1E" w:rsidRPr="00F14EA9" w14:paraId="12EE5B89" w14:textId="77777777" w:rsidTr="00800C1E">
        <w:tc>
          <w:tcPr>
            <w:tcW w:w="3020" w:type="dxa"/>
          </w:tcPr>
          <w:p w14:paraId="074055CA" w14:textId="60A8609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ai_x_spec_ict                      </w:t>
            </w:r>
          </w:p>
        </w:tc>
        <w:tc>
          <w:tcPr>
            <w:tcW w:w="3020" w:type="dxa"/>
          </w:tcPr>
          <w:p w14:paraId="4A27E014" w14:textId="05D0D8E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0.00002        </w:t>
            </w:r>
          </w:p>
        </w:tc>
        <w:tc>
          <w:tcPr>
            <w:tcW w:w="3020" w:type="dxa"/>
          </w:tcPr>
          <w:p w14:paraId="76CC33DB" w14:textId="295C002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0.00001        </w:t>
            </w:r>
          </w:p>
        </w:tc>
      </w:tr>
      <w:tr w:rsidR="00800C1E" w:rsidRPr="00F14EA9" w14:paraId="31C05B8D" w14:textId="77777777" w:rsidTr="00800C1E">
        <w:tc>
          <w:tcPr>
            <w:tcW w:w="3020" w:type="dxa"/>
          </w:tcPr>
          <w:p w14:paraId="5D3A5DBA" w14:textId="11263E9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Mundlak means</w:t>
            </w:r>
            <w:r w:rsidR="00B43065">
              <w:rPr>
                <w:rFonts w:ascii="Times New Roman" w:eastAsia="Times New Roman" w:hAnsi="Times New Roman" w:cs="Times New Roman"/>
                <w:kern w:val="0"/>
                <w:sz w:val="20"/>
                <w:szCs w:val="20"/>
                <w:lang w:eastAsia="en-GB"/>
                <w14:ligatures w14:val="none"/>
              </w:rPr>
              <w:t xml:space="preserve"> (between)</w:t>
            </w:r>
          </w:p>
        </w:tc>
        <w:tc>
          <w:tcPr>
            <w:tcW w:w="3020" w:type="dxa"/>
          </w:tcPr>
          <w:p w14:paraId="232A82F0" w14:textId="77777777" w:rsidR="00800C1E" w:rsidRPr="00F14EA9" w:rsidRDefault="00800C1E" w:rsidP="007651EB">
            <w:pPr>
              <w:jc w:val="both"/>
              <w:rPr>
                <w:rFonts w:ascii="Times New Roman" w:hAnsi="Times New Roman" w:cs="Times New Roman"/>
                <w:sz w:val="20"/>
                <w:szCs w:val="20"/>
              </w:rPr>
            </w:pPr>
          </w:p>
        </w:tc>
        <w:tc>
          <w:tcPr>
            <w:tcW w:w="3020" w:type="dxa"/>
          </w:tcPr>
          <w:p w14:paraId="30EDE6EA" w14:textId="77777777" w:rsidR="00800C1E" w:rsidRPr="00F14EA9" w:rsidRDefault="00800C1E" w:rsidP="007651EB">
            <w:pPr>
              <w:jc w:val="both"/>
              <w:rPr>
                <w:rFonts w:ascii="Times New Roman" w:hAnsi="Times New Roman" w:cs="Times New Roman"/>
                <w:sz w:val="20"/>
                <w:szCs w:val="20"/>
              </w:rPr>
            </w:pPr>
          </w:p>
        </w:tc>
      </w:tr>
      <w:tr w:rsidR="00800C1E" w:rsidRPr="00F14EA9" w14:paraId="6F0D55A7" w14:textId="77777777" w:rsidTr="00800C1E">
        <w:tc>
          <w:tcPr>
            <w:tcW w:w="3020" w:type="dxa"/>
          </w:tcPr>
          <w:p w14:paraId="3B850112" w14:textId="6A88717B"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ai_adoption_mean                   </w:t>
            </w:r>
          </w:p>
        </w:tc>
        <w:tc>
          <w:tcPr>
            <w:tcW w:w="3020" w:type="dxa"/>
          </w:tcPr>
          <w:p w14:paraId="7886E900" w14:textId="01C725C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0.06418***     </w:t>
            </w:r>
          </w:p>
        </w:tc>
        <w:tc>
          <w:tcPr>
            <w:tcW w:w="3020" w:type="dxa"/>
          </w:tcPr>
          <w:p w14:paraId="6AA5A08E" w14:textId="77B10F6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0.05944***     </w:t>
            </w:r>
          </w:p>
        </w:tc>
      </w:tr>
      <w:tr w:rsidR="00800C1E" w:rsidRPr="00F14EA9" w14:paraId="5EE23A41" w14:textId="77777777" w:rsidTr="00800C1E">
        <w:tc>
          <w:tcPr>
            <w:tcW w:w="3020" w:type="dxa"/>
          </w:tcPr>
          <w:p w14:paraId="158CA80A" w14:textId="43D87242"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spec_ict_mean                     </w:t>
            </w:r>
          </w:p>
        </w:tc>
        <w:tc>
          <w:tcPr>
            <w:tcW w:w="3020" w:type="dxa"/>
          </w:tcPr>
          <w:p w14:paraId="5017472C" w14:textId="1022F27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-0.00309       </w:t>
            </w:r>
          </w:p>
        </w:tc>
        <w:tc>
          <w:tcPr>
            <w:tcW w:w="3020" w:type="dxa"/>
          </w:tcPr>
          <w:p w14:paraId="28123E06" w14:textId="33449D4C" w:rsidR="00800C1E" w:rsidRPr="00F14EA9" w:rsidRDefault="00800C1E" w:rsidP="007651EB">
            <w:pPr>
              <w:jc w:val="both"/>
              <w:rPr>
                <w:rFonts w:ascii="Times New Roman" w:hAnsi="Times New Roman" w:cs="Times New Roman"/>
                <w:sz w:val="20"/>
                <w:szCs w:val="20"/>
              </w:rPr>
            </w:pPr>
          </w:p>
        </w:tc>
      </w:tr>
      <w:tr w:rsidR="00800C1E" w:rsidRPr="00F14EA9" w14:paraId="4BB766D9" w14:textId="77777777" w:rsidTr="00800C1E">
        <w:tc>
          <w:tcPr>
            <w:tcW w:w="3020" w:type="dxa"/>
          </w:tcPr>
          <w:p w14:paraId="27E1B3CB" w14:textId="39361829"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ai_x_spec_ict_mean                </w:t>
            </w:r>
          </w:p>
        </w:tc>
        <w:tc>
          <w:tcPr>
            <w:tcW w:w="3020" w:type="dxa"/>
          </w:tcPr>
          <w:p w14:paraId="18BB46F8" w14:textId="5B703FE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-0.00046***    </w:t>
            </w:r>
          </w:p>
        </w:tc>
        <w:tc>
          <w:tcPr>
            <w:tcW w:w="3020" w:type="dxa"/>
          </w:tcPr>
          <w:p w14:paraId="639E51DD" w14:textId="6A534313" w:rsidR="00800C1E" w:rsidRPr="00F14EA9" w:rsidRDefault="00800C1E" w:rsidP="007651EB">
            <w:pPr>
              <w:jc w:val="both"/>
              <w:rPr>
                <w:rFonts w:ascii="Times New Roman" w:hAnsi="Times New Roman" w:cs="Times New Roman"/>
                <w:sz w:val="20"/>
                <w:szCs w:val="20"/>
              </w:rPr>
            </w:pPr>
          </w:p>
        </w:tc>
      </w:tr>
      <w:tr w:rsidR="00800C1E" w:rsidRPr="00F14EA9" w14:paraId="4E424EB3" w14:textId="77777777" w:rsidTr="00800C1E">
        <w:tc>
          <w:tcPr>
            <w:tcW w:w="3020" w:type="dxa"/>
          </w:tcPr>
          <w:p w14:paraId="17E8E039" w14:textId="00DEB3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training_ict_mean                  </w:t>
            </w:r>
          </w:p>
        </w:tc>
        <w:tc>
          <w:tcPr>
            <w:tcW w:w="3020" w:type="dxa"/>
          </w:tcPr>
          <w:p w14:paraId="5BEE9F9B"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6C6DE049" w14:textId="352A11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0.00563        </w:t>
            </w:r>
          </w:p>
        </w:tc>
      </w:tr>
      <w:tr w:rsidR="00800C1E" w:rsidRPr="00F14EA9" w14:paraId="4B9BEDD8" w14:textId="77777777" w:rsidTr="00800C1E">
        <w:tc>
          <w:tcPr>
            <w:tcW w:w="3020" w:type="dxa"/>
          </w:tcPr>
          <w:p w14:paraId="60D1FE5E" w14:textId="0E1B7EEE"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ai_x_training_ict_mean            </w:t>
            </w:r>
          </w:p>
        </w:tc>
        <w:tc>
          <w:tcPr>
            <w:tcW w:w="3020" w:type="dxa"/>
          </w:tcPr>
          <w:p w14:paraId="73185814"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07F7E1BE" w14:textId="29EBB3BB"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-0.00050***    </w:t>
            </w:r>
          </w:p>
        </w:tc>
      </w:tr>
      <w:tr w:rsidR="00800C1E" w:rsidRPr="00F14EA9" w14:paraId="07311750" w14:textId="77777777" w:rsidTr="00800C1E">
        <w:tc>
          <w:tcPr>
            <w:tcW w:w="3020" w:type="dxa"/>
          </w:tcPr>
          <w:p w14:paraId="55F16B52" w14:textId="05C67903"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log_prod                           </w:t>
            </w:r>
          </w:p>
        </w:tc>
        <w:tc>
          <w:tcPr>
            <w:tcW w:w="3020" w:type="dxa"/>
          </w:tcPr>
          <w:p w14:paraId="29AF167C" w14:textId="39403615"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0.57011***     </w:t>
            </w:r>
          </w:p>
        </w:tc>
        <w:tc>
          <w:tcPr>
            <w:tcW w:w="3020" w:type="dxa"/>
          </w:tcPr>
          <w:p w14:paraId="3CFE69E4" w14:textId="20FC112F"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0.54386***     </w:t>
            </w:r>
          </w:p>
        </w:tc>
      </w:tr>
      <w:tr w:rsidR="00800C1E" w:rsidRPr="00F14EA9" w14:paraId="022D0E68" w14:textId="77777777" w:rsidTr="00800C1E">
        <w:tc>
          <w:tcPr>
            <w:tcW w:w="3020" w:type="dxa"/>
          </w:tcPr>
          <w:p w14:paraId="0158167B" w14:textId="126B4D0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FSI  </w:t>
            </w:r>
          </w:p>
        </w:tc>
        <w:tc>
          <w:tcPr>
            <w:tcW w:w="3020" w:type="dxa"/>
          </w:tcPr>
          <w:p w14:paraId="2B632BED" w14:textId="658A2B33"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0.00680***     </w:t>
            </w:r>
          </w:p>
        </w:tc>
        <w:tc>
          <w:tcPr>
            <w:tcW w:w="3020" w:type="dxa"/>
          </w:tcPr>
          <w:p w14:paraId="1698E244" w14:textId="512DCDFA"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0.00775***     </w:t>
            </w:r>
          </w:p>
        </w:tc>
      </w:tr>
    </w:tbl>
    <w:p w14:paraId="1CE19197" w14:textId="7EC86A57" w:rsidR="00F46FB2"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p&lt;0.1  ** p&lt;0.05  *** p&lt;0.01</w:t>
      </w:r>
    </w:p>
    <w:p w14:paraId="1BC53213" w14:textId="32D2C798" w:rsidR="00F46FB2" w:rsidRPr="007A61E1"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Clustered SE at entity (geo×nace_r2) level throughout</w:t>
      </w:r>
    </w:p>
    <w:p w14:paraId="4F5324A2" w14:textId="36335528" w:rsidR="00F46FB2" w:rsidRDefault="008B6C77" w:rsidP="0094533E">
      <w:pPr>
        <w:pStyle w:val="Thesisbody"/>
      </w:pPr>
      <w:r w:rsidRPr="008B6C77">
        <w:rPr>
          <w:b/>
          <w:bCs/>
          <w:highlight w:val="yellow"/>
        </w:rPr>
        <w:t>Table 1 shows that</w:t>
      </w:r>
      <w:r>
        <w:rPr>
          <w:b/>
          <w:bCs/>
        </w:rPr>
        <w:t xml:space="preserve"> </w:t>
      </w:r>
      <w:r>
        <w:t>a</w:t>
      </w:r>
      <w:r w:rsidR="00F46FB2" w:rsidRPr="00F46FB2">
        <w:t xml:space="preserve">cross both the ICT specialist and ICT training specifications, all within-entity </w:t>
      </w:r>
      <w:r w:rsidR="007A61E1" w:rsidRPr="00F46FB2">
        <w:t xml:space="preserve">β </w:t>
      </w:r>
      <w:r w:rsidR="00F46FB2" w:rsidRPr="00F46FB2">
        <w:t>coefficients</w:t>
      </w:r>
      <w:r w:rsidR="007A61E1">
        <w:t xml:space="preserve"> </w:t>
      </w:r>
      <w:r w:rsidR="00F46FB2" w:rsidRPr="00F46FB2">
        <w:t xml:space="preserve">on AI adoption, ICT variables, and their interactions are statistically insignificant. This is consistent with the two-way FE results reported </w:t>
      </w:r>
      <w:r w:rsidR="00157A5E">
        <w:t>for the H1</w:t>
      </w:r>
      <w:r w:rsidR="00F46FB2" w:rsidRPr="00F46FB2">
        <w:t xml:space="preserve">: short-run within-sector changes in AI and ICT do not robustly explain wage movements over the 2021–2024 </w:t>
      </w:r>
      <w:r w:rsidR="006F6C4D">
        <w:t>period</w:t>
      </w:r>
      <w:r w:rsidR="00F46FB2" w:rsidRPr="00F46FB2">
        <w:t>, once common time shocks and entity heterogeneity are removed.</w:t>
      </w:r>
    </w:p>
    <w:p w14:paraId="105B1351" w14:textId="3BF54F45" w:rsidR="00091CB5" w:rsidRPr="00F46FB2" w:rsidRDefault="00091CB5" w:rsidP="0094533E">
      <w:pPr>
        <w:pStyle w:val="Thesisbody"/>
      </w:pPr>
      <w:r w:rsidRPr="00091CB5">
        <w:t>The between</w:t>
      </w:r>
      <w:r w:rsidRPr="00091CB5">
        <w:noBreakHyphen/>
        <w:t>entity coefficient on AI adoption mean is positive and highly significant in both specifications: 0.064 (SE = 0.011, p &lt; 0.001) in the ICT specialist model and 0.059 (SE = 0.012, p &lt; 0.001) in the ICT training model. In the log</w:t>
      </w:r>
      <w:r w:rsidRPr="00091CB5">
        <w:noBreakHyphen/>
        <w:t>level specification, this implies that country–sector entities with structurally higher AI adoption over 2021–2024 have higher wages on average: a 10</w:t>
      </w:r>
      <w:r w:rsidRPr="00091CB5">
        <w:noBreakHyphen/>
        <w:t>percentage</w:t>
      </w:r>
      <w:r w:rsidRPr="00091CB5">
        <w:noBreakHyphen/>
        <w:t>point increase in average AI adoption is associated with roughly a 0.6–0.7% increase in wages, conditional on productivity, firm size, sector and year effects. The structural ICT capacity variables (spec_ict_mean and training_ict_mean) are not independently significant in the baseline CRE models, indicating that the between</w:t>
      </w:r>
      <w:r w:rsidRPr="00091CB5">
        <w:noBreakHyphen/>
        <w:t xml:space="preserve">sector wage hierarchy is more closely aligned with AI intensity than with ICT capacity taken in isolation. </w:t>
      </w:r>
      <w:r w:rsidR="007D31FE" w:rsidRPr="007D31FE">
        <w:t>The between</w:t>
      </w:r>
      <w:r w:rsidR="007D31FE" w:rsidRPr="007D31FE">
        <w:noBreakHyphen/>
        <w:t xml:space="preserve">entity interaction term is negative and highly significant in both specifications: −0.00046 (SE = 0.00012, p = 0.0002) for ICT specialists and −0.00050 (SE = 0.00014, p = 0.0002) for ICT training, implying that the structural AI wage premium is largest in sectors with low or moderate ICT capacity and decreases monotonically as ICT intensity rises. In digitally </w:t>
      </w:r>
      <w:r w:rsidR="007D31FE" w:rsidRPr="007D31FE">
        <w:lastRenderedPageBreak/>
        <w:t>mature sectors, where ICT specialisation or training intensity is already high, the additional structural wage advantage of being a high</w:t>
      </w:r>
      <w:r w:rsidR="007D31FE" w:rsidRPr="007D31FE">
        <w:noBreakHyphen/>
        <w:t xml:space="preserve">AI sector is substantially compressed toward zero. </w:t>
      </w:r>
    </w:p>
    <w:p w14:paraId="7950F935" w14:textId="4153CCF3" w:rsidR="00F46FB2" w:rsidRDefault="00F46FB2" w:rsidP="0094533E">
      <w:pPr>
        <w:pStyle w:val="Thesisbody"/>
      </w:pPr>
      <w:r w:rsidRPr="00F46FB2">
        <w:t>The key between-effects are robust to the choice of time controls. When year dummies are replaced by macro-level controls (unemployment rate, inflation rate), the between AI coefficient rises slightly to 0.074 (ICT specialist) and 0.071 (ICT training), and the between interaction term becomes more negative (−0.00054 and −0.00065, respectively), both remaining highly significant. This confirms that the structural AI wage premium and its moderation by ICT capacity are not artefacts of how common time variation is controlled. Labour productivity is consistently positive and significant across all specifications (+0.54–0.57, p &lt; 0.001), and firm size index (FSI) carries a small but significant positive effect (+0.007, p &lt; 0.01), both expected on standard economic grounds.</w:t>
      </w:r>
    </w:p>
    <w:p w14:paraId="6B0E121F" w14:textId="319B970E" w:rsidR="00E10B09" w:rsidRPr="004733DD" w:rsidRDefault="006A00F0" w:rsidP="0094533E">
      <w:pPr>
        <w:pStyle w:val="Thesisbody"/>
      </w:pPr>
      <w:r w:rsidRPr="006A00F0">
        <w:t xml:space="preserve">The CRE (Mundlak) models provide support for both components of H2. </w:t>
      </w:r>
      <w:r w:rsidR="00070972" w:rsidRPr="00070972">
        <w:t xml:space="preserve">Second hypothesis predicted that sectors structurally more advanced in AI adoption pay higher wages on average, reflecting a reinstatement premium, and that this structural premium diminishes at higher levels of sectoral ICT capacity, consistent with diminishing complementarity. </w:t>
      </w:r>
      <w:r w:rsidR="0068586B" w:rsidRPr="0068586B">
        <w:t>The second component of H2</w:t>
      </w:r>
      <w:r w:rsidR="00FF2169">
        <w:t>,</w:t>
      </w:r>
      <w:r w:rsidR="0068586B" w:rsidRPr="0068586B">
        <w:t xml:space="preserve"> that the AI–wage relationship is moderated by ICT capacity</w:t>
      </w:r>
      <w:r w:rsidR="00FF2169">
        <w:t>,</w:t>
      </w:r>
      <w:r w:rsidR="0068586B" w:rsidRPr="0068586B">
        <w:t xml:space="preserve"> is confirmed in both the CRE and the yearly cross</w:t>
      </w:r>
      <w:r w:rsidR="0068586B" w:rsidRPr="0068586B">
        <w:noBreakHyphen/>
        <w:t>sectional models. In the cross</w:t>
      </w:r>
      <w:r w:rsidR="0068586B" w:rsidRPr="0068586B">
        <w:noBreakHyphen/>
        <w:t xml:space="preserve">sectional specifications, the interaction term AI × ICT is consistently negative and significant, and the marginal effects of AI adoption decline monotonically across the ICT distribution. This result is fully aligned with the CRE between interaction. </w:t>
      </w:r>
    </w:p>
    <w:p w14:paraId="480654EE" w14:textId="1C5A3086" w:rsidR="00B5416C" w:rsidRDefault="00D37EE9" w:rsidP="0094533E">
      <w:pPr>
        <w:pStyle w:val="Thesisbody"/>
      </w:pPr>
      <w:r w:rsidRPr="00D37EE9">
        <w:t>The first component of H2, however, yields mixed evidence across model families. The CRE model shows a positive association between average AI adoption and wages at the structural between</w:t>
      </w:r>
      <w:r w:rsidRPr="00D37EE9">
        <w:noBreakHyphen/>
        <w:t>sector level, while the yearly cross</w:t>
      </w:r>
      <w:r w:rsidRPr="00D37EE9">
        <w:noBreakHyphen/>
        <w:t xml:space="preserve">sectional additive models produce a negative AI coefficient within each year conditional on country, sector, and ICT controls. These opposite signs are not contradictory </w:t>
      </w:r>
      <w:r w:rsidR="00897217">
        <w:t xml:space="preserve">since </w:t>
      </w:r>
      <w:r w:rsidRPr="00D37EE9">
        <w:t>they reflect the fact that the two models answer different questions. The CRE between coefficient describes which country–sector entities occupy a structurally higher position in the wage hierarchy on average across 2021–2024, identifying a long</w:t>
      </w:r>
      <w:r w:rsidRPr="00D37EE9">
        <w:noBreakHyphen/>
        <w:t>run level comparison across entities. The yearly cross</w:t>
      </w:r>
      <w:r w:rsidRPr="00D37EE9">
        <w:noBreakHyphen/>
        <w:t>sectional coefficient, by contrast, describes whether, within a given year and holding country, sector, and ICT fixed, a sector that adopted more AI than another in that year pays more or less</w:t>
      </w:r>
      <w:r w:rsidR="00897217">
        <w:t>. It indicates</w:t>
      </w:r>
      <w:r w:rsidRPr="00D37EE9">
        <w:t xml:space="preserve"> a short</w:t>
      </w:r>
      <w:r w:rsidRPr="00D37EE9">
        <w:noBreakHyphen/>
        <w:t>run conditional slope within a single year. This tension between cross</w:t>
      </w:r>
      <w:r w:rsidRPr="00D37EE9">
        <w:noBreakHyphen/>
        <w:t>sectional level effects and within</w:t>
      </w:r>
      <w:r w:rsidRPr="00D37EE9">
        <w:noBreakHyphen/>
        <w:t xml:space="preserve">period marginal effects is well established in panel labour econometrics, where between </w:t>
      </w:r>
      <w:r w:rsidRPr="00D37EE9">
        <w:lastRenderedPageBreak/>
        <w:t xml:space="preserve">and within estimators are understood to capture different quantities and can legitimately produce divergent </w:t>
      </w:r>
      <w:r w:rsidRPr="005E63FC">
        <w:t>coefficients [</w:t>
      </w:r>
      <w:r w:rsidR="005E63FC" w:rsidRPr="005E63FC">
        <w:t>26, 43</w:t>
      </w:r>
      <w:r w:rsidRPr="005E63FC">
        <w:t>]. Both</w:t>
      </w:r>
      <w:r w:rsidRPr="00D37EE9">
        <w:t xml:space="preserve"> patterns </w:t>
      </w:r>
      <w:r w:rsidRPr="00E57321">
        <w:t>are consistent with the Acemoglu and Restrepo framework</w:t>
      </w:r>
      <w:r w:rsidRPr="00D37EE9">
        <w:t>: sectors that have been AI</w:t>
      </w:r>
      <w:r w:rsidRPr="00D37EE9">
        <w:noBreakHyphen/>
        <w:t xml:space="preserve">intensive for longer tend to have accumulated more reinstatement gains and therefore sit at a higher structural wage level (positive between), while within a single year the marginal effect of additional AI </w:t>
      </w:r>
      <w:r w:rsidRPr="0026461C">
        <w:t>adoption is still dominated by labour displacement, pushing wages down (negative cross</w:t>
      </w:r>
      <w:r w:rsidRPr="0026461C">
        <w:noBreakHyphen/>
        <w:t>sectional slope) [</w:t>
      </w:r>
      <w:r w:rsidR="0026461C" w:rsidRPr="0026461C">
        <w:t>3</w:t>
      </w:r>
      <w:r w:rsidRPr="0026461C">
        <w:t>]. Formally</w:t>
      </w:r>
      <w:r w:rsidRPr="00D37EE9">
        <w:t>, H2 is partially supported: its second component</w:t>
      </w:r>
      <w:r w:rsidR="00452A39">
        <w:t>,</w:t>
      </w:r>
      <w:r w:rsidRPr="00D37EE9">
        <w:t xml:space="preserve"> </w:t>
      </w:r>
      <w:r w:rsidR="00452A39">
        <w:t>about</w:t>
      </w:r>
      <w:r w:rsidRPr="00D37EE9">
        <w:t xml:space="preserve"> moderating role of ICT capacity</w:t>
      </w:r>
      <w:r w:rsidR="00452A39">
        <w:t xml:space="preserve">, </w:t>
      </w:r>
      <w:r w:rsidRPr="00D37EE9">
        <w:t xml:space="preserve">holds robustly across all specifications, while its first component </w:t>
      </w:r>
      <w:r w:rsidR="00452A39">
        <w:t xml:space="preserve">related to </w:t>
      </w:r>
      <w:r w:rsidRPr="00D37EE9">
        <w:t>the positive structural AI wage premium holds in the long</w:t>
      </w:r>
      <w:r w:rsidRPr="00D37EE9">
        <w:noBreakHyphen/>
        <w:t>run structural perspective identified by the CRE estimator</w:t>
      </w:r>
      <w:r w:rsidR="00E10B09">
        <w:t>,</w:t>
      </w:r>
      <w:r w:rsidRPr="00D37EE9">
        <w:t xml:space="preserve"> but not in the yearly cross</w:t>
      </w:r>
      <w:r w:rsidRPr="00D37EE9">
        <w:noBreakHyphen/>
        <w:t>sectional models, making it model</w:t>
      </w:r>
      <w:r w:rsidRPr="00D37EE9">
        <w:noBreakHyphen/>
        <w:t>dependent.</w:t>
      </w:r>
    </w:p>
    <w:p w14:paraId="69D8E4EA" w14:textId="6C9504F4" w:rsidR="00FB66FB" w:rsidRDefault="00FB66FB" w:rsidP="0094533E">
      <w:pPr>
        <w:pStyle w:val="Thesisbody"/>
      </w:pPr>
      <w:r w:rsidRPr="00FB66FB">
        <w:t>The empirical analysis yields a differentiated picture that is consistent across all three model families when the between- and within-sector dimensions are kept analytically distinct. The within-sector evidence (two-way FE) provides weak support for the displacement component of H1: a one-percentage-point increase in AI adoption is associated with a 0.3% decline in real wages in the ICT-specialists specification, while ICT training itself operates as an independent positive wage channel rather than as a moderator of AI-driven displacement, leaving the full H1 unconfirmed in its strong form. The between-sector structural evidence (CRE and cross-sectional OLS) robustly confirms the moderating role of ICT capacity proposed in H2: the marginal wage effect of AI adoption declines monotonically as sectoral ICT intensity rises, and the interaction term AI × ICT is consistently negative and significant across all yearly specifications and in the CRE between-estimator. The sign of the unconditional AI–wage association, however, is model-dependent: the CRE between-estimator yields a positive structural premium consistent with long-run reinstatement, while the yearly cross-sectional slope is negative within each period, reflecting the dominance of short-run displacement effects. This pattern aligns with the Acemoglu and Restrepo framework and is not a contradiction</w:t>
      </w:r>
      <w:r w:rsidR="00AB1C3D">
        <w:t xml:space="preserve"> [3]</w:t>
      </w:r>
      <w:r w:rsidRPr="00FB66FB">
        <w:t>: it implies that the reinstatement premium accumulates over longer horizons than a four-year panel can fully capture, and that ICT capacity is the key conditioning variable that determines on which side of the displacement–reinstatement boundary a sector sits.</w:t>
      </w:r>
    </w:p>
    <w:p w14:paraId="55FC5632" w14:textId="697E62E5" w:rsidR="00FC79F0" w:rsidRPr="00807552" w:rsidRDefault="00FC79F0" w:rsidP="00807552">
      <w:pPr>
        <w:pStyle w:val="Heading1"/>
      </w:pPr>
      <w:bookmarkStart w:id="21" w:name="_Toc229943330"/>
      <w:r w:rsidRPr="00807552">
        <w:t>Conclusion</w:t>
      </w:r>
      <w:bookmarkEnd w:id="21"/>
    </w:p>
    <w:p w14:paraId="7940E8DA" w14:textId="5626CDA0" w:rsidR="00807552" w:rsidRPr="00807552" w:rsidRDefault="00807552" w:rsidP="00807552">
      <w:pPr>
        <w:pStyle w:val="Heading2"/>
      </w:pPr>
      <w:bookmarkStart w:id="22" w:name="_Toc229943331"/>
      <w:r w:rsidRPr="00807552">
        <w:t>Limitations and future enhancements</w:t>
      </w:r>
      <w:bookmarkEnd w:id="22"/>
      <w:r w:rsidRPr="00807552">
        <w:t xml:space="preserve"> </w:t>
      </w:r>
    </w:p>
    <w:p w14:paraId="10F1947D" w14:textId="00CB0DCC" w:rsidR="00807552" w:rsidRPr="00807552" w:rsidRDefault="00807552" w:rsidP="00B34642">
      <w:pPr>
        <w:pStyle w:val="Thesisbody"/>
      </w:pPr>
      <w:r w:rsidRPr="00807552">
        <w:t xml:space="preserve">The empirical analysis rests on a short four-year panel (2021–2024), which limits the within-entity identification of dynamic wage effects and prevents the detection of long-run </w:t>
      </w:r>
      <w:r w:rsidRPr="00807552">
        <w:lastRenderedPageBreak/>
        <w:t>reinstatement gains that theory suggests accumulate over decades rather than years. The unbalanced structure further reduces the effective sample, particularly in the Accommodation &amp; Food and Administrative &amp; Support sectors, and the non-random concentration of missing observations in less digitally advanced economies implies that the observed sample may slightly oversample frontier AI adopters, introducing a degree of selection that cannot be fully corrected without additional data. The Eurostat AI adoption variable also carries a measurement caveat. As AI use spread rapidly after 2022, the survey indicator began capturing a much wider range of tools under the same label</w:t>
      </w:r>
      <w:r>
        <w:t xml:space="preserve">: </w:t>
      </w:r>
      <w:r w:rsidRPr="00807552">
        <w:t xml:space="preserve">from sophisticated generative AI systems to simple automated reporting software. This means that a firm </w:t>
      </w:r>
      <w:r>
        <w:t xml:space="preserve">selected AI adoption </w:t>
      </w:r>
      <w:r w:rsidRPr="00807552">
        <w:t xml:space="preserve">in 2024 may be doing something very different from a firm that </w:t>
      </w:r>
      <w:r>
        <w:t>selected AI adoption</w:t>
      </w:r>
      <w:r w:rsidRPr="00807552">
        <w:t xml:space="preserve"> in 2021, making the two figures not fully comparable. </w:t>
      </w:r>
      <w:r w:rsidR="004203E2" w:rsidRPr="004203E2">
        <w:t>As a result, the decline in the estimated wage effect of AI adoption by 2024 may partly reflect this widening of the variable's definition rather than a true economic change. For this reason, the 2024 estimates should be interpreted with caution.</w:t>
      </w:r>
    </w:p>
    <w:p w14:paraId="37431915" w14:textId="39D7F34F" w:rsidR="00807552" w:rsidRPr="00541A3A" w:rsidRDefault="00F907EA" w:rsidP="00B34642">
      <w:pPr>
        <w:pStyle w:val="Thesisbody"/>
      </w:pPr>
      <w:r w:rsidRPr="00541A3A">
        <w:t>The Ramsey RESET test rejects the null of correct functional form across all wage-level specifications, indicating that the true AI–wage relationship likely involves non-linearities that the current linear interaction model cannot fully capture</w:t>
      </w:r>
      <w:r w:rsidRPr="00541A3A">
        <w:t>.</w:t>
      </w:r>
      <w:r w:rsidRPr="00541A3A">
        <w:t xml:space="preserve"> </w:t>
      </w:r>
      <w:r w:rsidRPr="00541A3A">
        <w:t>C</w:t>
      </w:r>
      <w:r w:rsidRPr="00541A3A">
        <w:t>oefficient estimates remain consistent but may understate the curv</w:t>
      </w:r>
      <w:r w:rsidRPr="00541A3A">
        <w:t>e</w:t>
      </w:r>
      <w:r w:rsidRPr="00541A3A">
        <w:t xml:space="preserve"> of the moderating relationship at extreme ICT values. In interaction specifications, variance inflation factors for AI adoption reach 39–82, a level that does not bias point estimates but substantially inflates standard errors for the individual constitutive terms</w:t>
      </w:r>
      <w:r w:rsidR="009939A1" w:rsidRPr="00541A3A">
        <w:t>.</w:t>
      </w:r>
      <w:r w:rsidRPr="00541A3A">
        <w:t xml:space="preserve"> </w:t>
      </w:r>
      <w:r w:rsidR="009939A1" w:rsidRPr="00541A3A">
        <w:t>I</w:t>
      </w:r>
      <w:r w:rsidRPr="00541A3A">
        <w:t>nference is therefore conducted on marginal effects evaluated at meaningful ICT values following Brambor, Clark, and Golder, rather than on main-term significance in isolation</w:t>
      </w:r>
      <w:r w:rsidR="003F64E5" w:rsidRPr="00541A3A">
        <w:t xml:space="preserve"> [</w:t>
      </w:r>
      <w:r w:rsidR="006864D7">
        <w:t>35</w:t>
      </w:r>
      <w:r w:rsidR="003F64E5" w:rsidRPr="00541A3A">
        <w:t>]</w:t>
      </w:r>
      <w:r w:rsidRPr="00541A3A">
        <w:t>. Heteroskedasticity is present across specifications as expected given the structural differences in wage levels and adoption rates across sectors and countries</w:t>
      </w:r>
      <w:r w:rsidR="009939A1" w:rsidRPr="00541A3A">
        <w:t>.</w:t>
      </w:r>
      <w:r w:rsidRPr="00541A3A">
        <w:t xml:space="preserve"> </w:t>
      </w:r>
      <w:r w:rsidR="009939A1" w:rsidRPr="00541A3A">
        <w:t>I</w:t>
      </w:r>
      <w:r w:rsidRPr="00541A3A">
        <w:t>t is addressed throughout by country-clustered robust standard errors, which simultaneously provide valid inference under heteroskedasticity and limit the influence of high-leverage country–sector cells.</w:t>
      </w:r>
    </w:p>
    <w:p w14:paraId="72530790" w14:textId="3C9E02E2" w:rsidR="00F907EA" w:rsidRPr="00541A3A" w:rsidRDefault="00F907EA" w:rsidP="00B34642">
      <w:pPr>
        <w:pStyle w:val="Thesisbody"/>
      </w:pPr>
      <w:r w:rsidRPr="00541A3A">
        <w:t xml:space="preserve">The framework operates at the sector–country level and does not observe the underlying task composition of employment within sectors. The Acemoglu and Restrepo model </w:t>
      </w:r>
      <w:r w:rsidR="008C5FFF" w:rsidRPr="00541A3A">
        <w:t xml:space="preserve">is a </w:t>
      </w:r>
      <w:r w:rsidR="008C5FFF" w:rsidRPr="00541A3A">
        <w:t xml:space="preserve">task-based </w:t>
      </w:r>
      <w:r w:rsidR="008C5FFF" w:rsidRPr="00541A3A">
        <w:t xml:space="preserve"> and </w:t>
      </w:r>
      <w:r w:rsidRPr="00541A3A">
        <w:t xml:space="preserve">generates wage predictions through the balance between the displacement of routine tasks and the reinstatement of new ones, but the present data cannot separately identify how much of the observed wage compression reflects task displacement versus the absence of new task creation. Occupation- or firm-level data linking AI tool usage to task-level employment changes would be required to test this mechanism directly, and this remains an </w:t>
      </w:r>
      <w:r w:rsidR="001C0EFF" w:rsidRPr="00541A3A">
        <w:t>opportunity</w:t>
      </w:r>
      <w:r w:rsidRPr="00541A3A">
        <w:t xml:space="preserve"> for </w:t>
      </w:r>
      <w:r w:rsidRPr="00541A3A">
        <w:lastRenderedPageBreak/>
        <w:t>future research as more granular administrative or matched employer–employee datasets covering AI adoption become available.</w:t>
      </w:r>
    </w:p>
    <w:p w14:paraId="71F67B36" w14:textId="1EDA4984" w:rsidR="00BC5A2B" w:rsidRDefault="00807552" w:rsidP="00807552">
      <w:pPr>
        <w:rPr>
          <w:highlight w:val="yellow"/>
        </w:rPr>
      </w:pPr>
      <w:r>
        <w:rPr>
          <w:highlight w:val="yellow"/>
        </w:rPr>
        <w:t>Application (role of regulations)</w:t>
      </w:r>
    </w:p>
    <w:p w14:paraId="4DC5B200" w14:textId="77777777" w:rsidR="00807552" w:rsidRDefault="00807552" w:rsidP="00807552">
      <w:pPr>
        <w:rPr>
          <w:highlight w:val="yellow"/>
        </w:rPr>
      </w:pPr>
    </w:p>
    <w:p w14:paraId="0841BABE" w14:textId="77777777" w:rsidR="00807552" w:rsidRPr="00807552" w:rsidRDefault="00807552" w:rsidP="00807552">
      <w:pPr>
        <w:rPr>
          <w:highlight w:val="yellow"/>
        </w:rPr>
      </w:pPr>
    </w:p>
    <w:p w14:paraId="5FB511EB" w14:textId="33D98550" w:rsidR="00CE2656" w:rsidRPr="00FC79F0" w:rsidRDefault="00E538D4" w:rsidP="00A83C80">
      <w:pPr>
        <w:pStyle w:val="Heading2"/>
        <w:rPr>
          <w:rFonts w:ascii="Times New Roman" w:hAnsi="Times New Roman" w:cs="Times New Roman"/>
        </w:rPr>
      </w:pPr>
      <w:bookmarkStart w:id="23" w:name="_Toc229943332"/>
      <w:r w:rsidRPr="00FC79F0">
        <w:rPr>
          <w:rFonts w:ascii="Times New Roman" w:hAnsi="Times New Roman" w:cs="Times New Roman"/>
        </w:rPr>
        <w:t>References</w:t>
      </w:r>
      <w:bookmarkEnd w:id="23"/>
    </w:p>
    <w:p w14:paraId="347DBB15" w14:textId="6CAC122E" w:rsidR="00EA04C9" w:rsidRPr="00EA04C9" w:rsidRDefault="0085663C">
      <w:pPr>
        <w:pStyle w:val="ListParagraph"/>
        <w:numPr>
          <w:ilvl w:val="0"/>
          <w:numId w:val="3"/>
        </w:numPr>
        <w:jc w:val="both"/>
        <w:rPr>
          <w:rFonts w:ascii="Times New Roman" w:hAnsi="Times New Roman" w:cs="Times New Roman"/>
          <w:sz w:val="24"/>
          <w:szCs w:val="24"/>
        </w:rPr>
      </w:pPr>
      <w:bookmarkStart w:id="24"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24"/>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9"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6DEBC444" w14:textId="411B102B" w:rsidR="0070518E"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Crafts N.</w:t>
      </w:r>
      <w:r w:rsidR="00F2348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Steam as a General Purpose Technology: A Growth Accounting Perspective. The Economic Journal, </w:t>
      </w:r>
      <w:r w:rsidR="00C360E8" w:rsidRPr="00831124">
        <w:rPr>
          <w:rFonts w:ascii="Times New Roman" w:hAnsi="Times New Roman" w:cs="Times New Roman"/>
          <w:sz w:val="24"/>
          <w:szCs w:val="24"/>
        </w:rPr>
        <w:t xml:space="preserve">Volume </w:t>
      </w:r>
      <w:r w:rsidRPr="00831124">
        <w:rPr>
          <w:rFonts w:ascii="Times New Roman" w:hAnsi="Times New Roman" w:cs="Times New Roman"/>
          <w:sz w:val="24"/>
          <w:szCs w:val="24"/>
        </w:rPr>
        <w:t>114(495)</w:t>
      </w:r>
      <w:r w:rsidR="00C360E8" w:rsidRPr="00831124">
        <w:rPr>
          <w:rFonts w:ascii="Times New Roman" w:hAnsi="Times New Roman" w:cs="Times New Roman"/>
          <w:sz w:val="24"/>
          <w:szCs w:val="24"/>
        </w:rPr>
        <w:t>, May 2003</w:t>
      </w:r>
      <w:r w:rsidRPr="00831124">
        <w:rPr>
          <w:rFonts w:ascii="Times New Roman" w:hAnsi="Times New Roman" w:cs="Times New Roman"/>
          <w:sz w:val="24"/>
          <w:szCs w:val="24"/>
        </w:rPr>
        <w:t>.</w:t>
      </w:r>
      <w:r w:rsidR="00C360E8" w:rsidRPr="00831124">
        <w:rPr>
          <w:rFonts w:ascii="Times New Roman" w:hAnsi="Times New Roman" w:cs="Times New Roman"/>
          <w:sz w:val="24"/>
          <w:szCs w:val="24"/>
        </w:rPr>
        <w:t xml:space="preserve"> </w:t>
      </w:r>
      <w:r w:rsidR="00C360E8" w:rsidRPr="00EA04C9">
        <w:rPr>
          <w:rFonts w:ascii="Times New Roman" w:hAnsi="Times New Roman" w:cs="Times New Roman"/>
          <w:sz w:val="24"/>
          <w:szCs w:val="24"/>
        </w:rPr>
        <w:t xml:space="preserve">On line. </w:t>
      </w:r>
      <w:r w:rsidR="00C360E8" w:rsidRPr="00831124">
        <w:rPr>
          <w:rFonts w:ascii="Times New Roman" w:hAnsi="Times New Roman" w:cs="Times New Roman"/>
          <w:sz w:val="24"/>
          <w:szCs w:val="24"/>
        </w:rPr>
        <w:t>Assess</w:t>
      </w:r>
      <w:r w:rsidR="00C360E8" w:rsidRPr="00EA04C9">
        <w:rPr>
          <w:rFonts w:ascii="Times New Roman" w:hAnsi="Times New Roman" w:cs="Times New Roman"/>
          <w:sz w:val="24"/>
          <w:szCs w:val="24"/>
        </w:rPr>
        <w:t xml:space="preserve"> </w:t>
      </w:r>
      <w:r w:rsidR="00C360E8" w:rsidRPr="00831124">
        <w:rPr>
          <w:rFonts w:ascii="Times New Roman" w:hAnsi="Times New Roman" w:cs="Times New Roman"/>
          <w:sz w:val="24"/>
          <w:szCs w:val="24"/>
        </w:rPr>
        <w:t xml:space="preserve">January 19 </w:t>
      </w:r>
      <w:r w:rsidR="00C360E8" w:rsidRPr="00EA04C9">
        <w:rPr>
          <w:rFonts w:ascii="Times New Roman" w:hAnsi="Times New Roman" w:cs="Times New Roman"/>
          <w:sz w:val="24"/>
          <w:szCs w:val="24"/>
        </w:rPr>
        <w:t>2</w:t>
      </w:r>
      <w:r w:rsidR="00C360E8" w:rsidRPr="00831124">
        <w:rPr>
          <w:rFonts w:ascii="Times New Roman" w:hAnsi="Times New Roman" w:cs="Times New Roman"/>
          <w:sz w:val="24"/>
          <w:szCs w:val="24"/>
        </w:rPr>
        <w:t>026.</w:t>
      </w:r>
      <w:r w:rsidRPr="00831124">
        <w:rPr>
          <w:rFonts w:ascii="Times New Roman" w:hAnsi="Times New Roman" w:cs="Times New Roman"/>
          <w:sz w:val="24"/>
          <w:szCs w:val="24"/>
        </w:rPr>
        <w:t xml:space="preserve"> </w:t>
      </w:r>
      <w:r w:rsidRPr="00831124">
        <w:rPr>
          <w:rFonts w:ascii="Times New Roman" w:hAnsi="Times New Roman" w:cs="Times New Roman"/>
          <w:sz w:val="24"/>
          <w:szCs w:val="24"/>
          <w:highlight w:val="yellow"/>
        </w:rPr>
        <w:t>Earlier version available as LSE Economic History Working Paper No. 75.</w:t>
      </w:r>
    </w:p>
    <w:p w14:paraId="0558560C" w14:textId="48978C26" w:rsidR="00876FA7" w:rsidRPr="00831124" w:rsidRDefault="00876FA7" w:rsidP="00876FA7">
      <w:pPr>
        <w:pStyle w:val="ListParagraph"/>
        <w:jc w:val="both"/>
        <w:rPr>
          <w:rFonts w:ascii="Times New Roman" w:hAnsi="Times New Roman" w:cs="Times New Roman"/>
          <w:sz w:val="24"/>
          <w:szCs w:val="24"/>
        </w:rPr>
      </w:pPr>
      <w:hyperlink r:id="rId23" w:history="1">
        <w:r w:rsidRPr="00831124">
          <w:rPr>
            <w:rStyle w:val="Hyperlink"/>
            <w:rFonts w:ascii="Times New Roman" w:hAnsi="Times New Roman" w:cs="Times New Roman"/>
            <w:sz w:val="24"/>
            <w:szCs w:val="24"/>
            <w:u w:val="none"/>
          </w:rPr>
          <w:t>https://researchonline.lse.ac.uk/id/eprint/22354/1/wp75.pdf</w:t>
        </w:r>
      </w:hyperlink>
      <w:r w:rsidRPr="00831124">
        <w:rPr>
          <w:rFonts w:ascii="Times New Roman" w:hAnsi="Times New Roman" w:cs="Times New Roman"/>
          <w:sz w:val="24"/>
          <w:szCs w:val="24"/>
        </w:rPr>
        <w:t xml:space="preserve"> </w:t>
      </w:r>
    </w:p>
    <w:p w14:paraId="18709C9B" w14:textId="6D320FB0"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lastRenderedPageBreak/>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7"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8"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Krueger A.B. Computing inequality: have computers changed the labor market? </w:t>
      </w:r>
      <w:r w:rsidR="00673E46" w:rsidRPr="000A7A0D">
        <w:rPr>
          <w:rFonts w:ascii="Times New Roman" w:hAnsi="Times New Roman" w:cs="Times New Roman"/>
          <w:sz w:val="24"/>
          <w:szCs w:val="24"/>
        </w:rPr>
        <w:t xml:space="preserve">Massachusetts Institute of Technology, </w:t>
      </w:r>
      <w:r w:rsidRPr="000A7A0D">
        <w:rPr>
          <w:rFonts w:ascii="Times New Roman" w:hAnsi="Times New Roman" w:cs="Times New Roman"/>
          <w:sz w:val="24"/>
          <w:szCs w:val="24"/>
        </w:rPr>
        <w:t>The Quarterly Journal of Economics, November 1998. On line. Assess January 25 2026.</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9"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30"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31"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32"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1A3B3067" w14:textId="5FD44077" w:rsidR="00D06206" w:rsidRDefault="004E0EBD">
      <w:pPr>
        <w:pStyle w:val="ListParagraph"/>
        <w:numPr>
          <w:ilvl w:val="0"/>
          <w:numId w:val="3"/>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robots</w:t>
      </w:r>
    </w:p>
    <w:p w14:paraId="3671D909" w14:textId="1FBA5ABF" w:rsidR="00653CC6" w:rsidRPr="00E009F0" w:rsidRDefault="00E009F0">
      <w:pPr>
        <w:pStyle w:val="ListParagraph"/>
        <w:numPr>
          <w:ilvl w:val="0"/>
          <w:numId w:val="3"/>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On line. </w:t>
      </w:r>
      <w:r w:rsidRPr="00E009F0">
        <w:rPr>
          <w:rFonts w:ascii="Times New Roman" w:hAnsi="Times New Roman" w:cs="Times New Roman"/>
          <w:sz w:val="24"/>
          <w:szCs w:val="24"/>
          <w:highlight w:val="yellow"/>
        </w:rPr>
        <w:t>Access:</w:t>
      </w:r>
      <w:r w:rsidRPr="00E009F0">
        <w:rPr>
          <w:rFonts w:ascii="Times New Roman" w:hAnsi="Times New Roman" w:cs="Times New Roman"/>
          <w:sz w:val="24"/>
          <w:szCs w:val="24"/>
        </w:rPr>
        <w:t xml:space="preserve">  </w:t>
      </w:r>
    </w:p>
    <w:p w14:paraId="597ABCE0" w14:textId="586D9DE6" w:rsidR="00000370" w:rsidRDefault="00E736BF">
      <w:pPr>
        <w:pStyle w:val="ListParagraph"/>
        <w:numPr>
          <w:ilvl w:val="0"/>
          <w:numId w:val="3"/>
        </w:numPr>
        <w:jc w:val="both"/>
        <w:rPr>
          <w:rFonts w:ascii="Times New Roman" w:hAnsi="Times New Roman" w:cs="Times New Roman"/>
          <w:sz w:val="24"/>
          <w:szCs w:val="24"/>
          <w:highlight w:val="yellow"/>
        </w:rPr>
      </w:pPr>
      <w:r w:rsidRPr="00AD29B6">
        <w:rPr>
          <w:rFonts w:ascii="Times New Roman" w:hAnsi="Times New Roman" w:cs="Times New Roman"/>
          <w:sz w:val="24"/>
          <w:szCs w:val="24"/>
          <w:highlight w:val="yellow"/>
        </w:rPr>
        <w:t>Acemoglu simple of macroeconomics</w:t>
      </w:r>
    </w:p>
    <w:p w14:paraId="0D75A8A8" w14:textId="2950F5EA" w:rsidR="00C77B6A" w:rsidRPr="00ED141C" w:rsidRDefault="00ED141C">
      <w:pPr>
        <w:pStyle w:val="ListParagraph"/>
        <w:numPr>
          <w:ilvl w:val="0"/>
          <w:numId w:val="3"/>
        </w:numPr>
        <w:jc w:val="both"/>
        <w:rPr>
          <w:rFonts w:ascii="Times New Roman" w:hAnsi="Times New Roman" w:cs="Times New Roman"/>
          <w:sz w:val="24"/>
          <w:szCs w:val="24"/>
          <w:highlight w:val="yellow"/>
        </w:rPr>
      </w:pPr>
      <w:r w:rsidRPr="00ED141C">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w:t>
      </w:r>
      <w:r>
        <w:rPr>
          <w:rFonts w:ascii="Times New Roman" w:hAnsi="Times New Roman" w:cs="Times New Roman"/>
          <w:sz w:val="24"/>
          <w:szCs w:val="24"/>
          <w:highlight w:val="yellow"/>
        </w:rPr>
        <w:t xml:space="preserve">. Access: </w:t>
      </w:r>
    </w:p>
    <w:p w14:paraId="0250E394" w14:textId="3469CE81" w:rsidR="00000370" w:rsidRPr="00000370" w:rsidRDefault="0000037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3"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4"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35"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36" w:history="1">
        <w:r w:rsidRPr="00134F4A">
          <w:rPr>
            <w:rStyle w:val="Hyperlink"/>
            <w:rFonts w:ascii="Times New Roman" w:hAnsi="Times New Roman" w:cs="Times New Roman"/>
            <w:sz w:val="24"/>
            <w:szCs w:val="24"/>
          </w:rPr>
          <w:t>https://economicgraph.linkedin.com/content/dam/me/economicgraph/en-us/PDF/linkedIn-labor-market-report-building-a-future-of-work-that-works-jan-2026.pdf</w:t>
        </w:r>
      </w:hyperlink>
      <w:r w:rsidRPr="00320E7F">
        <w:rPr>
          <w:rFonts w:ascii="Times New Roman" w:hAnsi="Times New Roman" w:cs="Times New Roman"/>
          <w:sz w:val="24"/>
          <w:szCs w:val="24"/>
        </w:rPr>
        <w:t xml:space="preserve"> </w:t>
      </w:r>
    </w:p>
    <w:p w14:paraId="2859B387" w14:textId="4EB3EE7F" w:rsidR="000C4AFF" w:rsidRDefault="00000370">
      <w:pPr>
        <w:pStyle w:val="ListParagraph"/>
        <w:numPr>
          <w:ilvl w:val="0"/>
          <w:numId w:val="3"/>
        </w:numPr>
        <w:jc w:val="both"/>
        <w:rPr>
          <w:rFonts w:ascii="Times New Roman" w:hAnsi="Times New Roman" w:cs="Times New Roman"/>
          <w:sz w:val="24"/>
          <w:szCs w:val="24"/>
        </w:rPr>
      </w:pPr>
      <w:hyperlink r:id="rId37" w:history="1">
        <w:r w:rsidRPr="00C039A9">
          <w:rPr>
            <w:rStyle w:val="Hyperlink"/>
            <w:rFonts w:ascii="Times New Roman" w:hAnsi="Times New Roman" w:cs="Times New Roman"/>
            <w:sz w:val="24"/>
            <w:szCs w:val="24"/>
          </w:rPr>
          <w:t>https://ec.europa.eu/eurostat/web/products-statistical-reports/w/ks-01-26-009</w:t>
        </w:r>
      </w:hyperlink>
      <w:r>
        <w:rPr>
          <w:rFonts w:ascii="Times New Roman" w:hAnsi="Times New Roman" w:cs="Times New Roman"/>
          <w:sz w:val="24"/>
          <w:szCs w:val="24"/>
        </w:rPr>
        <w:t xml:space="preserve"> </w:t>
      </w:r>
    </w:p>
    <w:p w14:paraId="0AF4E368" w14:textId="5106E11B" w:rsidR="004A3C17" w:rsidRDefault="004A3C17" w:rsidP="00D7658B">
      <w:pPr>
        <w:pStyle w:val="Figurethesis"/>
      </w:pPr>
      <w:r>
        <w:t>K.Madon</w:t>
      </w:r>
      <w:r w:rsidR="00484C90">
        <w:t xml:space="preserve">. The relationship between Artificial Intelligence (AI) exposure and returns to education. Central European Economic Journal, 11(58). December 2024. On line. </w:t>
      </w:r>
      <w:r w:rsidR="00484C90" w:rsidRPr="00484C90">
        <w:rPr>
          <w:highlight w:val="yellow"/>
        </w:rPr>
        <w:t>Access:</w:t>
      </w:r>
      <w:r w:rsidR="00484C90">
        <w:t xml:space="preserve"> </w:t>
      </w:r>
    </w:p>
    <w:p w14:paraId="56D5AE17" w14:textId="200B1188" w:rsidR="00484C90" w:rsidRDefault="00484C90" w:rsidP="00484C90">
      <w:pPr>
        <w:pStyle w:val="ListParagraph"/>
        <w:jc w:val="both"/>
        <w:rPr>
          <w:rFonts w:ascii="Times New Roman" w:hAnsi="Times New Roman" w:cs="Times New Roman"/>
          <w:sz w:val="24"/>
          <w:szCs w:val="24"/>
        </w:rPr>
      </w:pPr>
      <w:hyperlink r:id="rId38" w:history="1">
        <w:r w:rsidRPr="00DB781E">
          <w:rPr>
            <w:rStyle w:val="Hyperlink"/>
            <w:rFonts w:ascii="Times New Roman" w:hAnsi="Times New Roman" w:cs="Times New Roman"/>
            <w:sz w:val="24"/>
            <w:szCs w:val="24"/>
          </w:rPr>
          <w:t>https://reference-global.com/article/10.2478/ceej-2024-0029</w:t>
        </w:r>
      </w:hyperlink>
      <w:r>
        <w:rPr>
          <w:rFonts w:ascii="Times New Roman" w:hAnsi="Times New Roman" w:cs="Times New Roman"/>
          <w:sz w:val="24"/>
          <w:szCs w:val="24"/>
        </w:rPr>
        <w:t xml:space="preserve"> </w:t>
      </w:r>
    </w:p>
    <w:p w14:paraId="4F915C13" w14:textId="77777777" w:rsidR="00876FA7" w:rsidRPr="0070518E" w:rsidRDefault="00876FA7" w:rsidP="00876FA7">
      <w:pPr>
        <w:pStyle w:val="ListParagraph"/>
        <w:jc w:val="both"/>
        <w:rPr>
          <w:rFonts w:ascii="Times New Roman" w:hAnsi="Times New Roman" w:cs="Times New Roman"/>
          <w:sz w:val="24"/>
          <w:szCs w:val="24"/>
        </w:rPr>
      </w:pPr>
    </w:p>
    <w:p w14:paraId="53694F97" w14:textId="77777777" w:rsidR="0070518E" w:rsidRDefault="0070518E" w:rsidP="00965410">
      <w:pPr>
        <w:pStyle w:val="ListParagraph"/>
        <w:jc w:val="both"/>
        <w:rPr>
          <w:rFonts w:ascii="Times New Roman" w:hAnsi="Times New Roman" w:cs="Times New Roman"/>
          <w:sz w:val="24"/>
          <w:szCs w:val="24"/>
        </w:rPr>
      </w:pPr>
    </w:p>
    <w:p w14:paraId="76230A30" w14:textId="77777777" w:rsidR="007A5AA5" w:rsidRDefault="007A5AA5" w:rsidP="00122515">
      <w:pPr>
        <w:pStyle w:val="ListParagraph"/>
        <w:rPr>
          <w:rFonts w:ascii="Times New Roman" w:hAnsi="Times New Roman" w:cs="Times New Roman"/>
          <w:sz w:val="24"/>
          <w:szCs w:val="24"/>
        </w:rPr>
      </w:pPr>
    </w:p>
    <w:p w14:paraId="04C04243" w14:textId="77777777" w:rsidR="007A5AA5" w:rsidRDefault="007A5AA5" w:rsidP="00122515">
      <w:pPr>
        <w:pStyle w:val="ListParagraph"/>
        <w:rPr>
          <w:rFonts w:ascii="Times New Roman" w:hAnsi="Times New Roman" w:cs="Times New Roman"/>
          <w:sz w:val="24"/>
          <w:szCs w:val="24"/>
        </w:rPr>
      </w:pPr>
    </w:p>
    <w:p w14:paraId="39535F51" w14:textId="77777777" w:rsidR="007A5AA5" w:rsidRDefault="007A5AA5" w:rsidP="00122515">
      <w:pPr>
        <w:pStyle w:val="ListParagraph"/>
        <w:rPr>
          <w:rFonts w:ascii="Times New Roman" w:hAnsi="Times New Roman" w:cs="Times New Roman"/>
          <w:sz w:val="24"/>
          <w:szCs w:val="24"/>
        </w:rPr>
      </w:pPr>
    </w:p>
    <w:p w14:paraId="32C31079" w14:textId="77777777" w:rsidR="004B796B" w:rsidRDefault="004B796B" w:rsidP="00122515">
      <w:pPr>
        <w:pStyle w:val="ListParagraph"/>
        <w:rPr>
          <w:rFonts w:ascii="Times New Roman" w:hAnsi="Times New Roman" w:cs="Times New Roman"/>
          <w:sz w:val="24"/>
          <w:szCs w:val="24"/>
        </w:rPr>
      </w:pPr>
    </w:p>
    <w:p w14:paraId="5DBCF63C" w14:textId="77777777" w:rsidR="004B796B" w:rsidRDefault="004B796B" w:rsidP="00122515">
      <w:pPr>
        <w:pStyle w:val="ListParagraph"/>
        <w:rPr>
          <w:rFonts w:ascii="Times New Roman" w:hAnsi="Times New Roman" w:cs="Times New Roman"/>
          <w:sz w:val="24"/>
          <w:szCs w:val="24"/>
        </w:rPr>
      </w:pPr>
    </w:p>
    <w:p w14:paraId="583E08A3" w14:textId="77777777" w:rsidR="004B796B" w:rsidRDefault="004B796B" w:rsidP="00122515">
      <w:pPr>
        <w:pStyle w:val="ListParagraph"/>
        <w:rPr>
          <w:rFonts w:ascii="Times New Roman" w:hAnsi="Times New Roman" w:cs="Times New Roman"/>
          <w:sz w:val="24"/>
          <w:szCs w:val="24"/>
        </w:rPr>
      </w:pPr>
    </w:p>
    <w:p w14:paraId="103835CD" w14:textId="77777777" w:rsidR="004B796B" w:rsidRDefault="004B796B" w:rsidP="00122515">
      <w:pPr>
        <w:pStyle w:val="ListParagraph"/>
        <w:rPr>
          <w:rFonts w:ascii="Times New Roman" w:hAnsi="Times New Roman" w:cs="Times New Roman"/>
          <w:sz w:val="24"/>
          <w:szCs w:val="24"/>
        </w:rPr>
      </w:pPr>
    </w:p>
    <w:p w14:paraId="30EDE588" w14:textId="77777777" w:rsidR="004B796B" w:rsidRDefault="004B796B" w:rsidP="00122515">
      <w:pPr>
        <w:pStyle w:val="ListParagraph"/>
        <w:rPr>
          <w:rFonts w:ascii="Times New Roman" w:hAnsi="Times New Roman" w:cs="Times New Roman"/>
          <w:sz w:val="24"/>
          <w:szCs w:val="24"/>
        </w:rPr>
      </w:pPr>
    </w:p>
    <w:p w14:paraId="1A45D763" w14:textId="77777777" w:rsidR="007A5AA5" w:rsidRPr="00EA04C9" w:rsidRDefault="007A5AA5" w:rsidP="00122515">
      <w:pPr>
        <w:pStyle w:val="ListParagraph"/>
        <w:rPr>
          <w:rFonts w:ascii="Times New Roman" w:hAnsi="Times New Roman" w:cs="Times New Roman"/>
          <w:sz w:val="24"/>
          <w:szCs w:val="24"/>
        </w:rPr>
      </w:pPr>
    </w:p>
    <w:p w14:paraId="21B7F127" w14:textId="3E23F35F"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W 2013 - </w:t>
      </w:r>
      <w:hyperlink r:id="rId39" w:history="1">
        <w:r w:rsidRPr="00EA04C9">
          <w:rPr>
            <w:rStyle w:val="Hyperlink"/>
            <w:rFonts w:ascii="Times New Roman" w:hAnsi="Times New Roman" w:cs="Times New Roman"/>
            <w:sz w:val="24"/>
            <w:szCs w:val="24"/>
            <w:lang w:val="pl-PL"/>
          </w:rPr>
          <w:t>https://cbpbu.ac.in/userfiles/file/2020/STUDY_MAT/ECO/2.pdf</w:t>
        </w:r>
      </w:hyperlink>
      <w:r w:rsidRPr="00EA04C9">
        <w:rPr>
          <w:rFonts w:ascii="Times New Roman" w:hAnsi="Times New Roman" w:cs="Times New Roman"/>
          <w:sz w:val="24"/>
          <w:szCs w:val="24"/>
          <w:lang w:val="pl-PL"/>
        </w:rPr>
        <w:t xml:space="preserve"> </w:t>
      </w:r>
    </w:p>
    <w:p w14:paraId="3C473B1D" w14:textId="50046243"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LE 2000 - </w:t>
      </w:r>
      <w:hyperlink r:id="rId40" w:history="1">
        <w:r w:rsidRPr="00EA04C9">
          <w:rPr>
            <w:rStyle w:val="Hyperlink"/>
            <w:rFonts w:ascii="Times New Roman" w:hAnsi="Times New Roman" w:cs="Times New Roman"/>
            <w:sz w:val="24"/>
            <w:szCs w:val="24"/>
            <w:lang w:val="pl-PL"/>
          </w:rPr>
          <w:t>https://nielsen.sites.oasis.unc.edu/soci709/odocs/00TAS.pdf</w:t>
        </w:r>
      </w:hyperlink>
    </w:p>
    <w:p w14:paraId="36E33B8C" w14:textId="5ED580E1" w:rsidR="00E538D4" w:rsidRPr="0019520C" w:rsidRDefault="00E538D4">
      <w:pPr>
        <w:rPr>
          <w:rFonts w:ascii="Times New Roman" w:hAnsi="Times New Roman" w:cs="Times New Roman"/>
          <w:sz w:val="24"/>
          <w:szCs w:val="24"/>
          <w:lang w:val="pl-PL"/>
        </w:rPr>
      </w:pPr>
      <w:r w:rsidRPr="0019520C">
        <w:rPr>
          <w:rFonts w:ascii="Times New Roman" w:hAnsi="Times New Roman" w:cs="Times New Roman"/>
          <w:sz w:val="24"/>
          <w:szCs w:val="24"/>
          <w:lang w:val="pl-PL"/>
        </w:rPr>
        <w:t xml:space="preserve">White 1985 - </w:t>
      </w:r>
      <w:hyperlink r:id="rId41" w:history="1">
        <w:r w:rsidRPr="0019520C">
          <w:rPr>
            <w:rStyle w:val="Hyperlink"/>
            <w:rFonts w:ascii="Times New Roman" w:hAnsi="Times New Roman" w:cs="Times New Roman"/>
            <w:sz w:val="24"/>
            <w:szCs w:val="24"/>
            <w:lang w:val="pl-PL"/>
          </w:rPr>
          <w:t>https://www.econstor.eu/bitstream/10419/189084/1/qed_wp_0537.pdf</w:t>
        </w:r>
      </w:hyperlink>
      <w:r w:rsidRPr="0019520C">
        <w:rPr>
          <w:rFonts w:ascii="Times New Roman" w:hAnsi="Times New Roman" w:cs="Times New Roman"/>
          <w:sz w:val="24"/>
          <w:szCs w:val="24"/>
          <w:lang w:val="pl-PL"/>
        </w:rPr>
        <w:t xml:space="preserve"> </w:t>
      </w:r>
    </w:p>
    <w:p w14:paraId="7A814341" w14:textId="5B7A8D8B" w:rsidR="00E538D4"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EU stat1 – https://ec.europa.eu/eurostat/web/products-eurostat-news/w/ddn-20230309-2</w:t>
      </w:r>
    </w:p>
    <w:p w14:paraId="752A27F3" w14:textId="64D7F6A4" w:rsidR="00A83C80"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CB1 - </w:t>
      </w:r>
      <w:hyperlink r:id="rId42" w:history="1">
        <w:r w:rsidRPr="00EA04C9">
          <w:rPr>
            <w:rStyle w:val="Hyperlink"/>
            <w:rFonts w:ascii="Times New Roman" w:hAnsi="Times New Roman" w:cs="Times New Roman"/>
            <w:sz w:val="24"/>
            <w:szCs w:val="24"/>
            <w:lang w:val="pl-PL"/>
          </w:rPr>
          <w:t>https://www.ecb.europa.eu/press/research-publications/resbull/2024/html/ecb.rb240220~a77abebe0e.en.html</w:t>
        </w:r>
      </w:hyperlink>
      <w:r w:rsidRPr="00EA04C9">
        <w:rPr>
          <w:rFonts w:ascii="Times New Roman" w:hAnsi="Times New Roman" w:cs="Times New Roman"/>
          <w:sz w:val="24"/>
          <w:szCs w:val="24"/>
          <w:lang w:val="pl-PL"/>
        </w:rPr>
        <w:t xml:space="preserve"> </w:t>
      </w:r>
    </w:p>
    <w:p w14:paraId="1F83AE27" w14:textId="4C0DA690" w:rsidR="00A83C80" w:rsidRPr="00EA04C9" w:rsidRDefault="00342FDD">
      <w:pPr>
        <w:rPr>
          <w:rFonts w:ascii="Times New Roman" w:hAnsi="Times New Roman" w:cs="Times New Roman"/>
          <w:sz w:val="24"/>
          <w:szCs w:val="24"/>
        </w:rPr>
      </w:pPr>
      <w:r w:rsidRPr="00EA04C9">
        <w:rPr>
          <w:rFonts w:ascii="Times New Roman" w:hAnsi="Times New Roman" w:cs="Times New Roman"/>
          <w:sz w:val="24"/>
          <w:szCs w:val="24"/>
        </w:rPr>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6AgNndTi7gKj6OOb-</w:t>
      </w:r>
      <w:r w:rsidRPr="00EA04C9">
        <w:rPr>
          <w:rFonts w:ascii="Times New Roman" w:hAnsi="Times New Roman" w:cs="Times New Roman"/>
          <w:sz w:val="24"/>
          <w:szCs w:val="24"/>
        </w:rPr>
        <w:lastRenderedPageBreak/>
        <w:t>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Pr="00EA04C9" w:rsidRDefault="004945F5">
      <w:pPr>
        <w:rPr>
          <w:rFonts w:ascii="Times New Roman" w:hAnsi="Times New Roman" w:cs="Times New Roman"/>
          <w:sz w:val="24"/>
          <w:szCs w:val="24"/>
        </w:rPr>
      </w:pPr>
      <w:r w:rsidRPr="00EA04C9">
        <w:rPr>
          <w:rFonts w:ascii="Times New Roman" w:hAnsi="Times New Roman" w:cs="Times New Roman"/>
          <w:sz w:val="24"/>
          <w:szCs w:val="24"/>
        </w:rPr>
        <w:t xml:space="preserve">Alis 2012 - </w:t>
      </w:r>
      <w:hyperlink r:id="rId43" w:history="1">
        <w:r w:rsidRPr="00EA04C9">
          <w:rPr>
            <w:rStyle w:val="Hyperlink"/>
            <w:rFonts w:ascii="Times New Roman" w:hAnsi="Times New Roman" w:cs="Times New Roman"/>
            <w:sz w:val="24"/>
            <w:szCs w:val="24"/>
          </w:rPr>
          <w:t>https://statisticalhorizons.com/multicollinearity/</w:t>
        </w:r>
      </w:hyperlink>
      <w:r w:rsidRPr="00EA04C9">
        <w:rPr>
          <w:rFonts w:ascii="Times New Roman" w:hAnsi="Times New Roman" w:cs="Times New Roman"/>
          <w:sz w:val="24"/>
          <w:szCs w:val="24"/>
        </w:rPr>
        <w:t xml:space="preserve"> </w:t>
      </w:r>
    </w:p>
    <w:p w14:paraId="5A4EFA73" w14:textId="7EF135F0" w:rsidR="007804B8" w:rsidRPr="00EA04C9" w:rsidRDefault="007804B8">
      <w:pPr>
        <w:rPr>
          <w:rFonts w:ascii="Times New Roman" w:hAnsi="Times New Roman" w:cs="Times New Roman"/>
          <w:sz w:val="24"/>
          <w:szCs w:val="24"/>
        </w:rPr>
      </w:pPr>
      <w:r w:rsidRPr="00EA04C9">
        <w:rPr>
          <w:rFonts w:ascii="Times New Roman" w:hAnsi="Times New Roman" w:cs="Times New Roman"/>
          <w:sz w:val="24"/>
          <w:szCs w:val="24"/>
        </w:rPr>
        <w:t xml:space="preserve">Akaike - </w:t>
      </w:r>
      <w:hyperlink r:id="rId44" w:history="1">
        <w:r w:rsidRPr="00EA04C9">
          <w:rPr>
            <w:rStyle w:val="Hyperlink"/>
            <w:rFonts w:ascii="Times New Roman" w:hAnsi="Times New Roman" w:cs="Times New Roman"/>
            <w:sz w:val="24"/>
            <w:szCs w:val="24"/>
          </w:rPr>
          <w:t>https://eclass.uoa.gr/modules/document/file.php/MATH452/%CE%86%CF%81%CE%B8%CF%81%CE%B1/Akaike_1974.pdf</w:t>
        </w:r>
      </w:hyperlink>
    </w:p>
    <w:p w14:paraId="79666A90" w14:textId="2AEEBEC2" w:rsidR="007804B8" w:rsidRPr="00EA04C9" w:rsidRDefault="007804B8">
      <w:pPr>
        <w:rPr>
          <w:rFonts w:ascii="Times New Roman" w:hAnsi="Times New Roman" w:cs="Times New Roman"/>
          <w:sz w:val="24"/>
          <w:szCs w:val="24"/>
          <w:lang w:val="pl-PL"/>
        </w:rPr>
      </w:pPr>
      <w:r w:rsidRPr="00EA04C9">
        <w:rPr>
          <w:rFonts w:ascii="Times New Roman" w:hAnsi="Times New Roman" w:cs="Times New Roman"/>
          <w:sz w:val="24"/>
          <w:szCs w:val="24"/>
          <w:lang w:val="pl-PL"/>
        </w:rPr>
        <w:t>Schwarz, 1978</w:t>
      </w:r>
      <w:r w:rsidRPr="00EA04C9">
        <w:rPr>
          <w:rFonts w:ascii="Times New Roman" w:hAnsi="Times New Roman" w:cs="Times New Roman"/>
          <w:i/>
          <w:iCs/>
          <w:sz w:val="24"/>
          <w:szCs w:val="24"/>
          <w:lang w:val="pl-PL"/>
        </w:rPr>
        <w:t xml:space="preserve"> -</w:t>
      </w:r>
      <w:hyperlink r:id="rId45" w:history="1">
        <w:r w:rsidRPr="00EA04C9">
          <w:rPr>
            <w:rStyle w:val="Hyperlink"/>
            <w:rFonts w:ascii="Times New Roman" w:hAnsi="Times New Roman" w:cs="Times New Roman"/>
            <w:sz w:val="24"/>
            <w:szCs w:val="24"/>
            <w:lang w:val="pl-PL"/>
          </w:rPr>
          <w:t>https://sites.stat.washington.edu/courses/stat527/s13/readings/ann_stat1978.pdf</w:t>
        </w:r>
      </w:hyperlink>
      <w:r w:rsidRPr="00EA04C9">
        <w:rPr>
          <w:rFonts w:ascii="Times New Roman" w:hAnsi="Times New Roman" w:cs="Times New Roman"/>
          <w:sz w:val="24"/>
          <w:szCs w:val="24"/>
          <w:lang w:val="pl-PL"/>
        </w:rPr>
        <w:t xml:space="preserve"> </w:t>
      </w:r>
    </w:p>
    <w:p w14:paraId="2490F833" w14:textId="3A4856DA" w:rsidR="00CE2656" w:rsidRPr="00BD5502" w:rsidRDefault="00E0730A">
      <w:pPr>
        <w:rPr>
          <w:rFonts w:ascii="Times New Roman" w:hAnsi="Times New Roman" w:cs="Times New Roman"/>
          <w:sz w:val="24"/>
          <w:szCs w:val="24"/>
          <w:lang w:val="pl-PL"/>
        </w:rPr>
      </w:pPr>
      <w:hyperlink r:id="rId46" w:history="1">
        <w:r w:rsidRPr="00BD5502">
          <w:rPr>
            <w:rStyle w:val="Hyperlink"/>
            <w:rFonts w:ascii="Times New Roman" w:hAnsi="Times New Roman" w:cs="Times New Roman"/>
            <w:sz w:val="24"/>
            <w:szCs w:val="24"/>
            <w:lang w:val="pl-PL"/>
          </w:rPr>
          <w:t>https://wiiw.ac.at/assessing-the-impact-of-new-technologies-on-wages-and-labour-income-shares-dlp-6773.pdf</w:t>
        </w:r>
      </w:hyperlink>
    </w:p>
    <w:p w14:paraId="238AB74A" w14:textId="4C32B5D4" w:rsidR="00E0730A" w:rsidRPr="00EA04C9" w:rsidRDefault="00941F9A">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Soc EU - </w:t>
      </w:r>
      <w:hyperlink r:id="rId47" w:history="1">
        <w:r w:rsidRPr="00EA04C9">
          <w:rPr>
            <w:rStyle w:val="Hyperlink"/>
            <w:rFonts w:ascii="Times New Roman" w:hAnsi="Times New Roman" w:cs="Times New Roman"/>
            <w:sz w:val="24"/>
            <w:szCs w:val="24"/>
            <w:lang w:val="pl-PL"/>
          </w:rPr>
          <w:t>https://www.socialeurope.eu/from-inflation-shock-to-a-sharp-distributional-conflict</w:t>
        </w:r>
      </w:hyperlink>
    </w:p>
    <w:p w14:paraId="3843FE8C" w14:textId="77777777" w:rsidR="006573C0" w:rsidRPr="00EA04C9" w:rsidRDefault="006573C0" w:rsidP="006573C0">
      <w:pPr>
        <w:jc w:val="both"/>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Bramor - </w:t>
      </w:r>
      <w:hyperlink r:id="rId48" w:history="1">
        <w:r w:rsidRPr="00EA04C9">
          <w:rPr>
            <w:rStyle w:val="Hyperlink"/>
            <w:rFonts w:ascii="Times New Roman" w:hAnsi="Times New Roman" w:cs="Times New Roman"/>
            <w:sz w:val="24"/>
            <w:szCs w:val="24"/>
            <w:lang w:val="pl-PL"/>
          </w:rPr>
          <w:t>https://spia.uga.edu/faculty_pages/tyler.scott/teaching/PADP8130_Spring2017/readings/brambor.et.al.2006.pdf</w:t>
        </w:r>
      </w:hyperlink>
    </w:p>
    <w:p w14:paraId="74A42B08" w14:textId="64629CAE" w:rsidR="003B5F84" w:rsidRPr="00EA04C9" w:rsidRDefault="003B5F84" w:rsidP="003B5F84">
      <w:pPr>
        <w:jc w:val="both"/>
        <w:rPr>
          <w:rFonts w:ascii="Times New Roman" w:hAnsi="Times New Roman" w:cs="Times New Roman"/>
          <w:sz w:val="24"/>
          <w:szCs w:val="24"/>
        </w:rPr>
      </w:pPr>
      <w:r w:rsidRPr="00EA04C9">
        <w:rPr>
          <w:rFonts w:ascii="Times New Roman" w:hAnsi="Times New Roman" w:cs="Times New Roman"/>
          <w:sz w:val="24"/>
          <w:szCs w:val="24"/>
        </w:rPr>
        <w:t>WP Barisic, Ghodsi and Stehrer 2024</w:t>
      </w:r>
    </w:p>
    <w:p w14:paraId="00C02520" w14:textId="10574885" w:rsidR="00941F9A" w:rsidRPr="00EA04C9" w:rsidRDefault="002F34D7">
      <w:pPr>
        <w:rPr>
          <w:rFonts w:ascii="Times New Roman" w:hAnsi="Times New Roman" w:cs="Times New Roman"/>
          <w:sz w:val="24"/>
          <w:szCs w:val="24"/>
        </w:rPr>
      </w:pPr>
      <w:hyperlink r:id="rId49" w:history="1">
        <w:r w:rsidRPr="00EA04C9">
          <w:rPr>
            <w:rStyle w:val="Hyperlink"/>
            <w:rFonts w:ascii="Times New Roman" w:hAnsi="Times New Roman" w:cs="Times New Roman"/>
            <w:sz w:val="24"/>
            <w:szCs w:val="24"/>
          </w:rPr>
          <w:t>https://www.econstor.eu/bitstream/10419/283284/1/1879512572.pdf</w:t>
        </w:r>
      </w:hyperlink>
    </w:p>
    <w:p w14:paraId="532ED0A4" w14:textId="7F0D2A56" w:rsidR="002F34D7" w:rsidRPr="00EA04C9" w:rsidRDefault="002F34D7">
      <w:pPr>
        <w:rPr>
          <w:rFonts w:ascii="Times New Roman" w:hAnsi="Times New Roman" w:cs="Times New Roman"/>
          <w:sz w:val="24"/>
          <w:szCs w:val="24"/>
        </w:rPr>
      </w:pPr>
      <w:r w:rsidRPr="00EA04C9">
        <w:rPr>
          <w:rFonts w:ascii="Times New Roman" w:hAnsi="Times New Roman" w:cs="Times New Roman"/>
          <w:sz w:val="24"/>
          <w:szCs w:val="24"/>
        </w:rPr>
        <w:t xml:space="preserve">Kropko and Kubines </w:t>
      </w:r>
    </w:p>
    <w:p w14:paraId="1B167229" w14:textId="7CF37238" w:rsidR="002F34D7" w:rsidRPr="00EA04C9" w:rsidRDefault="002F34D7">
      <w:pPr>
        <w:rPr>
          <w:rFonts w:ascii="Times New Roman" w:hAnsi="Times New Roman" w:cs="Times New Roman"/>
          <w:sz w:val="24"/>
          <w:szCs w:val="24"/>
        </w:rPr>
      </w:pPr>
      <w:hyperlink r:id="rId50" w:history="1">
        <w:r w:rsidRPr="00EA04C9">
          <w:rPr>
            <w:rStyle w:val="Hyperlink"/>
            <w:rFonts w:ascii="Times New Roman" w:hAnsi="Times New Roman" w:cs="Times New Roman"/>
            <w:sz w:val="24"/>
            <w:szCs w:val="24"/>
          </w:rPr>
          <w:t>https://journals.plos.org/plosone/article?id=10.1371/journal.pone.0231349</w:t>
        </w:r>
      </w:hyperlink>
      <w:r w:rsidRPr="00EA04C9">
        <w:rPr>
          <w:rFonts w:ascii="Times New Roman" w:hAnsi="Times New Roman" w:cs="Times New Roman"/>
          <w:sz w:val="24"/>
          <w:szCs w:val="24"/>
        </w:rPr>
        <w:t xml:space="preserve"> </w:t>
      </w:r>
    </w:p>
    <w:p w14:paraId="3CB91909" w14:textId="37983917" w:rsidR="00CE2656" w:rsidRPr="00EA04C9" w:rsidRDefault="0048246E">
      <w:pPr>
        <w:rPr>
          <w:rFonts w:ascii="Times New Roman" w:hAnsi="Times New Roman" w:cs="Times New Roman"/>
          <w:i/>
          <w:iCs/>
          <w:sz w:val="24"/>
          <w:szCs w:val="24"/>
        </w:rPr>
      </w:pPr>
      <w:r w:rsidRPr="00EA04C9">
        <w:rPr>
          <w:rFonts w:ascii="Times New Roman" w:hAnsi="Times New Roman" w:cs="Times New Roman"/>
          <w:sz w:val="24"/>
          <w:szCs w:val="24"/>
        </w:rPr>
        <w:t> Wooldridge, J.M. (2010). </w:t>
      </w:r>
      <w:r w:rsidRPr="00EA04C9">
        <w:rPr>
          <w:rFonts w:ascii="Times New Roman" w:hAnsi="Times New Roman" w:cs="Times New Roman"/>
          <w:i/>
          <w:iCs/>
          <w:sz w:val="24"/>
          <w:szCs w:val="24"/>
        </w:rPr>
        <w:t>Econometric Analysis of Cross Section and Panel Data</w:t>
      </w:r>
    </w:p>
    <w:p w14:paraId="0916751E" w14:textId="116E0707" w:rsidR="003E5AF7" w:rsidRPr="00EA04C9" w:rsidRDefault="003E5AF7">
      <w:pPr>
        <w:rPr>
          <w:rFonts w:ascii="Times New Roman" w:hAnsi="Times New Roman" w:cs="Times New Roman"/>
          <w:sz w:val="24"/>
          <w:szCs w:val="24"/>
        </w:rPr>
      </w:pPr>
      <w:r w:rsidRPr="00EA04C9">
        <w:rPr>
          <w:rFonts w:ascii="Times New Roman" w:hAnsi="Times New Roman" w:cs="Times New Roman"/>
          <w:sz w:val="24"/>
          <w:szCs w:val="24"/>
        </w:rPr>
        <w:t xml:space="preserve">IQR - </w:t>
      </w:r>
      <w:hyperlink r:id="rId51" w:history="1">
        <w:r w:rsidR="00F3734B" w:rsidRPr="00EA04C9">
          <w:rPr>
            <w:rStyle w:val="Hyperlink"/>
            <w:rFonts w:ascii="Times New Roman" w:hAnsi="Times New Roman" w:cs="Times New Roman"/>
            <w:sz w:val="24"/>
            <w:szCs w:val="24"/>
          </w:rPr>
          <w:t>https://medium.com/data-and-beyond/outlier-detection-in-r-tukey-method-or-why-you-need-box-and-whiskers-3c35d9ad8fb3</w:t>
        </w:r>
      </w:hyperlink>
      <w:r w:rsidRPr="00EA04C9">
        <w:rPr>
          <w:rFonts w:ascii="Times New Roman" w:hAnsi="Times New Roman" w:cs="Times New Roman"/>
          <w:sz w:val="24"/>
          <w:szCs w:val="24"/>
        </w:rPr>
        <w:t xml:space="preserve"> </w:t>
      </w:r>
    </w:p>
    <w:p w14:paraId="03DD8B25" w14:textId="1248CCC8" w:rsidR="00CE2656" w:rsidRPr="008C7EFA" w:rsidRDefault="008C7EFA">
      <w:pPr>
        <w:rPr>
          <w:rFonts w:ascii="Times New Roman" w:hAnsi="Times New Roman" w:cs="Times New Roman"/>
          <w:sz w:val="24"/>
          <w:szCs w:val="24"/>
        </w:rPr>
      </w:pPr>
      <w:r w:rsidRPr="008C7EFA">
        <w:rPr>
          <w:rFonts w:ascii="Times New Roman" w:hAnsi="Times New Roman" w:cs="Times New Roman"/>
          <w:sz w:val="24"/>
          <w:szCs w:val="24"/>
        </w:rPr>
        <w:t xml:space="preserve">Acemoglu and </w:t>
      </w:r>
      <w:r>
        <w:rPr>
          <w:rFonts w:ascii="Times New Roman" w:hAnsi="Times New Roman" w:cs="Times New Roman"/>
          <w:sz w:val="24"/>
          <w:szCs w:val="24"/>
        </w:rPr>
        <w:t xml:space="preserve">Restrepo 2019 </w:t>
      </w:r>
      <w:r w:rsidRPr="008C7EFA">
        <w:rPr>
          <w:rFonts w:ascii="Times New Roman" w:hAnsi="Times New Roman" w:cs="Times New Roman"/>
          <w:sz w:val="24"/>
          <w:szCs w:val="24"/>
        </w:rPr>
        <w:t>Automation and New Tasks: How Technology Displaces and Reinstates Labor</w:t>
      </w:r>
      <w:hyperlink r:id="rId52" w:history="1">
        <w:r w:rsidR="0088313C" w:rsidRPr="000E2DCA">
          <w:rPr>
            <w:rStyle w:val="Hyperlink"/>
            <w:rFonts w:ascii="Times New Roman" w:hAnsi="Times New Roman" w:cs="Times New Roman"/>
            <w:sz w:val="24"/>
            <w:szCs w:val="24"/>
          </w:rPr>
          <w:t>https://economics.mit.edu/sites/default/files/publications/Automation%20and%20New%20Tasks%20-%20How%20Technology%20Displace.pdf</w:t>
        </w:r>
      </w:hyperlink>
    </w:p>
    <w:p w14:paraId="3A6D9BA7" w14:textId="77777777" w:rsidR="008C7EFA" w:rsidRPr="008C7EFA" w:rsidRDefault="008C7EFA">
      <w:pPr>
        <w:rPr>
          <w:rFonts w:ascii="Times New Roman" w:hAnsi="Times New Roman" w:cs="Times New Roman"/>
          <w:sz w:val="24"/>
          <w:szCs w:val="24"/>
        </w:rPr>
      </w:pPr>
    </w:p>
    <w:p w14:paraId="439D60FF" w14:textId="77777777" w:rsidR="008C7EFA" w:rsidRPr="008C7EFA" w:rsidRDefault="008C7EFA">
      <w:pPr>
        <w:rPr>
          <w:rFonts w:ascii="Times New Roman" w:hAnsi="Times New Roman" w:cs="Times New Roman"/>
          <w:sz w:val="24"/>
          <w:szCs w:val="24"/>
        </w:rPr>
      </w:pPr>
    </w:p>
    <w:p w14:paraId="709E5FFA" w14:textId="3153327B" w:rsidR="009A7B38" w:rsidRPr="00EA04C9" w:rsidRDefault="009A7B38" w:rsidP="009A7B38">
      <w:pPr>
        <w:pStyle w:val="Heading2"/>
        <w:rPr>
          <w:rFonts w:ascii="Times New Roman" w:hAnsi="Times New Roman" w:cs="Times New Roman"/>
          <w:sz w:val="24"/>
          <w:szCs w:val="24"/>
        </w:rPr>
      </w:pPr>
      <w:bookmarkStart w:id="25" w:name="_Toc229943333"/>
      <w:r w:rsidRPr="00EA04C9">
        <w:rPr>
          <w:rFonts w:ascii="Times New Roman" w:hAnsi="Times New Roman" w:cs="Times New Roman"/>
          <w:sz w:val="24"/>
          <w:szCs w:val="24"/>
        </w:rPr>
        <w:lastRenderedPageBreak/>
        <w:t>Appendix</w:t>
      </w:r>
      <w:bookmarkEnd w:id="25"/>
      <w:r w:rsidRPr="00EA04C9">
        <w:rPr>
          <w:rFonts w:ascii="Times New Roman" w:hAnsi="Times New Roman" w:cs="Times New Roman"/>
          <w:sz w:val="24"/>
          <w:szCs w:val="24"/>
        </w:rPr>
        <w:t xml:space="preserve"> </w:t>
      </w:r>
    </w:p>
    <w:p w14:paraId="112984BA" w14:textId="7AF1E614" w:rsidR="00924E4D" w:rsidRDefault="000C6080">
      <w:pPr>
        <w:rPr>
          <w:rFonts w:ascii="Times New Roman" w:hAnsi="Times New Roman" w:cs="Times New Roman"/>
          <w:sz w:val="24"/>
          <w:szCs w:val="24"/>
        </w:rPr>
      </w:pPr>
      <w:r w:rsidRPr="000C6080">
        <w:rPr>
          <w:rFonts w:ascii="Times New Roman" w:hAnsi="Times New Roman" w:cs="Times New Roman"/>
          <w:noProof/>
          <w:sz w:val="24"/>
          <w:szCs w:val="24"/>
        </w:rPr>
        <w:drawing>
          <wp:inline distT="0" distB="0" distL="0" distR="0" wp14:anchorId="2D147A23" wp14:editId="6068769B">
            <wp:extent cx="5759450" cy="4600575"/>
            <wp:effectExtent l="0" t="0" r="0" b="9525"/>
            <wp:docPr id="154591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10015" name=""/>
                    <pic:cNvPicPr/>
                  </pic:nvPicPr>
                  <pic:blipFill>
                    <a:blip r:embed="rId53"/>
                    <a:stretch>
                      <a:fillRect/>
                    </a:stretch>
                  </pic:blipFill>
                  <pic:spPr>
                    <a:xfrm>
                      <a:off x="0" y="0"/>
                      <a:ext cx="5759450" cy="4600575"/>
                    </a:xfrm>
                    <a:prstGeom prst="rect">
                      <a:avLst/>
                    </a:prstGeom>
                  </pic:spPr>
                </pic:pic>
              </a:graphicData>
            </a:graphic>
          </wp:inline>
        </w:drawing>
      </w:r>
    </w:p>
    <w:p w14:paraId="12D1FB5F" w14:textId="77777777" w:rsidR="00E83372" w:rsidRDefault="000C6080">
      <w:pPr>
        <w:rPr>
          <w:rFonts w:ascii="Times New Roman" w:hAnsi="Times New Roman" w:cs="Times New Roman"/>
          <w:sz w:val="24"/>
          <w:szCs w:val="24"/>
          <w:highlight w:val="yellow"/>
        </w:rPr>
      </w:pPr>
      <w:r w:rsidRPr="00E83372">
        <w:rPr>
          <w:rStyle w:val="FigurethesisChar"/>
          <w:highlight w:val="yellow"/>
        </w:rPr>
        <w:t>Figure A1. Empirical distributions of panel variables: kernel density estimates with histogram overlays, 2021–2024.</w:t>
      </w:r>
    </w:p>
    <w:p w14:paraId="0088A710" w14:textId="77777777" w:rsidR="00E83372" w:rsidRDefault="000C6080">
      <w:pPr>
        <w:rPr>
          <w:rStyle w:val="fig3thesisChar"/>
          <w:highlight w:val="yellow"/>
        </w:rPr>
      </w:pPr>
      <w:r w:rsidRPr="00E83372">
        <w:rPr>
          <w:rStyle w:val="fig3thesisChar"/>
          <w:highlight w:val="yellow"/>
        </w:rPr>
        <w:t>Filed to: see individual variable units  EUR/hour (real_wage), EUR/employee (productivity), EUR per capita (gdp), percentage of enterprises (ai_adoption, spec_ict, training_ict, FSI), percentage of employed (share_high_skill, tert_edu), percent (unempl_r, infl_r).</w:t>
      </w:r>
    </w:p>
    <w:p w14:paraId="450702D4" w14:textId="042452C9" w:rsidR="000C6080" w:rsidRDefault="000C6080">
      <w:pPr>
        <w:rPr>
          <w:rFonts w:ascii="Times New Roman" w:hAnsi="Times New Roman" w:cs="Times New Roman"/>
          <w:sz w:val="24"/>
          <w:szCs w:val="24"/>
        </w:rPr>
      </w:pPr>
      <w:r w:rsidRPr="00E83372">
        <w:rPr>
          <w:rStyle w:val="fig3thesisChar"/>
          <w:highlight w:val="yellow"/>
        </w:rPr>
        <w:t>Source: own study based on Eurostat enterprise and labour market surveys (isoc_eb_ain2, isoc_ske_itspen2, isoc_ske_ittn2, nama_10_a64_e, sbs_sc_ovw, lfs, tps00203, tec00118, nama_10_pc), 2021–2024.</w:t>
      </w:r>
    </w:p>
    <w:p w14:paraId="76366236" w14:textId="6E7FDB57" w:rsidR="000C6080" w:rsidRPr="00EA04C9" w:rsidRDefault="009D47B2">
      <w:pPr>
        <w:rPr>
          <w:rFonts w:ascii="Times New Roman" w:hAnsi="Times New Roman" w:cs="Times New Roman"/>
          <w:sz w:val="24"/>
          <w:szCs w:val="24"/>
        </w:rPr>
      </w:pPr>
      <w:r w:rsidRPr="009D47B2">
        <w:rPr>
          <w:rFonts w:ascii="Times New Roman" w:hAnsi="Times New Roman" w:cs="Times New Roman"/>
          <w:noProof/>
          <w:sz w:val="24"/>
          <w:szCs w:val="24"/>
        </w:rPr>
        <w:lastRenderedPageBreak/>
        <w:drawing>
          <wp:inline distT="0" distB="0" distL="0" distR="0" wp14:anchorId="3A0E7C56" wp14:editId="4F9EF790">
            <wp:extent cx="5759450" cy="4013835"/>
            <wp:effectExtent l="0" t="0" r="0" b="5715"/>
            <wp:docPr id="91407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4583" name=""/>
                    <pic:cNvPicPr/>
                  </pic:nvPicPr>
                  <pic:blipFill>
                    <a:blip r:embed="rId54"/>
                    <a:stretch>
                      <a:fillRect/>
                    </a:stretch>
                  </pic:blipFill>
                  <pic:spPr>
                    <a:xfrm>
                      <a:off x="0" y="0"/>
                      <a:ext cx="5759450" cy="4013835"/>
                    </a:xfrm>
                    <a:prstGeom prst="rect">
                      <a:avLst/>
                    </a:prstGeom>
                  </pic:spPr>
                </pic:pic>
              </a:graphicData>
            </a:graphic>
          </wp:inline>
        </w:drawing>
      </w:r>
    </w:p>
    <w:p w14:paraId="72D0FC1A" w14:textId="77777777" w:rsidR="00455DC8" w:rsidRDefault="009D47B2">
      <w:pPr>
        <w:rPr>
          <w:rFonts w:ascii="Times New Roman" w:hAnsi="Times New Roman" w:cs="Times New Roman"/>
          <w:sz w:val="24"/>
          <w:szCs w:val="24"/>
          <w:highlight w:val="yellow"/>
        </w:rPr>
      </w:pPr>
      <w:r w:rsidRPr="00455DC8">
        <w:rPr>
          <w:rStyle w:val="FigurethesisChar"/>
          <w:highlight w:val="yellow"/>
        </w:rPr>
        <w:t>Figure A2. Distribution and evolution of core variables by sector in the years 2021–2024.</w:t>
      </w:r>
      <w:r w:rsidRPr="00455DC8">
        <w:rPr>
          <w:rStyle w:val="FigurethesisChar"/>
          <w:highlight w:val="yellow"/>
        </w:rPr>
        <w:br/>
        <w:t>Filed to: AI adoption, ICT specialists, and ICT training – percentage of enterprises; real wages – EUR per hour.</w:t>
      </w:r>
    </w:p>
    <w:p w14:paraId="3C9D88A2" w14:textId="5DF09D57" w:rsidR="009D47B2" w:rsidRDefault="009D47B2">
      <w:pPr>
        <w:rPr>
          <w:rFonts w:ascii="Times New Roman" w:hAnsi="Times New Roman" w:cs="Times New Roman"/>
          <w:sz w:val="24"/>
          <w:szCs w:val="24"/>
        </w:rPr>
      </w:pPr>
      <w:r w:rsidRPr="00455DC8">
        <w:rPr>
          <w:rStyle w:val="fig3thesisChar"/>
          <w:highlight w:val="yellow"/>
        </w:rPr>
        <w:t>Source: own study based on Eurostat enterprise and labour market surveys (isoc_eb_ain2, isoc_ske_itspen2, isoc_ske_ittn2, nama_10_a64_e), 2021–2024</w:t>
      </w:r>
    </w:p>
    <w:p w14:paraId="19F87FFF" w14:textId="07A58E7C" w:rsidR="00935144" w:rsidRPr="00EA04C9" w:rsidRDefault="002F1C77" w:rsidP="00935144">
      <w:pPr>
        <w:jc w:val="both"/>
        <w:rPr>
          <w:rFonts w:ascii="Times New Roman" w:hAnsi="Times New Roman" w:cs="Times New Roman"/>
          <w:sz w:val="24"/>
          <w:szCs w:val="24"/>
        </w:rPr>
      </w:pPr>
      <w:r w:rsidRPr="002F1C77">
        <w:rPr>
          <w:rFonts w:ascii="Times New Roman" w:hAnsi="Times New Roman" w:cs="Times New Roman"/>
          <w:b/>
          <w:bCs/>
          <w:sz w:val="24"/>
          <w:szCs w:val="24"/>
        </w:rPr>
        <w:t>Table A3.</w:t>
      </w:r>
      <w:r w:rsidRPr="002F1C77">
        <w:rPr>
          <w:rFonts w:ascii="Times New Roman" w:hAnsi="Times New Roman" w:cs="Times New Roman"/>
          <w:sz w:val="24"/>
          <w:szCs w:val="24"/>
        </w:rPr>
        <w:t> Outliers in AI adoption and ICT capacity by sector, identified using conditional IQR bounds, 2021–2024.</w:t>
      </w:r>
    </w:p>
    <w:tbl>
      <w:tblPr>
        <w:tblStyle w:val="TableGrid"/>
        <w:tblW w:w="9067" w:type="dxa"/>
        <w:tblLook w:val="04A0" w:firstRow="1" w:lastRow="0" w:firstColumn="1" w:lastColumn="0" w:noHBand="0" w:noVBand="1"/>
      </w:tblPr>
      <w:tblGrid>
        <w:gridCol w:w="1271"/>
        <w:gridCol w:w="1276"/>
        <w:gridCol w:w="1843"/>
        <w:gridCol w:w="3402"/>
        <w:gridCol w:w="1275"/>
      </w:tblGrid>
      <w:tr w:rsidR="00935144" w:rsidRPr="00EA04C9" w14:paraId="09B83DF4" w14:textId="77777777" w:rsidTr="00CE126F">
        <w:tc>
          <w:tcPr>
            <w:tcW w:w="1271" w:type="dxa"/>
          </w:tcPr>
          <w:p w14:paraId="6D530864"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Variable</w:t>
            </w:r>
          </w:p>
        </w:tc>
        <w:tc>
          <w:tcPr>
            <w:tcW w:w="1276" w:type="dxa"/>
          </w:tcPr>
          <w:p w14:paraId="2575CB5B"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Sector</w:t>
            </w:r>
          </w:p>
        </w:tc>
        <w:tc>
          <w:tcPr>
            <w:tcW w:w="1843" w:type="dxa"/>
          </w:tcPr>
          <w:p w14:paraId="3307329C"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Min-Max bounds</w:t>
            </w:r>
          </w:p>
        </w:tc>
        <w:tc>
          <w:tcPr>
            <w:tcW w:w="3402" w:type="dxa"/>
          </w:tcPr>
          <w:p w14:paraId="362D4844"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Flagged Outlier Countries</w:t>
            </w:r>
          </w:p>
        </w:tc>
        <w:tc>
          <w:tcPr>
            <w:tcW w:w="1275" w:type="dxa"/>
          </w:tcPr>
          <w:p w14:paraId="023A1806"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Nature of Outlier</w:t>
            </w:r>
          </w:p>
        </w:tc>
      </w:tr>
      <w:tr w:rsidR="00935144" w:rsidRPr="00EA04C9" w14:paraId="4D866068" w14:textId="77777777" w:rsidTr="00CE126F">
        <w:tc>
          <w:tcPr>
            <w:tcW w:w="1271" w:type="dxa"/>
          </w:tcPr>
          <w:p w14:paraId="7C2D6DB7"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AI adoption</w:t>
            </w:r>
          </w:p>
        </w:tc>
        <w:tc>
          <w:tcPr>
            <w:tcW w:w="1276" w:type="dxa"/>
          </w:tcPr>
          <w:p w14:paraId="75D6FF87"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C, G, H, J, N</w:t>
            </w:r>
          </w:p>
        </w:tc>
        <w:tc>
          <w:tcPr>
            <w:tcW w:w="1843" w:type="dxa"/>
          </w:tcPr>
          <w:p w14:paraId="5415CAEA" w14:textId="77777777" w:rsidR="00935144" w:rsidRPr="00EA04C9" w:rsidRDefault="00935144" w:rsidP="00CE126F">
            <w:pPr>
              <w:jc w:val="center"/>
              <w:rPr>
                <w:rFonts w:ascii="Times New Roman" w:hAnsi="Times New Roman" w:cs="Times New Roman"/>
                <w:sz w:val="24"/>
                <w:szCs w:val="24"/>
              </w:rPr>
            </w:pPr>
            <w:r w:rsidRPr="00EA04C9">
              <w:rPr>
                <w:rFonts w:ascii="Times New Roman" w:hAnsi="Times New Roman" w:cs="Times New Roman"/>
                <w:sz w:val="24"/>
                <w:szCs w:val="24"/>
              </w:rPr>
              <w:t>-5.34% to 52.50%</w:t>
            </w:r>
          </w:p>
        </w:tc>
        <w:tc>
          <w:tcPr>
            <w:tcW w:w="3402" w:type="dxa"/>
          </w:tcPr>
          <w:p w14:paraId="631649FF"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Denmark (DK), Norway (NO), Belgium (BE)</w:t>
            </w:r>
          </w:p>
        </w:tc>
        <w:tc>
          <w:tcPr>
            <w:tcW w:w="1275" w:type="dxa"/>
          </w:tcPr>
          <w:p w14:paraId="6921B76B"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935144" w:rsidRPr="00EA04C9" w14:paraId="708F1494" w14:textId="77777777" w:rsidTr="00CE126F">
        <w:tc>
          <w:tcPr>
            <w:tcW w:w="1271" w:type="dxa"/>
          </w:tcPr>
          <w:p w14:paraId="372D5C22"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ICT Specialists</w:t>
            </w:r>
          </w:p>
        </w:tc>
        <w:tc>
          <w:tcPr>
            <w:tcW w:w="1276" w:type="dxa"/>
          </w:tcPr>
          <w:p w14:paraId="623462D6"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 H, I, N</w:t>
            </w:r>
          </w:p>
        </w:tc>
        <w:tc>
          <w:tcPr>
            <w:tcW w:w="1843" w:type="dxa"/>
          </w:tcPr>
          <w:p w14:paraId="0EC08775" w14:textId="77777777" w:rsidR="00935144" w:rsidRPr="00EA04C9" w:rsidRDefault="00935144" w:rsidP="00CE126F">
            <w:pPr>
              <w:jc w:val="center"/>
              <w:rPr>
                <w:rFonts w:ascii="Times New Roman" w:hAnsi="Times New Roman" w:cs="Times New Roman"/>
                <w:sz w:val="24"/>
                <w:szCs w:val="24"/>
              </w:rPr>
            </w:pPr>
            <w:r w:rsidRPr="00EA04C9">
              <w:rPr>
                <w:rFonts w:ascii="Times New Roman" w:hAnsi="Times New Roman" w:cs="Times New Roman"/>
                <w:sz w:val="24"/>
                <w:szCs w:val="24"/>
              </w:rPr>
              <w:t>-4.91% to 43.84%</w:t>
            </w:r>
          </w:p>
        </w:tc>
        <w:tc>
          <w:tcPr>
            <w:tcW w:w="3402" w:type="dxa"/>
          </w:tcPr>
          <w:p w14:paraId="0B195392"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Cyprus (CY), Hungary (HU), Denmark (DK), Poland (PL), Ireland (IE)</w:t>
            </w:r>
          </w:p>
        </w:tc>
        <w:tc>
          <w:tcPr>
            <w:tcW w:w="1275" w:type="dxa"/>
          </w:tcPr>
          <w:p w14:paraId="65A7C720"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935144" w:rsidRPr="00EA04C9" w14:paraId="1A4B720B" w14:textId="77777777" w:rsidTr="00CE126F">
        <w:tc>
          <w:tcPr>
            <w:tcW w:w="1271" w:type="dxa"/>
          </w:tcPr>
          <w:p w14:paraId="3C155891"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1276" w:type="dxa"/>
          </w:tcPr>
          <w:p w14:paraId="19F3949C"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G, H, I</w:t>
            </w:r>
          </w:p>
        </w:tc>
        <w:tc>
          <w:tcPr>
            <w:tcW w:w="1843" w:type="dxa"/>
          </w:tcPr>
          <w:p w14:paraId="3098E7A9" w14:textId="77777777" w:rsidR="00935144" w:rsidRPr="00EA04C9" w:rsidRDefault="00935144" w:rsidP="00CE126F">
            <w:pPr>
              <w:jc w:val="center"/>
              <w:rPr>
                <w:rFonts w:ascii="Times New Roman" w:hAnsi="Times New Roman" w:cs="Times New Roman"/>
                <w:spacing w:val="-6"/>
                <w:sz w:val="24"/>
                <w:szCs w:val="24"/>
              </w:rPr>
            </w:pPr>
            <w:r w:rsidRPr="00EA04C9">
              <w:rPr>
                <w:rFonts w:ascii="Times New Roman" w:hAnsi="Times New Roman" w:cs="Times New Roman"/>
                <w:spacing w:val="-6"/>
                <w:sz w:val="24"/>
                <w:szCs w:val="24"/>
              </w:rPr>
              <w:br/>
              <w:t>-0.91% to 41.08%</w:t>
            </w:r>
          </w:p>
          <w:p w14:paraId="74FC00B4" w14:textId="77777777" w:rsidR="00935144" w:rsidRPr="00EA04C9" w:rsidRDefault="00935144" w:rsidP="00CE126F">
            <w:pPr>
              <w:jc w:val="center"/>
              <w:rPr>
                <w:rFonts w:ascii="Times New Roman" w:hAnsi="Times New Roman" w:cs="Times New Roman"/>
                <w:sz w:val="24"/>
                <w:szCs w:val="24"/>
              </w:rPr>
            </w:pPr>
          </w:p>
        </w:tc>
        <w:tc>
          <w:tcPr>
            <w:tcW w:w="3402" w:type="dxa"/>
          </w:tcPr>
          <w:p w14:paraId="02B3F015"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Finland (FI), Sweden (SE), Cyprus (CY), Poland (PL)</w:t>
            </w:r>
            <w:r w:rsidRPr="00EA04C9">
              <w:rPr>
                <w:rFonts w:ascii="Times New Roman" w:hAnsi="Times New Roman" w:cs="Times New Roman"/>
                <w:sz w:val="24"/>
                <w:szCs w:val="24"/>
              </w:rPr>
              <w:br/>
            </w:r>
            <w:r w:rsidRPr="00EA04C9">
              <w:rPr>
                <w:rFonts w:ascii="Times New Roman" w:hAnsi="Times New Roman" w:cs="Times New Roman"/>
                <w:sz w:val="24"/>
                <w:szCs w:val="24"/>
              </w:rPr>
              <w:br/>
              <w:t>France (FR)</w:t>
            </w:r>
          </w:p>
        </w:tc>
        <w:tc>
          <w:tcPr>
            <w:tcW w:w="1275" w:type="dxa"/>
          </w:tcPr>
          <w:p w14:paraId="4C0DFE51"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p w14:paraId="4FE2351B" w14:textId="77777777" w:rsidR="00935144" w:rsidRPr="00EA04C9" w:rsidRDefault="00935144" w:rsidP="00CE126F">
            <w:pPr>
              <w:jc w:val="both"/>
              <w:rPr>
                <w:rFonts w:ascii="Times New Roman" w:hAnsi="Times New Roman" w:cs="Times New Roman"/>
                <w:sz w:val="24"/>
                <w:szCs w:val="24"/>
                <w:highlight w:val="yellow"/>
              </w:rPr>
            </w:pPr>
          </w:p>
          <w:p w14:paraId="341C28D2" w14:textId="77777777" w:rsidR="00935144" w:rsidRPr="00EA04C9" w:rsidRDefault="00935144" w:rsidP="00CE126F">
            <w:pPr>
              <w:jc w:val="both"/>
              <w:rPr>
                <w:rFonts w:ascii="Times New Roman" w:hAnsi="Times New Roman" w:cs="Times New Roman"/>
                <w:sz w:val="24"/>
                <w:szCs w:val="24"/>
                <w:highlight w:val="yellow"/>
              </w:rPr>
            </w:pPr>
          </w:p>
          <w:p w14:paraId="3756DC3A"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Low</w:t>
            </w:r>
          </w:p>
        </w:tc>
      </w:tr>
    </w:tbl>
    <w:p w14:paraId="56848B18" w14:textId="77777777" w:rsidR="009D47B2" w:rsidRDefault="009D47B2">
      <w:pPr>
        <w:rPr>
          <w:rFonts w:ascii="Times New Roman" w:hAnsi="Times New Roman" w:cs="Times New Roman"/>
          <w:sz w:val="24"/>
          <w:szCs w:val="24"/>
        </w:rPr>
      </w:pPr>
    </w:p>
    <w:p w14:paraId="00C15FBB" w14:textId="77777777" w:rsidR="008953E4" w:rsidRDefault="008953E4" w:rsidP="008953E4">
      <w:pPr>
        <w:rPr>
          <w:rFonts w:ascii="Times New Roman" w:hAnsi="Times New Roman" w:cs="Times New Roman"/>
          <w:sz w:val="24"/>
          <w:szCs w:val="24"/>
        </w:rPr>
      </w:pPr>
      <w:r w:rsidRPr="001130EB">
        <w:rPr>
          <w:rFonts w:ascii="Times New Roman" w:hAnsi="Times New Roman" w:cs="Times New Roman"/>
          <w:sz w:val="24"/>
          <w:szCs w:val="24"/>
          <w:highlight w:val="yellow"/>
        </w:rPr>
        <w:t>Source: own study based on Eurostat enterprise and labour market surveys: isoc_eb_ain2, isoc_ske_itspen2, isoc_ske_ittn2, nama_10_a64_e, sbs_sc_ovw, lfsa_eisn2, edat_lfs_9910, tps00203, tec00118, nama_10_pc, 2021–2024.</w:t>
      </w:r>
    </w:p>
    <w:p w14:paraId="4DBB75A6" w14:textId="77777777" w:rsidR="009D47B2" w:rsidRDefault="009D47B2">
      <w:pPr>
        <w:rPr>
          <w:rFonts w:ascii="Times New Roman" w:hAnsi="Times New Roman" w:cs="Times New Roman"/>
          <w:sz w:val="24"/>
          <w:szCs w:val="24"/>
        </w:rPr>
      </w:pPr>
    </w:p>
    <w:p w14:paraId="095CA45E" w14:textId="5C642D7F" w:rsidR="00CE2656" w:rsidRPr="00090A8C" w:rsidRDefault="00283EC9">
      <w:pPr>
        <w:sectPr w:rsidR="00CE2656" w:rsidRPr="00090A8C" w:rsidSect="00AB7912">
          <w:footerReference w:type="default" r:id="rId55"/>
          <w:pgSz w:w="11906" w:h="16838"/>
          <w:pgMar w:top="1418" w:right="1418" w:bottom="1418" w:left="1418" w:header="709" w:footer="709" w:gutter="0"/>
          <w:cols w:space="708"/>
          <w:docGrid w:linePitch="360"/>
        </w:sectPr>
      </w:pPr>
      <w:r w:rsidRPr="00EA04C9">
        <w:rPr>
          <w:rFonts w:ascii="Times New Roman" w:hAnsi="Times New Roman" w:cs="Times New Roman"/>
          <w:sz w:val="24"/>
          <w:szCs w:val="24"/>
        </w:rPr>
        <w:lastRenderedPageBreak/>
        <w:t>https://ec.europa.eu/eurostat/documents/3859598/5902521/KS-RA</w:t>
      </w:r>
      <w:r w:rsidRPr="00283EC9">
        <w:t>-07-015-EN.PDF</w:t>
      </w:r>
    </w:p>
    <w:p w14:paraId="73405092" w14:textId="055FE9D4" w:rsidR="006E0EB6" w:rsidRPr="006E0EB6" w:rsidRDefault="008257B3" w:rsidP="006E0EB6">
      <w:pPr>
        <w:pStyle w:val="Heading2"/>
      </w:pPr>
      <w:bookmarkStart w:id="26" w:name="_Toc229943334"/>
      <w:r w:rsidRPr="0006314B">
        <w:lastRenderedPageBreak/>
        <w:t xml:space="preserve">2021 </w:t>
      </w:r>
      <w:r w:rsidR="00FC001F">
        <w:t xml:space="preserve">year – </w:t>
      </w:r>
      <w:r w:rsidRPr="0006314B">
        <w:t>cross-sectional</w:t>
      </w:r>
      <w:bookmarkEnd w:id="26"/>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bookmarkStart w:id="27" w:name="_Toc229943335"/>
      <w:r>
        <w:t>2022 year – cross-sectional</w:t>
      </w:r>
      <w:bookmarkEnd w:id="27"/>
      <w:r>
        <w:t xml:space="preserve">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7E7B954" w:rsidR="00FF6378" w:rsidRDefault="00FF6378" w:rsidP="00FF6378">
      <w:pPr>
        <w:pStyle w:val="Heading2"/>
      </w:pPr>
      <w:bookmarkStart w:id="28" w:name="_Toc229943336"/>
      <w:r>
        <w:t>2023</w:t>
      </w:r>
      <w:r w:rsidR="00FC001F">
        <w:t xml:space="preserve"> year</w:t>
      </w:r>
      <w:r>
        <w:t xml:space="preserve"> – cross-sectional</w:t>
      </w:r>
      <w:bookmarkEnd w:id="28"/>
      <w:r>
        <w:t xml:space="preserve">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bookmarkStart w:id="29" w:name="_Toc229943337"/>
      <w:r>
        <w:lastRenderedPageBreak/>
        <w:t>2024 year – cross-sectional</w:t>
      </w:r>
      <w:bookmarkEnd w:id="29"/>
      <w:r>
        <w:t xml:space="preserve">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0688AF8A"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3280F4D5" w14:textId="500DFC2F" w:rsidR="00E020C5" w:rsidRDefault="00E020C5" w:rsidP="00E020C5">
      <w:pPr>
        <w:pStyle w:val="Heading2"/>
        <w:rPr>
          <w:rFonts w:eastAsia="Times New Roman"/>
          <w:lang w:eastAsia="en-GB"/>
        </w:rPr>
      </w:pPr>
      <w:bookmarkStart w:id="30" w:name="_Toc229943338"/>
      <w:r>
        <w:rPr>
          <w:rFonts w:eastAsia="Times New Roman"/>
          <w:lang w:eastAsia="en-GB"/>
        </w:rPr>
        <w:t>Panel, wage level, ICT specialist</w:t>
      </w:r>
      <w:bookmarkEnd w:id="30"/>
      <w:r>
        <w:rPr>
          <w:rFonts w:eastAsia="Times New Roman"/>
          <w:lang w:eastAsia="en-GB"/>
        </w:rPr>
        <w:t xml:space="preserve">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0A62BF2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 OLS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Between </w:t>
      </w:r>
      <w:r w:rsidR="00D810F2">
        <w:rPr>
          <w:rFonts w:ascii="Consolas" w:eastAsia="Times New Roman" w:hAnsi="Consolas" w:cs="Times New Roman"/>
          <w:color w:val="000000" w:themeColor="text1"/>
          <w:kern w:val="0"/>
          <w:sz w:val="21"/>
          <w:szCs w:val="21"/>
          <w:lang w:eastAsia="en-GB"/>
          <w14:ligatures w14:val="none"/>
        </w:rPr>
        <w:t>OLS</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Random Effects</w:t>
      </w:r>
      <w:r w:rsidR="00D810F2">
        <w:rPr>
          <w:rFonts w:ascii="Consolas" w:eastAsia="Times New Roman" w:hAnsi="Consolas" w:cs="Times New Roman"/>
          <w:color w:val="000000" w:themeColor="text1"/>
          <w:kern w:val="0"/>
          <w:sz w:val="21"/>
          <w:szCs w:val="21"/>
          <w:lang w:eastAsia="en-GB"/>
          <w14:ligatures w14:val="none"/>
        </w:rPr>
        <w:t xml:space="preserve"> | </w:t>
      </w:r>
      <w:r w:rsidRPr="00082679">
        <w:rPr>
          <w:rFonts w:ascii="Consolas" w:eastAsia="Times New Roman" w:hAnsi="Consolas" w:cs="Times New Roman"/>
          <w:color w:val="000000" w:themeColor="text1"/>
          <w:kern w:val="0"/>
          <w:sz w:val="21"/>
          <w:szCs w:val="21"/>
          <w:highlight w:val="yellow"/>
          <w:lang w:eastAsia="en-GB"/>
          <w14:ligatures w14:val="none"/>
        </w:rPr>
        <w:t>Fixed Effects full</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Fixed Effect cross-sect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First Dif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51BF743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log_real_wage     log_real_wage     log_real_wage      log_real_wage     log_real_wage   log_real_wage</w:t>
      </w:r>
    </w:p>
    <w:p w14:paraId="6401567F" w14:textId="4C67168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PooledOLS    BetweenOLS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RandomEffects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PanelOLS     PanelOLS     FirstDifferenceOLS</w:t>
      </w:r>
    </w:p>
    <w:p w14:paraId="226043DE" w14:textId="470113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No. Observatio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536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134               536                536             536                    402</w:t>
      </w:r>
    </w:p>
    <w:p w14:paraId="62186D8B" w14:textId="15664B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Unadjusted          Clustered       Clustered      </w:t>
      </w:r>
      <w:r w:rsidR="0080577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Unadjusted</w:t>
      </w:r>
    </w:p>
    <w:p w14:paraId="5E2F5BCA" w14:textId="21FD12F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0.7552            0.8186            0.2457             0.2265         0.0868                 0.1081</w:t>
      </w:r>
    </w:p>
    <w:p w14:paraId="59E13C9B" w14:textId="369560B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(Within)  -6.0826          -16.136          -0.0891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-0.0456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0.0868                 0.0380</w:t>
      </w:r>
    </w:p>
    <w:p w14:paraId="30DEF98D" w14:textId="1E8B529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42A0F6D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5DD1E28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F-statistic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272.05            95.537            28.718             19.184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6.2728                 8.0028</w:t>
      </w:r>
    </w:p>
    <w:p w14:paraId="4F058114" w14:textId="57E0195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P-value (F-stat)   0.0000            0.0000            0.0000             0.0000  </w:t>
      </w:r>
      <w:r w:rsidR="00EE39B8">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   ===============   ===============    ===============         ===============   </w:t>
      </w:r>
    </w:p>
    <w:p w14:paraId="278BF978" w14:textId="2912692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2.4310                       </w:t>
      </w:r>
    </w:p>
    <w:p w14:paraId="3FEE4051" w14:textId="7765E87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(-1.3005)         (-1.5440)         (14.426)           (6.3853)    (14.260)                       </w:t>
      </w:r>
    </w:p>
    <w:p w14:paraId="32264775" w14:textId="0DF3C04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ai_adoption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0.0263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0.0546</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Pr="00082679">
        <w:rPr>
          <w:rFonts w:ascii="Consolas" w:eastAsia="Times New Roman" w:hAnsi="Consolas" w:cs="Times New Roman"/>
          <w:color w:val="000000" w:themeColor="text1"/>
          <w:kern w:val="0"/>
          <w:sz w:val="21"/>
          <w:szCs w:val="21"/>
          <w:highlight w:val="yellow"/>
          <w:lang w:eastAsia="en-GB"/>
          <w14:ligatures w14:val="none"/>
        </w:rPr>
        <w:t>-0.0030</w:t>
      </w:r>
      <w:r w:rsidR="00034892" w:rsidRPr="00082679">
        <w:rPr>
          <w:rFonts w:ascii="Consolas" w:eastAsia="Times New Roman" w:hAnsi="Consolas" w:cs="Times New Roman"/>
          <w:color w:val="000000" w:themeColor="text1"/>
          <w:kern w:val="0"/>
          <w:sz w:val="21"/>
          <w:szCs w:val="21"/>
          <w:highlight w:val="yellow"/>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00B2580E">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0.0041</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019019CA" w14:textId="180D741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(3.8257)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(5.9068)         </w:t>
      </w:r>
      <w:r w:rsidR="00DE76E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(0.2983)         (-2.1113)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(0.3716)           (4.0824)</w:t>
      </w:r>
    </w:p>
    <w:p w14:paraId="103A1C66" w14:textId="6374B0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-0.0098</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-0.0010           -0.0011      -0.0036</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006E4945" w:rsidRPr="00E020C5">
        <w:rPr>
          <w:rFonts w:ascii="Consolas" w:eastAsia="Times New Roman" w:hAnsi="Consolas" w:cs="Times New Roman"/>
          <w:color w:val="000000" w:themeColor="text1"/>
          <w:kern w:val="0"/>
          <w:sz w:val="21"/>
          <w:szCs w:val="21"/>
          <w:lang w:eastAsia="en-GB"/>
          <w14:ligatures w14:val="none"/>
        </w:rPr>
        <w:t>-0.0032</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20602982" w14:textId="2AA29EA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6E4945">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(-2.0186)         (-2.9761)         (-0.7270)         (-0.5761)    (-1.7717)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(-2.2916)</w:t>
      </w:r>
    </w:p>
    <w:p w14:paraId="242524E6" w14:textId="1E75E03A"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ai_x_ict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-0.0002</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-0.0004</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-6.83e-06          </w:t>
      </w:r>
      <w:r w:rsidRPr="00082679">
        <w:rPr>
          <w:rFonts w:ascii="Consolas" w:eastAsia="Times New Roman" w:hAnsi="Consolas" w:cs="Times New Roman"/>
          <w:color w:val="000000" w:themeColor="text1"/>
          <w:kern w:val="0"/>
          <w:sz w:val="21"/>
          <w:szCs w:val="21"/>
          <w:highlight w:val="yellow"/>
          <w:lang w:eastAsia="en-GB"/>
          <w14:ligatures w14:val="none"/>
        </w:rPr>
        <w:t>2.864e-05</w:t>
      </w:r>
      <w:r w:rsidRPr="00E020C5">
        <w:rPr>
          <w:rFonts w:ascii="Consolas" w:eastAsia="Times New Roman" w:hAnsi="Consolas" w:cs="Times New Roman"/>
          <w:color w:val="000000" w:themeColor="text1"/>
          <w:kern w:val="0"/>
          <w:sz w:val="21"/>
          <w:szCs w:val="21"/>
          <w:lang w:eastAsia="en-GB"/>
          <w14:ligatures w14:val="none"/>
        </w:rPr>
        <w:t xml:space="preserve">   -1.111e-06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-3.192e-05</w:t>
      </w:r>
      <w:r w:rsidR="00DC1D75">
        <w:rPr>
          <w:rFonts w:ascii="Consolas" w:eastAsia="Times New Roman" w:hAnsi="Consolas" w:cs="Times New Roman"/>
          <w:color w:val="000000" w:themeColor="text1"/>
          <w:kern w:val="0"/>
          <w:sz w:val="21"/>
          <w:szCs w:val="21"/>
          <w:lang w:eastAsia="en-GB"/>
          <w14:ligatures w14:val="none"/>
        </w:rPr>
        <w:t>**</w:t>
      </w:r>
    </w:p>
    <w:p w14:paraId="40056462" w14:textId="4E1A01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(-0.3311)          (1.4898)    (-0.0654)          (-2.1034)</w:t>
      </w:r>
    </w:p>
    <w:p w14:paraId="29E8D71C" w14:textId="2529A10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0.6673</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0.2195</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0.2247</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0.0753</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0.0085</w:t>
      </w:r>
    </w:p>
    <w:p w14:paraId="649124B0" w14:textId="5876BD6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(8.0173)         (13.453)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(8.8005)          (3.6923)     (2.0540)           (0.3776)</w:t>
      </w:r>
    </w:p>
    <w:p w14:paraId="2F3953C6" w14:textId="59DE2EB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FSI              </w:t>
      </w:r>
      <w:r w:rsidR="00034CC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-0.0002           -0.0018            0.0019           -0.0019      -0.0041</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-0.0030</w:t>
      </w:r>
      <w:r w:rsidR="00DC1D75">
        <w:rPr>
          <w:rFonts w:ascii="Consolas" w:eastAsia="Times New Roman" w:hAnsi="Consolas" w:cs="Times New Roman"/>
          <w:color w:val="000000" w:themeColor="text1"/>
          <w:kern w:val="0"/>
          <w:sz w:val="21"/>
          <w:szCs w:val="21"/>
          <w:lang w:eastAsia="en-GB"/>
          <w14:ligatures w14:val="none"/>
        </w:rPr>
        <w:t>**</w:t>
      </w:r>
    </w:p>
    <w:p w14:paraId="454F929E" w14:textId="5EE9A5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2AC6FBD6" w:rsidR="00E020C5" w:rsidRPr="00034892" w:rsidRDefault="00E020C5" w:rsidP="00034892">
      <w:pPr>
        <w:spacing w:after="0" w:line="240" w:lineRule="auto"/>
        <w:rPr>
          <w:rFonts w:ascii="Consolas" w:eastAsia="Times New Roman" w:hAnsi="Consolas" w:cs="Times New Roman"/>
          <w:color w:val="000000" w:themeColor="text1"/>
          <w:kern w:val="0"/>
          <w:sz w:val="21"/>
          <w:szCs w:val="21"/>
          <w:lang w:eastAsia="en-GB"/>
          <w14:ligatures w14:val="none"/>
        </w:rPr>
      </w:pPr>
      <w:r w:rsidRPr="00034892">
        <w:rPr>
          <w:rFonts w:ascii="Consolas" w:eastAsia="Times New Roman" w:hAnsi="Consolas" w:cs="Times New Roman"/>
          <w:color w:val="000000" w:themeColor="text1"/>
          <w:kern w:val="0"/>
          <w:sz w:val="21"/>
          <w:szCs w:val="21"/>
          <w:lang w:eastAsia="en-GB"/>
          <w14:ligatures w14:val="none"/>
        </w:rPr>
        <w:t xml:space="preserve">share_high_skill  </w:t>
      </w:r>
      <w:r w:rsidR="00834420">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 xml:space="preserve">0.0048            0.0037            0.0066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0.0035</w:t>
      </w:r>
      <w:r w:rsidR="00034892" w:rsidRP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0.0038</w:t>
      </w:r>
      <w:r w:rsid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0.0027</w:t>
      </w:r>
      <w:r w:rsidR="00DC1D75">
        <w:rPr>
          <w:rFonts w:ascii="Consolas" w:eastAsia="Times New Roman" w:hAnsi="Consolas" w:cs="Times New Roman"/>
          <w:color w:val="000000" w:themeColor="text1"/>
          <w:kern w:val="0"/>
          <w:sz w:val="21"/>
          <w:szCs w:val="21"/>
          <w:lang w:eastAsia="en-GB"/>
          <w14:ligatures w14:val="none"/>
        </w:rPr>
        <w:t>**</w:t>
      </w:r>
    </w:p>
    <w:p w14:paraId="7DED48B4" w14:textId="1D2B9B8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(1.5072)          (1.3176)          (4.8398)      </w:t>
      </w:r>
      <w:r w:rsidR="00EC4E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(1.8007)</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(2.2663)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EC4E83">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(2.0395)</w:t>
      </w:r>
    </w:p>
    <w:p w14:paraId="130B2CAF" w14:textId="3FC95F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2795AE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r w:rsidR="0027451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Entity                       </w:t>
      </w:r>
    </w:p>
    <w:p w14:paraId="4A7F3CE8" w14:textId="615938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3E37B69B" w14:textId="2EA4C29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4C760659" w:rsidR="00344FFA" w:rsidRDefault="00344FFA" w:rsidP="00344FFA">
      <w:pPr>
        <w:pStyle w:val="Heading2"/>
        <w:rPr>
          <w:rFonts w:eastAsia="Times New Roman"/>
          <w:lang w:eastAsia="en-GB"/>
        </w:rPr>
      </w:pPr>
      <w:bookmarkStart w:id="31" w:name="_Toc229943339"/>
      <w:r>
        <w:rPr>
          <w:rFonts w:eastAsia="Times New Roman"/>
          <w:lang w:eastAsia="en-GB"/>
        </w:rPr>
        <w:t>Panel, wage level, ICT training</w:t>
      </w:r>
      <w:bookmarkEnd w:id="31"/>
      <w:r>
        <w:rPr>
          <w:rFonts w:eastAsia="Times New Roman"/>
          <w:lang w:eastAsia="en-GB"/>
        </w:rPr>
        <w:t xml:space="preserve"> </w:t>
      </w:r>
      <w:r w:rsidR="007B538A">
        <w:rPr>
          <w:rFonts w:eastAsia="Times New Roman"/>
          <w:lang w:eastAsia="en-GB"/>
        </w:rPr>
        <w:t xml:space="preserve">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322C9FC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14AA3F59"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Pooled OLS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Between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Random Effects</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Fixed Effects full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Fixed Effect cross-sect </w:t>
      </w:r>
      <w:r w:rsidR="00CA27EF">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First Diff</w:t>
      </w:r>
    </w:p>
    <w:p w14:paraId="3D4755E0" w14:textId="03E1BE30"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211D71F1"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6D473B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00F4965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0112A2C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544D5F1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31D6BFD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1EC5065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5AA7997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R-Squared (Overall)       </w:t>
      </w:r>
      <w:r w:rsidR="00EF374B">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0.7426            0.7091            0.4305             0.4204                  0.1938                 0.0724</w:t>
      </w:r>
    </w:p>
    <w:p w14:paraId="0A7DBC38" w14:textId="0E17DB0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285056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6E1686B8"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7270AB">
        <w:rPr>
          <w:rFonts w:ascii="Consolas" w:eastAsia="Times New Roman" w:hAnsi="Consolas" w:cs="Times New Roman"/>
          <w:color w:val="000000" w:themeColor="text1"/>
          <w:kern w:val="0"/>
          <w:sz w:val="21"/>
          <w:szCs w:val="21"/>
          <w:lang w:eastAsia="en-GB"/>
          <w14:ligatures w14:val="none"/>
        </w:rPr>
        <w:t xml:space="preserve"> </w:t>
      </w:r>
      <w:r w:rsidR="007270AB" w:rsidRPr="00344FFA">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p>
    <w:p w14:paraId="0A19E415" w14:textId="057854B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6B68F9DA"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35D5A76A"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0.0513</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w:t>
      </w:r>
      <w:r w:rsidRPr="00960BD7">
        <w:rPr>
          <w:rFonts w:ascii="Consolas" w:eastAsia="Times New Roman" w:hAnsi="Consolas" w:cs="Times New Roman"/>
          <w:color w:val="000000" w:themeColor="text1"/>
          <w:kern w:val="0"/>
          <w:sz w:val="21"/>
          <w:szCs w:val="21"/>
          <w:lang w:eastAsia="en-GB"/>
          <w14:ligatures w14:val="none"/>
        </w:rPr>
        <w:t xml:space="preserve">0021          </w:t>
      </w:r>
      <w:r w:rsidRPr="00082679">
        <w:rPr>
          <w:rFonts w:ascii="Consolas" w:eastAsia="Times New Roman" w:hAnsi="Consolas" w:cs="Times New Roman"/>
          <w:color w:val="000000" w:themeColor="text1"/>
          <w:kern w:val="0"/>
          <w:sz w:val="21"/>
          <w:szCs w:val="21"/>
          <w:highlight w:val="yellow"/>
          <w:lang w:eastAsia="en-GB"/>
          <w14:ligatures w14:val="none"/>
        </w:rPr>
        <w:t>-0.0006</w:t>
      </w:r>
      <w:r w:rsidRPr="00960BD7">
        <w:rPr>
          <w:rFonts w:ascii="Consolas" w:eastAsia="Times New Roman" w:hAnsi="Consolas" w:cs="Times New Roman"/>
          <w:color w:val="000000" w:themeColor="text1"/>
          <w:kern w:val="0"/>
          <w:sz w:val="21"/>
          <w:szCs w:val="21"/>
          <w:lang w:eastAsia="en-GB"/>
          <w14:ligatures w14:val="none"/>
        </w:rPr>
        <w:t xml:space="preserve">               </w:t>
      </w:r>
      <w:r w:rsidR="007270AB">
        <w:rPr>
          <w:rFonts w:ascii="Consolas" w:eastAsia="Times New Roman" w:hAnsi="Consolas" w:cs="Times New Roman"/>
          <w:color w:val="000000" w:themeColor="text1"/>
          <w:kern w:val="0"/>
          <w:sz w:val="21"/>
          <w:szCs w:val="21"/>
          <w:lang w:eastAsia="en-GB"/>
          <w14:ligatures w14:val="none"/>
        </w:rPr>
        <w:t xml:space="preserve"> </w:t>
      </w:r>
      <w:r w:rsidRPr="00960BD7">
        <w:rPr>
          <w:rFonts w:ascii="Consolas" w:eastAsia="Times New Roman" w:hAnsi="Consolas" w:cs="Times New Roman"/>
          <w:color w:val="000000" w:themeColor="text1"/>
          <w:kern w:val="0"/>
          <w:sz w:val="21"/>
          <w:szCs w:val="21"/>
          <w:lang w:eastAsia="en-GB"/>
          <w14:ligatures w14:val="none"/>
        </w:rPr>
        <w:t>0.0027</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0.0059</w:t>
      </w:r>
      <w:r w:rsidR="002203D0">
        <w:rPr>
          <w:rFonts w:ascii="Consolas" w:eastAsia="Times New Roman" w:hAnsi="Consolas" w:cs="Times New Roman"/>
          <w:color w:val="000000" w:themeColor="text1"/>
          <w:kern w:val="0"/>
          <w:sz w:val="21"/>
          <w:szCs w:val="21"/>
          <w:lang w:eastAsia="en-GB"/>
          <w14:ligatures w14:val="none"/>
        </w:rPr>
        <w:t>***</w:t>
      </w:r>
    </w:p>
    <w:p w14:paraId="4C9C5B97" w14:textId="5EC9F4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391EF9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ai_x_ict_tr                -0.0002</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-0.0005</w:t>
      </w:r>
      <w:r w:rsidR="00BB3400">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-4.253e-05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w:t>
      </w:r>
      <w:r w:rsidRPr="00082679">
        <w:rPr>
          <w:rFonts w:ascii="Consolas" w:eastAsia="Times New Roman" w:hAnsi="Consolas" w:cs="Times New Roman"/>
          <w:color w:val="000000" w:themeColor="text1"/>
          <w:kern w:val="0"/>
          <w:sz w:val="21"/>
          <w:szCs w:val="21"/>
          <w:highlight w:val="yellow"/>
          <w:lang w:eastAsia="en-GB"/>
          <w14:ligatures w14:val="none"/>
        </w:rPr>
        <w:t>-7.282e-06</w:t>
      </w:r>
      <w:r w:rsidRPr="00960BD7">
        <w:rPr>
          <w:rFonts w:ascii="Consolas" w:eastAsia="Times New Roman" w:hAnsi="Consolas" w:cs="Times New Roman"/>
          <w:color w:val="000000" w:themeColor="text1"/>
          <w:kern w:val="0"/>
          <w:sz w:val="21"/>
          <w:szCs w:val="21"/>
          <w:lang w:eastAsia="en-GB"/>
          <w14:ligatures w14:val="none"/>
        </w:rPr>
        <w:t xml:space="preserve">            -4.861e-05</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-7.134e-05</w:t>
      </w:r>
      <w:r w:rsidR="002203D0">
        <w:rPr>
          <w:rFonts w:ascii="Consolas" w:eastAsia="Times New Roman" w:hAnsi="Consolas" w:cs="Times New Roman"/>
          <w:color w:val="000000" w:themeColor="text1"/>
          <w:kern w:val="0"/>
          <w:sz w:val="21"/>
          <w:szCs w:val="21"/>
          <w:lang w:eastAsia="en-GB"/>
          <w14:ligatures w14:val="none"/>
        </w:rPr>
        <w:t>***</w:t>
      </w:r>
    </w:p>
    <w:p w14:paraId="36AEBC9D" w14:textId="19C58034"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37ACBB"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training_ict               0.0060</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0.0021           0.0045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0.0032</w:t>
      </w:r>
      <w:r w:rsidR="002203D0">
        <w:rPr>
          <w:rFonts w:ascii="Consolas" w:eastAsia="Times New Roman" w:hAnsi="Consolas" w:cs="Times New Roman"/>
          <w:color w:val="000000" w:themeColor="text1"/>
          <w:kern w:val="0"/>
          <w:sz w:val="21"/>
          <w:szCs w:val="21"/>
          <w:lang w:eastAsia="en-GB"/>
          <w14:ligatures w14:val="none"/>
        </w:rPr>
        <w:t>**</w:t>
      </w:r>
    </w:p>
    <w:p w14:paraId="0E3346A0" w14:textId="09A9CBC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(1.6493)          (0.5352)         (3.1945)         (2.6199)</w:t>
      </w:r>
      <w:r w:rsidRPr="00344FFA">
        <w:rPr>
          <w:rFonts w:ascii="Consolas" w:eastAsia="Times New Roman" w:hAnsi="Consolas" w:cs="Times New Roman"/>
          <w:color w:val="000000" w:themeColor="text1"/>
          <w:kern w:val="0"/>
          <w:sz w:val="21"/>
          <w:szCs w:val="21"/>
          <w:lang w:eastAsia="en-GB"/>
          <w14:ligatures w14:val="none"/>
        </w:rPr>
        <w:t xml:space="preserve">              (2.9375)           (2.4229)</w:t>
      </w:r>
    </w:p>
    <w:p w14:paraId="60291634" w14:textId="09F68D5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r w:rsidR="00BB3400">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0.7175</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0.1806</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0.2143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0.0530            -0.0058</w:t>
      </w:r>
    </w:p>
    <w:p w14:paraId="2345BDEE" w14:textId="0918AFB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1747993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-0.0027</w:t>
      </w:r>
      <w:r w:rsidR="002203D0">
        <w:rPr>
          <w:rFonts w:ascii="Consolas" w:eastAsia="Times New Roman" w:hAnsi="Consolas" w:cs="Times New Roman"/>
          <w:color w:val="000000" w:themeColor="text1"/>
          <w:kern w:val="0"/>
          <w:sz w:val="21"/>
          <w:szCs w:val="21"/>
          <w:lang w:eastAsia="en-GB"/>
          <w14:ligatures w14:val="none"/>
        </w:rPr>
        <w:t>**</w:t>
      </w:r>
    </w:p>
    <w:p w14:paraId="5F028702" w14:textId="0CF597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4E90D10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-0.0056</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0.0043</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0.0035</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0.0025</w:t>
      </w:r>
      <w:r w:rsidR="002203D0">
        <w:rPr>
          <w:rFonts w:ascii="Consolas" w:eastAsia="Times New Roman" w:hAnsi="Consolas" w:cs="Times New Roman"/>
          <w:color w:val="000000" w:themeColor="text1"/>
          <w:kern w:val="0"/>
          <w:sz w:val="21"/>
          <w:szCs w:val="21"/>
          <w:lang w:eastAsia="en-GB"/>
          <w14:ligatures w14:val="none"/>
        </w:rPr>
        <w:t>**</w:t>
      </w:r>
    </w:p>
    <w:p w14:paraId="1398C950" w14:textId="43511C54"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02D0B72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EF374B">
        <w:rPr>
          <w:rFonts w:ascii="Consolas" w:eastAsia="Times New Roman" w:hAnsi="Consolas" w:cs="Times New Roman"/>
          <w:color w:val="000000" w:themeColor="text1"/>
          <w:kern w:val="0"/>
          <w:sz w:val="21"/>
          <w:szCs w:val="21"/>
          <w:lang w:eastAsia="en-GB"/>
          <w14:ligatures w14:val="none"/>
        </w:rPr>
        <w:t xml:space="preserve"> </w:t>
      </w:r>
      <w:r w:rsidR="00BA588F" w:rsidRPr="00344FFA">
        <w:rPr>
          <w:rFonts w:ascii="Consolas" w:eastAsia="Times New Roman" w:hAnsi="Consolas" w:cs="Times New Roman"/>
          <w:color w:val="000000" w:themeColor="text1"/>
          <w:kern w:val="0"/>
          <w:sz w:val="21"/>
          <w:szCs w:val="21"/>
          <w:lang w:eastAsia="en-GB"/>
          <w14:ligatures w14:val="none"/>
        </w:rPr>
        <w:t>=============</w:t>
      </w:r>
    </w:p>
    <w:p w14:paraId="47711451" w14:textId="0F0CA5E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r w:rsidR="00BA588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Entity                       </w:t>
      </w:r>
    </w:p>
    <w:p w14:paraId="28795D0D" w14:textId="64DFFFAE"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lastRenderedPageBreak/>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lastRenderedPageBreak/>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654C035E" w14:textId="14D772FB" w:rsidR="00A2487F" w:rsidRPr="00531D6E" w:rsidRDefault="001440B7" w:rsidP="00531D6E">
      <w:pPr>
        <w:rPr>
          <w:color w:val="000000" w:themeColor="text1"/>
        </w:rPr>
      </w:pPr>
      <w:r w:rsidRPr="001440B7">
        <w:rPr>
          <w:color w:val="000000" w:themeColor="text1"/>
        </w:rPr>
        <w:t xml:space="preserve"> PL       I  2024 training_ict  26.13         High        4.32       19.85</w:t>
      </w:r>
    </w:p>
    <w:p w14:paraId="5140773B" w14:textId="07BE5918" w:rsidR="00A2487F" w:rsidRPr="00531D6E" w:rsidRDefault="00A2487F" w:rsidP="00531D6E">
      <w:pPr>
        <w:pStyle w:val="Heading2"/>
      </w:pPr>
      <w:bookmarkStart w:id="32" w:name="_Toc229943340"/>
      <w:r w:rsidRPr="003E008F">
        <w:rPr>
          <w:rStyle w:val="Heading2Char"/>
        </w:rPr>
        <w:t>CRE</w:t>
      </w:r>
      <w:bookmarkEnd w:id="32"/>
      <w:r>
        <w:br/>
      </w:r>
    </w:p>
    <w:p w14:paraId="054CECE9" w14:textId="53B95352" w:rsidR="00250E74"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r w:rsidR="00250E74" w:rsidRPr="00250E74">
        <w:rPr>
          <w:rFonts w:ascii="Consolas" w:eastAsia="Times New Roman" w:hAnsi="Consolas" w:cs="Times New Roman"/>
          <w:kern w:val="0"/>
          <w:sz w:val="21"/>
          <w:szCs w:val="21"/>
          <w:lang w:eastAsia="en-GB"/>
          <w14:ligatures w14:val="none"/>
        </w:rPr>
        <w:t>ROBUSTNESS CHECK 1 — CRE WITH MACRO TIME CONTROLS</w:t>
      </w:r>
      <w:r w:rsidRPr="00F853E5">
        <w:rPr>
          <w:rFonts w:ascii="Consolas" w:eastAsia="Times New Roman" w:hAnsi="Consolas" w:cs="Times New Roman"/>
          <w:kern w:val="0"/>
          <w:sz w:val="21"/>
          <w:szCs w:val="21"/>
          <w:lang w:eastAsia="en-GB"/>
          <w14:ligatures w14:val="none"/>
        </w:rPr>
        <w:t xml:space="preserve"> </w:t>
      </w:r>
    </w:p>
    <w:p w14:paraId="312AEB3A" w14:textId="2DF0ADEB"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(unempl_r + infl_r replace year dummies)</w:t>
      </w:r>
    </w:p>
    <w:p w14:paraId="568ECCE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ROBUSTNESS CHECK 2 — TWO-WAY FE (linearmodels</w:t>
      </w:r>
      <w:r>
        <w:rPr>
          <w:rFonts w:ascii="Consolas" w:eastAsia="Times New Roman" w:hAnsi="Consolas" w:cs="Times New Roman"/>
          <w:kern w:val="0"/>
          <w:sz w:val="21"/>
          <w:szCs w:val="21"/>
          <w:lang w:eastAsia="en-GB"/>
          <w14:ligatures w14:val="none"/>
        </w:rPr>
        <w:t>)</w:t>
      </w:r>
    </w:p>
    <w:p w14:paraId="3F57F35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estimated successfully.</w:t>
      </w:r>
    </w:p>
    <w:p w14:paraId="2C20262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686396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4F98711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63878E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COEFFICIENT COMPARISON — SPEC_ICT</w:t>
      </w:r>
    </w:p>
    <w:p w14:paraId="5F83B43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AA5DB4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7DA143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445C77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401D90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-0.00186       -0.01421***    -0.00355** </w:t>
      </w:r>
    </w:p>
    <w:p w14:paraId="45EFAF6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                           0.00110        0.00176       -0.00060   </w:t>
      </w:r>
    </w:p>
    <w:p w14:paraId="172884F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                      0.00002        0.00011***     0.00003*  </w:t>
      </w:r>
    </w:p>
    <w:p w14:paraId="0881D85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p>
    <w:p w14:paraId="78545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0.06418***     0.07390***              —</w:t>
      </w:r>
    </w:p>
    <w:p w14:paraId="562A1CA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spec_ict_mean                     -0.00309       -0.00336                 —</w:t>
      </w:r>
    </w:p>
    <w:p w14:paraId="289A95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ai_x_spec_ict_mean                -0.00046***    -0.00054***              —</w:t>
      </w:r>
    </w:p>
    <w:p w14:paraId="4D70BBF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0.57011***     0.53161***     0.22547***</w:t>
      </w:r>
    </w:p>
    <w:p w14:paraId="78E820A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0.00680***     0.00707***    -0.00221   </w:t>
      </w:r>
    </w:p>
    <w:p w14:paraId="7C38FD9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31660ED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-0.00575                 —</w:t>
      </w:r>
    </w:p>
    <w:p w14:paraId="3353CE0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-0.01913***              —</w:t>
      </w:r>
    </w:p>
    <w:p w14:paraId="3113DB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61E3371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0.8398  Adj.R² = 0.8345  N = 536</w:t>
      </w:r>
    </w:p>
    <w:p w14:paraId="64C5200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0.8475  Adj.R² = 0.8428  N = 536</w:t>
      </w:r>
    </w:p>
    <w:p w14:paraId="7969BE7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0.2142  N = 536</w:t>
      </w:r>
    </w:p>
    <w:p w14:paraId="68BD085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36F4D5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69B64E4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11E5BA0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351DABC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TRAINING_ICT</w:t>
      </w:r>
    </w:p>
    <w:p w14:paraId="4E52DA7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B93C86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4F7C8BC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80A77F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44A99E3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-0.00093       -0.01598***    -0.00126   </w:t>
      </w:r>
    </w:p>
    <w:p w14:paraId="3A288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                       0.00192       -0.00564**      0.00392** </w:t>
      </w:r>
    </w:p>
    <w:p w14:paraId="3F5F6E5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                  0.00001        0.00017***     0.00000   </w:t>
      </w:r>
    </w:p>
    <w:p w14:paraId="4B181A1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r>
        <w:rPr>
          <w:rFonts w:ascii="Consolas" w:eastAsia="Times New Roman" w:hAnsi="Consolas" w:cs="Times New Roman"/>
          <w:kern w:val="0"/>
          <w:sz w:val="21"/>
          <w:szCs w:val="21"/>
          <w:lang w:eastAsia="en-GB"/>
          <w14:ligatures w14:val="none"/>
        </w:rPr>
        <w:tab/>
      </w:r>
    </w:p>
    <w:p w14:paraId="76AD466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0.05944***     0.07141***              —</w:t>
      </w:r>
    </w:p>
    <w:p w14:paraId="707204A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training_ict_mean                  0.00563        0.01320***              —</w:t>
      </w:r>
    </w:p>
    <w:p w14:paraId="6128650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ai_x_training_ict_mean            -0.00050***    -0.00065***              —</w:t>
      </w:r>
    </w:p>
    <w:p w14:paraId="65B8EE4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0.54386***     0.51061***     0.21492***</w:t>
      </w:r>
    </w:p>
    <w:p w14:paraId="029AC64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0.00775***     0.00764***    -0.00203   </w:t>
      </w:r>
    </w:p>
    <w:p w14:paraId="06B493F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589E2BB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0.00084                 —</w:t>
      </w:r>
    </w:p>
    <w:p w14:paraId="47004EB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-0.01907***              —</w:t>
      </w:r>
    </w:p>
    <w:p w14:paraId="71D95A7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A713F3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0.8357  Adj.R² = 0.8303  N = 536</w:t>
      </w:r>
    </w:p>
    <w:p w14:paraId="2593A1C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0.8449  Adj.R² = 0.8401  N = 536</w:t>
      </w:r>
    </w:p>
    <w:p w14:paraId="2BB17BD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0.2319  N = 536</w:t>
      </w:r>
    </w:p>
    <w:p w14:paraId="52E81A2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2D403577" w14:textId="77777777" w:rsidR="00A2487F" w:rsidRPr="00F853E5" w:rsidRDefault="00A2487F" w:rsidP="00A2487F">
      <w:pPr>
        <w:ind w:left="-709"/>
        <w:rPr>
          <w:sz w:val="28"/>
          <w:szCs w:val="28"/>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5AFB5FCF" w14:textId="134FF445" w:rsidR="00A2487F" w:rsidRPr="00344FFA" w:rsidRDefault="00A2487F" w:rsidP="00A2487F">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Yuliya Martyniuk" w:date="2026-05-13T16:16:00Z" w:initials="YM">
    <w:p w14:paraId="17BE67F0" w14:textId="0E0B9326" w:rsidR="00326F7C" w:rsidRDefault="00326F7C">
      <w:pPr>
        <w:pStyle w:val="CommentText"/>
      </w:pPr>
      <w:r>
        <w:rPr>
          <w:rStyle w:val="CommentReference"/>
        </w:rPr>
        <w:annotationRef/>
      </w:r>
      <w:r w:rsidRPr="00326F7C">
        <w:t>While Madoń (2024) includes both country fixed effects and macro controls simultaneously — possible because his sector-level trade and output measures vary within countries — the present study's macro controls are defined at the country level only and are therefore fully absorbed by country dummies. This follows the standard panel data practice recommended by Wooldridge (2010).</w:t>
      </w:r>
    </w:p>
  </w:comment>
  <w:comment w:id="16" w:author="Yuliya Martyniuk" w:date="2026-05-13T15:52:00Z" w:initials="YM">
    <w:p w14:paraId="1D5038E3" w14:textId="06BF6ACC" w:rsidR="003C5253" w:rsidRDefault="003C5253">
      <w:pPr>
        <w:pStyle w:val="CommentText"/>
      </w:pPr>
      <w:r>
        <w:rPr>
          <w:rStyle w:val="CommentReference"/>
        </w:rPr>
        <w:annotationRef/>
      </w:r>
      <w:r w:rsidRPr="003C5253">
        <w:t>This is slightly backwards — the RESET test detects </w:t>
      </w:r>
      <w:r w:rsidRPr="003C5253">
        <w:rPr>
          <w:i/>
          <w:iCs/>
        </w:rPr>
        <w:t>unspecified</w:t>
      </w:r>
      <w:r w:rsidRPr="003C5253">
        <w:t> non-linearity, but it cannot tell you </w:t>
      </w:r>
      <w:r w:rsidRPr="003C5253">
        <w:rPr>
          <w:i/>
          <w:iCs/>
        </w:rPr>
        <w:t>what</w:t>
      </w:r>
      <w:r w:rsidRPr="003C5253">
        <w:t> non-linearity to add. The interaction term is motivated by your </w:t>
      </w:r>
      <w:r w:rsidRPr="003C5253">
        <w:rPr>
          <w:b/>
          <w:bCs/>
        </w:rPr>
        <w:t>theoretical hypothesis</w:t>
      </w:r>
      <w:r w:rsidRPr="003C5253">
        <w:t> (Brambor et al., the moderating role of ICT capacity), not by a RESET rejection. The RESET rejection </w:t>
      </w:r>
      <w:r w:rsidRPr="003C5253">
        <w:rPr>
          <w:i/>
          <w:iCs/>
        </w:rPr>
        <w:t>validates</w:t>
      </w:r>
      <w:r w:rsidRPr="003C5253">
        <w:t> that something non-linear is happening, but the </w:t>
      </w:r>
      <w:r w:rsidRPr="003C5253">
        <w:rPr>
          <w:i/>
          <w:iCs/>
        </w:rPr>
        <w:t>choice</w:t>
      </w:r>
      <w:r w:rsidRPr="003C5253">
        <w:t> of the interaction form comes from theory.</w:t>
      </w:r>
    </w:p>
  </w:comment>
  <w:comment w:id="17" w:author="Yuliya Martyniuk" w:date="2026-05-13T15:52:00Z" w:initials="YM">
    <w:p w14:paraId="6C27EF35" w14:textId="4170BAEC" w:rsidR="003C5253" w:rsidRDefault="003C5253">
      <w:pPr>
        <w:pStyle w:val="CommentText"/>
      </w:pPr>
      <w:r>
        <w:rPr>
          <w:rStyle w:val="CommentReference"/>
        </w:rPr>
        <w:annotationRef/>
      </w:r>
      <w:r w:rsidRPr="003C5253">
        <w:rPr>
          <w:i/>
          <w:iCs/>
        </w:rPr>
        <w:t>This confirmed the presence of non-linear structure in the wage–AI relationship. The theoretical framework of Brambor, Clark, and Golder (2006) and the moderating hypothesis H2 motivate the inclusion of multiplicative AI × ICT interaction terms as the theoretically grounded form of this non-linearity. Even with interaction terms, the RESET test continued to reject the null, which is treated as a model limitation rather than a ground for abandoning the specification</w:t>
      </w:r>
    </w:p>
  </w:comment>
  <w:comment w:id="19" w:author="Yuliya Martyniuk" w:date="2026-05-10T09:18:00Z" w:initials="YM">
    <w:p w14:paraId="62EEB157" w14:textId="1D7AB693" w:rsidR="000C7D8D" w:rsidRPr="000C7D8D" w:rsidRDefault="000C7D8D">
      <w:pPr>
        <w:pStyle w:val="CommentText"/>
        <w:rPr>
          <w:lang w:val="ru-RU"/>
        </w:rPr>
      </w:pPr>
      <w:r>
        <w:rPr>
          <w:rStyle w:val="CommentReference"/>
        </w:rPr>
        <w:annotationRef/>
      </w:r>
      <w:r>
        <w:rPr>
          <w:lang w:val="ru-RU"/>
        </w:rPr>
        <w:t>Е в степени бета хэт минус 1</w:t>
      </w:r>
    </w:p>
  </w:comment>
  <w:comment w:id="20" w:author="Yuliya Martyniuk" w:date="2026-05-11T20:07:00Z" w:initials="YM">
    <w:p w14:paraId="030CBA7D" w14:textId="425631CC" w:rsidR="003752B4" w:rsidRDefault="003752B4">
      <w:pPr>
        <w:pStyle w:val="CommentText"/>
      </w:pPr>
      <w:r>
        <w:rPr>
          <w:rStyle w:val="CommentReference"/>
        </w:rPr>
        <w:annotationRef/>
      </w:r>
      <w:r>
        <w:t>Add standard errors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BE67F0" w15:done="0"/>
  <w15:commentEx w15:paraId="1D5038E3" w15:done="0"/>
  <w15:commentEx w15:paraId="6C27EF35" w15:paraIdParent="1D5038E3" w15:done="0"/>
  <w15:commentEx w15:paraId="62EEB157" w15:done="0"/>
  <w15:commentEx w15:paraId="030CBA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837508" w16cex:dateUtc="2026-05-13T14:16:00Z"/>
  <w16cex:commentExtensible w16cex:durableId="017E17C5" w16cex:dateUtc="2026-05-13T13:52:00Z"/>
  <w16cex:commentExtensible w16cex:durableId="72079413" w16cex:dateUtc="2026-05-13T13:52:00Z"/>
  <w16cex:commentExtensible w16cex:durableId="28D2A891" w16cex:dateUtc="2026-05-10T07:18:00Z"/>
  <w16cex:commentExtensible w16cex:durableId="57BF3C99" w16cex:dateUtc="2026-05-11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BE67F0" w16cid:durableId="51837508"/>
  <w16cid:commentId w16cid:paraId="1D5038E3" w16cid:durableId="017E17C5"/>
  <w16cid:commentId w16cid:paraId="6C27EF35" w16cid:durableId="72079413"/>
  <w16cid:commentId w16cid:paraId="62EEB157" w16cid:durableId="28D2A891"/>
  <w16cid:commentId w16cid:paraId="030CBA7D" w16cid:durableId="57BF3C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7E2C6" w14:textId="77777777" w:rsidR="00D122E6" w:rsidRDefault="00D122E6" w:rsidP="00FC7D23">
      <w:pPr>
        <w:spacing w:after="0" w:line="240" w:lineRule="auto"/>
      </w:pPr>
      <w:r>
        <w:separator/>
      </w:r>
    </w:p>
  </w:endnote>
  <w:endnote w:type="continuationSeparator" w:id="0">
    <w:p w14:paraId="4A9C0466" w14:textId="77777777" w:rsidR="00D122E6" w:rsidRDefault="00D122E6" w:rsidP="00FC7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D2C2" w14:textId="77777777" w:rsidR="00676734" w:rsidRDefault="0067673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3487D" w14:textId="77777777" w:rsidR="00676734" w:rsidRDefault="0067673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07143E3" wp14:editId="64461A07">
              <wp:simplePos x="0" y="0"/>
              <wp:positionH relativeFrom="page">
                <wp:posOffset>3692144</wp:posOffset>
              </wp:positionH>
              <wp:positionV relativeFrom="page">
                <wp:posOffset>10062294</wp:posOffset>
              </wp:positionV>
              <wp:extent cx="17780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07143E3" id="_x0000_t202" coordsize="21600,21600" o:spt="202" path="m,l,21600r21600,l21600,xe">
              <v:stroke joinstyle="miter"/>
              <v:path gradientshapeok="t" o:connecttype="rect"/>
            </v:shapetype>
            <v:shape id="Textbox 53" o:spid="_x0000_s1026" type="#_x0000_t202" style="position:absolute;margin-left:290.7pt;margin-top:792.3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" filled="f" stroked="f">
              <v:textbox inset="0,0,0,0">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21"/>
      <w:docPartObj>
        <w:docPartGallery w:val="Page Numbers (Bottom of Page)"/>
        <w:docPartUnique/>
      </w:docPartObj>
    </w:sdtPr>
    <w:sdtContent>
      <w:p w14:paraId="07C4A678" w14:textId="1B5DD648" w:rsidR="006E5558" w:rsidRDefault="006E5558">
        <w:pPr>
          <w:pStyle w:val="Footer"/>
          <w:jc w:val="center"/>
        </w:pPr>
        <w:r>
          <w:fldChar w:fldCharType="begin"/>
        </w:r>
        <w:r>
          <w:instrText>PAGE   \* MERGEFORMAT</w:instrText>
        </w:r>
        <w:r>
          <w:fldChar w:fldCharType="separate"/>
        </w:r>
        <w:r>
          <w:t>2</w:t>
        </w:r>
        <w:r>
          <w:fldChar w:fldCharType="end"/>
        </w:r>
      </w:p>
    </w:sdtContent>
  </w:sdt>
  <w:p w14:paraId="4A19EE0E" w14:textId="77777777" w:rsidR="00A1390F" w:rsidRDefault="00A1390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AF0C8" w14:textId="77777777" w:rsidR="00D122E6" w:rsidRDefault="00D122E6" w:rsidP="00FC7D23">
      <w:pPr>
        <w:spacing w:after="0" w:line="240" w:lineRule="auto"/>
      </w:pPr>
      <w:r>
        <w:separator/>
      </w:r>
    </w:p>
  </w:footnote>
  <w:footnote w:type="continuationSeparator" w:id="0">
    <w:p w14:paraId="373023BC" w14:textId="77777777" w:rsidR="00D122E6" w:rsidRDefault="00D122E6" w:rsidP="00FC7D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627D"/>
    <w:multiLevelType w:val="multilevel"/>
    <w:tmpl w:val="21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6B1314"/>
    <w:multiLevelType w:val="hybridMultilevel"/>
    <w:tmpl w:val="601C8E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C8B488F"/>
    <w:multiLevelType w:val="multilevel"/>
    <w:tmpl w:val="B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5770EF"/>
    <w:multiLevelType w:val="multilevel"/>
    <w:tmpl w:val="C42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7937DA"/>
    <w:multiLevelType w:val="multilevel"/>
    <w:tmpl w:val="B4B2A20A"/>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247A0A74"/>
    <w:multiLevelType w:val="multilevel"/>
    <w:tmpl w:val="8562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CF74751"/>
    <w:multiLevelType w:val="multilevel"/>
    <w:tmpl w:val="7E3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F66C3D"/>
    <w:multiLevelType w:val="multilevel"/>
    <w:tmpl w:val="7BE2267A"/>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413E1EB6"/>
    <w:multiLevelType w:val="multilevel"/>
    <w:tmpl w:val="BB9C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4D1AC4"/>
    <w:multiLevelType w:val="multilevel"/>
    <w:tmpl w:val="2B2EF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B4255D"/>
    <w:multiLevelType w:val="hybridMultilevel"/>
    <w:tmpl w:val="3880D1D0"/>
    <w:lvl w:ilvl="0" w:tplc="B46C328C">
      <w:numFmt w:val="bullet"/>
      <w:lvlText w:val="*"/>
      <w:lvlJc w:val="left"/>
      <w:pPr>
        <w:ind w:left="1135" w:hanging="195"/>
      </w:pPr>
      <w:rPr>
        <w:rFonts w:ascii="Times New Roman" w:eastAsia="Times New Roman" w:hAnsi="Times New Roman" w:cs="Times New Roman" w:hint="default"/>
        <w:spacing w:val="0"/>
        <w:w w:val="100"/>
        <w:lang w:val="pl-PL" w:eastAsia="en-US" w:bidi="ar-SA"/>
      </w:rPr>
    </w:lvl>
    <w:lvl w:ilvl="1" w:tplc="7A30F766">
      <w:numFmt w:val="bullet"/>
      <w:lvlText w:val="•"/>
      <w:lvlJc w:val="left"/>
      <w:pPr>
        <w:ind w:left="2188" w:hanging="195"/>
      </w:pPr>
      <w:rPr>
        <w:rFonts w:hint="default"/>
        <w:lang w:val="pl-PL" w:eastAsia="en-US" w:bidi="ar-SA"/>
      </w:rPr>
    </w:lvl>
    <w:lvl w:ilvl="2" w:tplc="A6EE96E4">
      <w:numFmt w:val="bullet"/>
      <w:lvlText w:val="•"/>
      <w:lvlJc w:val="left"/>
      <w:pPr>
        <w:ind w:left="3236" w:hanging="195"/>
      </w:pPr>
      <w:rPr>
        <w:rFonts w:hint="default"/>
        <w:lang w:val="pl-PL" w:eastAsia="en-US" w:bidi="ar-SA"/>
      </w:rPr>
    </w:lvl>
    <w:lvl w:ilvl="3" w:tplc="2A60EC2C">
      <w:numFmt w:val="bullet"/>
      <w:lvlText w:val="•"/>
      <w:lvlJc w:val="left"/>
      <w:pPr>
        <w:ind w:left="4285" w:hanging="195"/>
      </w:pPr>
      <w:rPr>
        <w:rFonts w:hint="default"/>
        <w:lang w:val="pl-PL" w:eastAsia="en-US" w:bidi="ar-SA"/>
      </w:rPr>
    </w:lvl>
    <w:lvl w:ilvl="4" w:tplc="E3642AF0">
      <w:numFmt w:val="bullet"/>
      <w:lvlText w:val="•"/>
      <w:lvlJc w:val="left"/>
      <w:pPr>
        <w:ind w:left="5333" w:hanging="195"/>
      </w:pPr>
      <w:rPr>
        <w:rFonts w:hint="default"/>
        <w:lang w:val="pl-PL" w:eastAsia="en-US" w:bidi="ar-SA"/>
      </w:rPr>
    </w:lvl>
    <w:lvl w:ilvl="5" w:tplc="938ABC40">
      <w:numFmt w:val="bullet"/>
      <w:lvlText w:val="•"/>
      <w:lvlJc w:val="left"/>
      <w:pPr>
        <w:ind w:left="6381" w:hanging="195"/>
      </w:pPr>
      <w:rPr>
        <w:rFonts w:hint="default"/>
        <w:lang w:val="pl-PL" w:eastAsia="en-US" w:bidi="ar-SA"/>
      </w:rPr>
    </w:lvl>
    <w:lvl w:ilvl="6" w:tplc="88C0D5AA">
      <w:numFmt w:val="bullet"/>
      <w:lvlText w:val="•"/>
      <w:lvlJc w:val="left"/>
      <w:pPr>
        <w:ind w:left="7430" w:hanging="195"/>
      </w:pPr>
      <w:rPr>
        <w:rFonts w:hint="default"/>
        <w:lang w:val="pl-PL" w:eastAsia="en-US" w:bidi="ar-SA"/>
      </w:rPr>
    </w:lvl>
    <w:lvl w:ilvl="7" w:tplc="50F09CEA">
      <w:numFmt w:val="bullet"/>
      <w:lvlText w:val="•"/>
      <w:lvlJc w:val="left"/>
      <w:pPr>
        <w:ind w:left="8478" w:hanging="195"/>
      </w:pPr>
      <w:rPr>
        <w:rFonts w:hint="default"/>
        <w:lang w:val="pl-PL" w:eastAsia="en-US" w:bidi="ar-SA"/>
      </w:rPr>
    </w:lvl>
    <w:lvl w:ilvl="8" w:tplc="5A8C3798">
      <w:numFmt w:val="bullet"/>
      <w:lvlText w:val="•"/>
      <w:lvlJc w:val="left"/>
      <w:pPr>
        <w:ind w:left="9526" w:hanging="195"/>
      </w:pPr>
      <w:rPr>
        <w:rFonts w:hint="default"/>
        <w:lang w:val="pl-PL" w:eastAsia="en-US" w:bidi="ar-SA"/>
      </w:rPr>
    </w:lvl>
  </w:abstractNum>
  <w:abstractNum w:abstractNumId="13"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BDB2C74"/>
    <w:multiLevelType w:val="multilevel"/>
    <w:tmpl w:val="1F44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6B7A16"/>
    <w:multiLevelType w:val="multilevel"/>
    <w:tmpl w:val="D9AA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FCB10E2"/>
    <w:multiLevelType w:val="multilevel"/>
    <w:tmpl w:val="C91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2E2282B"/>
    <w:multiLevelType w:val="multilevel"/>
    <w:tmpl w:val="7C2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816DC3"/>
    <w:multiLevelType w:val="multilevel"/>
    <w:tmpl w:val="5374DB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42F7B1F"/>
    <w:multiLevelType w:val="multilevel"/>
    <w:tmpl w:val="6F2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49C553C"/>
    <w:multiLevelType w:val="hybridMultilevel"/>
    <w:tmpl w:val="E1CE35BC"/>
    <w:lvl w:ilvl="0" w:tplc="E918D8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762373FC"/>
    <w:multiLevelType w:val="multilevel"/>
    <w:tmpl w:val="AE8EF1B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CB20227"/>
    <w:multiLevelType w:val="multilevel"/>
    <w:tmpl w:val="9FC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E46203"/>
    <w:multiLevelType w:val="multilevel"/>
    <w:tmpl w:val="B6EE610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10746491">
    <w:abstractNumId w:val="13"/>
  </w:num>
  <w:num w:numId="2" w16cid:durableId="119735955">
    <w:abstractNumId w:val="9"/>
  </w:num>
  <w:num w:numId="3" w16cid:durableId="1285499782">
    <w:abstractNumId w:val="14"/>
  </w:num>
  <w:num w:numId="4" w16cid:durableId="936056160">
    <w:abstractNumId w:val="10"/>
  </w:num>
  <w:num w:numId="5" w16cid:durableId="1659378244">
    <w:abstractNumId w:val="11"/>
  </w:num>
  <w:num w:numId="6" w16cid:durableId="1398893691">
    <w:abstractNumId w:val="16"/>
  </w:num>
  <w:num w:numId="7" w16cid:durableId="85078705">
    <w:abstractNumId w:val="18"/>
  </w:num>
  <w:num w:numId="8" w16cid:durableId="1156453506">
    <w:abstractNumId w:val="15"/>
  </w:num>
  <w:num w:numId="9" w16cid:durableId="987900129">
    <w:abstractNumId w:val="23"/>
  </w:num>
  <w:num w:numId="10" w16cid:durableId="1747071249">
    <w:abstractNumId w:val="0"/>
  </w:num>
  <w:num w:numId="11" w16cid:durableId="1362512916">
    <w:abstractNumId w:val="3"/>
  </w:num>
  <w:num w:numId="12" w16cid:durableId="2062751798">
    <w:abstractNumId w:val="17"/>
  </w:num>
  <w:num w:numId="13" w16cid:durableId="427892765">
    <w:abstractNumId w:val="20"/>
  </w:num>
  <w:num w:numId="14" w16cid:durableId="2019767168">
    <w:abstractNumId w:val="5"/>
  </w:num>
  <w:num w:numId="15" w16cid:durableId="399445549">
    <w:abstractNumId w:val="21"/>
  </w:num>
  <w:num w:numId="16" w16cid:durableId="1541237541">
    <w:abstractNumId w:val="8"/>
  </w:num>
  <w:num w:numId="17" w16cid:durableId="345791927">
    <w:abstractNumId w:val="6"/>
  </w:num>
  <w:num w:numId="18" w16cid:durableId="2017489890">
    <w:abstractNumId w:val="2"/>
  </w:num>
  <w:num w:numId="19" w16cid:durableId="1915814541">
    <w:abstractNumId w:val="12"/>
  </w:num>
  <w:num w:numId="20" w16cid:durableId="643195984">
    <w:abstractNumId w:val="1"/>
  </w:num>
  <w:num w:numId="21" w16cid:durableId="2051102579">
    <w:abstractNumId w:val="4"/>
  </w:num>
  <w:num w:numId="22" w16cid:durableId="831724473">
    <w:abstractNumId w:val="22"/>
  </w:num>
  <w:num w:numId="23" w16cid:durableId="1253661830">
    <w:abstractNumId w:val="7"/>
  </w:num>
  <w:num w:numId="24" w16cid:durableId="84158016">
    <w:abstractNumId w:val="19"/>
  </w:num>
  <w:num w:numId="25" w16cid:durableId="1704554275">
    <w:abstractNumId w:val="24"/>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370"/>
    <w:rsid w:val="00001E22"/>
    <w:rsid w:val="00002B71"/>
    <w:rsid w:val="0000724A"/>
    <w:rsid w:val="000077FF"/>
    <w:rsid w:val="0001106C"/>
    <w:rsid w:val="00011561"/>
    <w:rsid w:val="00012450"/>
    <w:rsid w:val="000134C0"/>
    <w:rsid w:val="000176F0"/>
    <w:rsid w:val="0002237D"/>
    <w:rsid w:val="00022A06"/>
    <w:rsid w:val="00023AAF"/>
    <w:rsid w:val="0002485C"/>
    <w:rsid w:val="00024B25"/>
    <w:rsid w:val="00025177"/>
    <w:rsid w:val="000258D7"/>
    <w:rsid w:val="00025AAD"/>
    <w:rsid w:val="0002694C"/>
    <w:rsid w:val="00030394"/>
    <w:rsid w:val="000317D6"/>
    <w:rsid w:val="00031A54"/>
    <w:rsid w:val="00034892"/>
    <w:rsid w:val="00034ADA"/>
    <w:rsid w:val="00034CC2"/>
    <w:rsid w:val="000379D9"/>
    <w:rsid w:val="00042904"/>
    <w:rsid w:val="00042FA9"/>
    <w:rsid w:val="00044162"/>
    <w:rsid w:val="0004489E"/>
    <w:rsid w:val="000505B9"/>
    <w:rsid w:val="00051BCC"/>
    <w:rsid w:val="00053133"/>
    <w:rsid w:val="00055C4D"/>
    <w:rsid w:val="00056002"/>
    <w:rsid w:val="00060349"/>
    <w:rsid w:val="0006314B"/>
    <w:rsid w:val="000648F1"/>
    <w:rsid w:val="00064A75"/>
    <w:rsid w:val="000653BE"/>
    <w:rsid w:val="000679C1"/>
    <w:rsid w:val="00067BFB"/>
    <w:rsid w:val="00067CE1"/>
    <w:rsid w:val="00070972"/>
    <w:rsid w:val="00070E1C"/>
    <w:rsid w:val="0007359B"/>
    <w:rsid w:val="00073FF4"/>
    <w:rsid w:val="000744C5"/>
    <w:rsid w:val="00074D35"/>
    <w:rsid w:val="000753E4"/>
    <w:rsid w:val="00076BE5"/>
    <w:rsid w:val="000801AF"/>
    <w:rsid w:val="0008263E"/>
    <w:rsid w:val="00082679"/>
    <w:rsid w:val="0008276D"/>
    <w:rsid w:val="00082B81"/>
    <w:rsid w:val="0008304C"/>
    <w:rsid w:val="00083FB5"/>
    <w:rsid w:val="000840F3"/>
    <w:rsid w:val="00084F64"/>
    <w:rsid w:val="00090A8C"/>
    <w:rsid w:val="00091CB5"/>
    <w:rsid w:val="00092E13"/>
    <w:rsid w:val="00093FA9"/>
    <w:rsid w:val="00095D46"/>
    <w:rsid w:val="00095E9F"/>
    <w:rsid w:val="000969F7"/>
    <w:rsid w:val="000A00E4"/>
    <w:rsid w:val="000A23DC"/>
    <w:rsid w:val="000A4C3C"/>
    <w:rsid w:val="000A6BC9"/>
    <w:rsid w:val="000A7786"/>
    <w:rsid w:val="000A7A0D"/>
    <w:rsid w:val="000B0499"/>
    <w:rsid w:val="000B06D0"/>
    <w:rsid w:val="000B0F98"/>
    <w:rsid w:val="000B1714"/>
    <w:rsid w:val="000B27B6"/>
    <w:rsid w:val="000B4898"/>
    <w:rsid w:val="000B4A65"/>
    <w:rsid w:val="000B5B8B"/>
    <w:rsid w:val="000B675D"/>
    <w:rsid w:val="000B6FB3"/>
    <w:rsid w:val="000C1353"/>
    <w:rsid w:val="000C155A"/>
    <w:rsid w:val="000C1E69"/>
    <w:rsid w:val="000C27BD"/>
    <w:rsid w:val="000C4AFF"/>
    <w:rsid w:val="000C6080"/>
    <w:rsid w:val="000C74C9"/>
    <w:rsid w:val="000C7D8D"/>
    <w:rsid w:val="000D07D8"/>
    <w:rsid w:val="000D0FE8"/>
    <w:rsid w:val="000D1290"/>
    <w:rsid w:val="000D43FD"/>
    <w:rsid w:val="000D46BC"/>
    <w:rsid w:val="000D6782"/>
    <w:rsid w:val="000E2B10"/>
    <w:rsid w:val="000E2D6B"/>
    <w:rsid w:val="000E3FA6"/>
    <w:rsid w:val="000E430A"/>
    <w:rsid w:val="000E5008"/>
    <w:rsid w:val="000E64E9"/>
    <w:rsid w:val="000F1454"/>
    <w:rsid w:val="000F1CEB"/>
    <w:rsid w:val="000F219E"/>
    <w:rsid w:val="000F3BF6"/>
    <w:rsid w:val="000F45B7"/>
    <w:rsid w:val="000F4E89"/>
    <w:rsid w:val="000F6B76"/>
    <w:rsid w:val="000F7181"/>
    <w:rsid w:val="001014C6"/>
    <w:rsid w:val="001017A3"/>
    <w:rsid w:val="001024CB"/>
    <w:rsid w:val="00102FDB"/>
    <w:rsid w:val="00103F2F"/>
    <w:rsid w:val="00105114"/>
    <w:rsid w:val="001056CB"/>
    <w:rsid w:val="00106F03"/>
    <w:rsid w:val="00107870"/>
    <w:rsid w:val="00107A08"/>
    <w:rsid w:val="0011053D"/>
    <w:rsid w:val="001125B3"/>
    <w:rsid w:val="001130EB"/>
    <w:rsid w:val="0011420F"/>
    <w:rsid w:val="00116A82"/>
    <w:rsid w:val="00121246"/>
    <w:rsid w:val="00121550"/>
    <w:rsid w:val="00122515"/>
    <w:rsid w:val="00122850"/>
    <w:rsid w:val="0012415D"/>
    <w:rsid w:val="00125443"/>
    <w:rsid w:val="00126439"/>
    <w:rsid w:val="00126440"/>
    <w:rsid w:val="00131562"/>
    <w:rsid w:val="001323DA"/>
    <w:rsid w:val="001324E6"/>
    <w:rsid w:val="00133EE4"/>
    <w:rsid w:val="00134E2B"/>
    <w:rsid w:val="00136D1E"/>
    <w:rsid w:val="00137345"/>
    <w:rsid w:val="0014243C"/>
    <w:rsid w:val="0014329D"/>
    <w:rsid w:val="001440B7"/>
    <w:rsid w:val="00145151"/>
    <w:rsid w:val="0014520A"/>
    <w:rsid w:val="00146573"/>
    <w:rsid w:val="00151A2D"/>
    <w:rsid w:val="00151FD0"/>
    <w:rsid w:val="00156514"/>
    <w:rsid w:val="00156658"/>
    <w:rsid w:val="00156BEE"/>
    <w:rsid w:val="001571E4"/>
    <w:rsid w:val="00157291"/>
    <w:rsid w:val="00157A5E"/>
    <w:rsid w:val="00160357"/>
    <w:rsid w:val="00164100"/>
    <w:rsid w:val="00164479"/>
    <w:rsid w:val="00165B4C"/>
    <w:rsid w:val="00167924"/>
    <w:rsid w:val="00170249"/>
    <w:rsid w:val="001707C6"/>
    <w:rsid w:val="00170E6E"/>
    <w:rsid w:val="001720E3"/>
    <w:rsid w:val="00174AC1"/>
    <w:rsid w:val="0017519E"/>
    <w:rsid w:val="00175E8A"/>
    <w:rsid w:val="0018310F"/>
    <w:rsid w:val="001867C6"/>
    <w:rsid w:val="00192DB1"/>
    <w:rsid w:val="00193420"/>
    <w:rsid w:val="0019520C"/>
    <w:rsid w:val="001961C0"/>
    <w:rsid w:val="00196233"/>
    <w:rsid w:val="00196FA4"/>
    <w:rsid w:val="001A12CB"/>
    <w:rsid w:val="001A1C59"/>
    <w:rsid w:val="001A3241"/>
    <w:rsid w:val="001A3EF6"/>
    <w:rsid w:val="001A418D"/>
    <w:rsid w:val="001A4C87"/>
    <w:rsid w:val="001A6025"/>
    <w:rsid w:val="001A74AF"/>
    <w:rsid w:val="001A76B7"/>
    <w:rsid w:val="001A76C3"/>
    <w:rsid w:val="001B1C57"/>
    <w:rsid w:val="001B2EF8"/>
    <w:rsid w:val="001B51E8"/>
    <w:rsid w:val="001B64B8"/>
    <w:rsid w:val="001B6E0C"/>
    <w:rsid w:val="001C0014"/>
    <w:rsid w:val="001C0EFF"/>
    <w:rsid w:val="001C1ADF"/>
    <w:rsid w:val="001C39DB"/>
    <w:rsid w:val="001C4C54"/>
    <w:rsid w:val="001C696E"/>
    <w:rsid w:val="001D308E"/>
    <w:rsid w:val="001D3E76"/>
    <w:rsid w:val="001D5824"/>
    <w:rsid w:val="001E018C"/>
    <w:rsid w:val="001E1C33"/>
    <w:rsid w:val="001E39A7"/>
    <w:rsid w:val="001E3DC6"/>
    <w:rsid w:val="001E5997"/>
    <w:rsid w:val="001E5CE5"/>
    <w:rsid w:val="001E5D65"/>
    <w:rsid w:val="001E6877"/>
    <w:rsid w:val="001E7BF2"/>
    <w:rsid w:val="001E7EC8"/>
    <w:rsid w:val="001F155F"/>
    <w:rsid w:val="001F2912"/>
    <w:rsid w:val="001F3809"/>
    <w:rsid w:val="001F3F60"/>
    <w:rsid w:val="001F6DD2"/>
    <w:rsid w:val="002015C2"/>
    <w:rsid w:val="00201DFF"/>
    <w:rsid w:val="00203ED3"/>
    <w:rsid w:val="00206E53"/>
    <w:rsid w:val="00207795"/>
    <w:rsid w:val="002113D3"/>
    <w:rsid w:val="00213601"/>
    <w:rsid w:val="002203D0"/>
    <w:rsid w:val="00220971"/>
    <w:rsid w:val="00221117"/>
    <w:rsid w:val="00225E31"/>
    <w:rsid w:val="00226565"/>
    <w:rsid w:val="002274BB"/>
    <w:rsid w:val="00230037"/>
    <w:rsid w:val="00230CCF"/>
    <w:rsid w:val="0023208B"/>
    <w:rsid w:val="002343EA"/>
    <w:rsid w:val="00234537"/>
    <w:rsid w:val="0023465D"/>
    <w:rsid w:val="00234EDD"/>
    <w:rsid w:val="00235151"/>
    <w:rsid w:val="00237095"/>
    <w:rsid w:val="00241019"/>
    <w:rsid w:val="00241E99"/>
    <w:rsid w:val="00245B20"/>
    <w:rsid w:val="00250E74"/>
    <w:rsid w:val="002546A6"/>
    <w:rsid w:val="0025612C"/>
    <w:rsid w:val="002578DF"/>
    <w:rsid w:val="00257C51"/>
    <w:rsid w:val="00260E50"/>
    <w:rsid w:val="00261818"/>
    <w:rsid w:val="002618CA"/>
    <w:rsid w:val="00262BBA"/>
    <w:rsid w:val="002634DD"/>
    <w:rsid w:val="00264048"/>
    <w:rsid w:val="0026461C"/>
    <w:rsid w:val="00264E66"/>
    <w:rsid w:val="0026538A"/>
    <w:rsid w:val="00267F7F"/>
    <w:rsid w:val="002700A2"/>
    <w:rsid w:val="00272AAC"/>
    <w:rsid w:val="00272AE7"/>
    <w:rsid w:val="00273603"/>
    <w:rsid w:val="00273FCA"/>
    <w:rsid w:val="0027451D"/>
    <w:rsid w:val="0027554F"/>
    <w:rsid w:val="00275605"/>
    <w:rsid w:val="0027670A"/>
    <w:rsid w:val="002800D5"/>
    <w:rsid w:val="002812AC"/>
    <w:rsid w:val="002817A2"/>
    <w:rsid w:val="00282970"/>
    <w:rsid w:val="00282FE1"/>
    <w:rsid w:val="002836BC"/>
    <w:rsid w:val="00283EC9"/>
    <w:rsid w:val="002906AE"/>
    <w:rsid w:val="0029141E"/>
    <w:rsid w:val="00291A5F"/>
    <w:rsid w:val="00293775"/>
    <w:rsid w:val="0029396C"/>
    <w:rsid w:val="00296F31"/>
    <w:rsid w:val="002A0653"/>
    <w:rsid w:val="002A1101"/>
    <w:rsid w:val="002A2CAF"/>
    <w:rsid w:val="002A46E6"/>
    <w:rsid w:val="002A6D9C"/>
    <w:rsid w:val="002B07E7"/>
    <w:rsid w:val="002B22C2"/>
    <w:rsid w:val="002B4EED"/>
    <w:rsid w:val="002B62C4"/>
    <w:rsid w:val="002B77A4"/>
    <w:rsid w:val="002C002E"/>
    <w:rsid w:val="002C1466"/>
    <w:rsid w:val="002C2E74"/>
    <w:rsid w:val="002C39BE"/>
    <w:rsid w:val="002C4421"/>
    <w:rsid w:val="002C4BE9"/>
    <w:rsid w:val="002C6C48"/>
    <w:rsid w:val="002D17FF"/>
    <w:rsid w:val="002D202A"/>
    <w:rsid w:val="002D462F"/>
    <w:rsid w:val="002D4F7C"/>
    <w:rsid w:val="002D5F2A"/>
    <w:rsid w:val="002E0F4F"/>
    <w:rsid w:val="002E230A"/>
    <w:rsid w:val="002E344C"/>
    <w:rsid w:val="002E6D57"/>
    <w:rsid w:val="002F0D83"/>
    <w:rsid w:val="002F13F0"/>
    <w:rsid w:val="002F1C77"/>
    <w:rsid w:val="002F2780"/>
    <w:rsid w:val="002F34D7"/>
    <w:rsid w:val="002F4C0C"/>
    <w:rsid w:val="002F51B0"/>
    <w:rsid w:val="002F54DE"/>
    <w:rsid w:val="002F7BDF"/>
    <w:rsid w:val="003016D0"/>
    <w:rsid w:val="003023A3"/>
    <w:rsid w:val="003038C8"/>
    <w:rsid w:val="00304D7C"/>
    <w:rsid w:val="00305F2F"/>
    <w:rsid w:val="003104F4"/>
    <w:rsid w:val="00310A5C"/>
    <w:rsid w:val="003121BC"/>
    <w:rsid w:val="0031252A"/>
    <w:rsid w:val="00312A2A"/>
    <w:rsid w:val="00312EE7"/>
    <w:rsid w:val="0031557B"/>
    <w:rsid w:val="00316167"/>
    <w:rsid w:val="0031789C"/>
    <w:rsid w:val="00320785"/>
    <w:rsid w:val="00320E7F"/>
    <w:rsid w:val="00321225"/>
    <w:rsid w:val="00321B2D"/>
    <w:rsid w:val="00324147"/>
    <w:rsid w:val="00325064"/>
    <w:rsid w:val="00326A5F"/>
    <w:rsid w:val="00326F7C"/>
    <w:rsid w:val="00327839"/>
    <w:rsid w:val="00332CEF"/>
    <w:rsid w:val="003336EF"/>
    <w:rsid w:val="0034233F"/>
    <w:rsid w:val="00342882"/>
    <w:rsid w:val="00342FDD"/>
    <w:rsid w:val="00343B38"/>
    <w:rsid w:val="00344289"/>
    <w:rsid w:val="00344FFA"/>
    <w:rsid w:val="00345979"/>
    <w:rsid w:val="003459DE"/>
    <w:rsid w:val="003460B2"/>
    <w:rsid w:val="003462CD"/>
    <w:rsid w:val="003518DB"/>
    <w:rsid w:val="003520B1"/>
    <w:rsid w:val="003535AD"/>
    <w:rsid w:val="00353FEA"/>
    <w:rsid w:val="00354E4F"/>
    <w:rsid w:val="00361A41"/>
    <w:rsid w:val="00362BEB"/>
    <w:rsid w:val="00366733"/>
    <w:rsid w:val="003668A0"/>
    <w:rsid w:val="0036696C"/>
    <w:rsid w:val="00366CA7"/>
    <w:rsid w:val="00367191"/>
    <w:rsid w:val="00372814"/>
    <w:rsid w:val="003731E4"/>
    <w:rsid w:val="003752B4"/>
    <w:rsid w:val="00376185"/>
    <w:rsid w:val="00376730"/>
    <w:rsid w:val="003767E7"/>
    <w:rsid w:val="00380127"/>
    <w:rsid w:val="00380795"/>
    <w:rsid w:val="003854AC"/>
    <w:rsid w:val="00385A0E"/>
    <w:rsid w:val="00386278"/>
    <w:rsid w:val="00386665"/>
    <w:rsid w:val="00386C2D"/>
    <w:rsid w:val="00386F66"/>
    <w:rsid w:val="003873F8"/>
    <w:rsid w:val="00387E9E"/>
    <w:rsid w:val="0039083B"/>
    <w:rsid w:val="003927BC"/>
    <w:rsid w:val="00392BA4"/>
    <w:rsid w:val="003938F8"/>
    <w:rsid w:val="0039541B"/>
    <w:rsid w:val="0039755F"/>
    <w:rsid w:val="003A2F3E"/>
    <w:rsid w:val="003A4080"/>
    <w:rsid w:val="003A50A9"/>
    <w:rsid w:val="003A5CF2"/>
    <w:rsid w:val="003A5D1B"/>
    <w:rsid w:val="003A60A7"/>
    <w:rsid w:val="003A6C35"/>
    <w:rsid w:val="003A72A3"/>
    <w:rsid w:val="003B0112"/>
    <w:rsid w:val="003B0667"/>
    <w:rsid w:val="003B3177"/>
    <w:rsid w:val="003B492C"/>
    <w:rsid w:val="003B4C92"/>
    <w:rsid w:val="003B5EE3"/>
    <w:rsid w:val="003B5F84"/>
    <w:rsid w:val="003B632F"/>
    <w:rsid w:val="003C0BE5"/>
    <w:rsid w:val="003C143B"/>
    <w:rsid w:val="003C239C"/>
    <w:rsid w:val="003C2915"/>
    <w:rsid w:val="003C2B06"/>
    <w:rsid w:val="003C32EC"/>
    <w:rsid w:val="003C38C0"/>
    <w:rsid w:val="003C3E87"/>
    <w:rsid w:val="003C40E4"/>
    <w:rsid w:val="003C5253"/>
    <w:rsid w:val="003C567D"/>
    <w:rsid w:val="003C78BF"/>
    <w:rsid w:val="003D1A43"/>
    <w:rsid w:val="003D32EE"/>
    <w:rsid w:val="003D3808"/>
    <w:rsid w:val="003E008F"/>
    <w:rsid w:val="003E145F"/>
    <w:rsid w:val="003E1F47"/>
    <w:rsid w:val="003E24EF"/>
    <w:rsid w:val="003E2727"/>
    <w:rsid w:val="003E313A"/>
    <w:rsid w:val="003E3B01"/>
    <w:rsid w:val="003E42F9"/>
    <w:rsid w:val="003E43C6"/>
    <w:rsid w:val="003E5AF7"/>
    <w:rsid w:val="003E5F21"/>
    <w:rsid w:val="003E61CC"/>
    <w:rsid w:val="003E6EC9"/>
    <w:rsid w:val="003F0091"/>
    <w:rsid w:val="003F0306"/>
    <w:rsid w:val="003F0442"/>
    <w:rsid w:val="003F27E5"/>
    <w:rsid w:val="003F29DF"/>
    <w:rsid w:val="003F2E2B"/>
    <w:rsid w:val="003F39E3"/>
    <w:rsid w:val="003F3B4F"/>
    <w:rsid w:val="003F64E5"/>
    <w:rsid w:val="00400315"/>
    <w:rsid w:val="004004A6"/>
    <w:rsid w:val="00401783"/>
    <w:rsid w:val="0040196C"/>
    <w:rsid w:val="00401F99"/>
    <w:rsid w:val="00402F60"/>
    <w:rsid w:val="00404577"/>
    <w:rsid w:val="00410019"/>
    <w:rsid w:val="00410354"/>
    <w:rsid w:val="00410498"/>
    <w:rsid w:val="004104FC"/>
    <w:rsid w:val="00411AB3"/>
    <w:rsid w:val="00411AC8"/>
    <w:rsid w:val="004121FE"/>
    <w:rsid w:val="00413E7D"/>
    <w:rsid w:val="00414F2D"/>
    <w:rsid w:val="00417A15"/>
    <w:rsid w:val="00417F4F"/>
    <w:rsid w:val="004203E2"/>
    <w:rsid w:val="00425797"/>
    <w:rsid w:val="00425DBC"/>
    <w:rsid w:val="00427AE4"/>
    <w:rsid w:val="004301D5"/>
    <w:rsid w:val="00430752"/>
    <w:rsid w:val="004311AF"/>
    <w:rsid w:val="00431E4F"/>
    <w:rsid w:val="00433EA4"/>
    <w:rsid w:val="00434F38"/>
    <w:rsid w:val="00435030"/>
    <w:rsid w:val="00435037"/>
    <w:rsid w:val="00435C6B"/>
    <w:rsid w:val="00435D93"/>
    <w:rsid w:val="0043607D"/>
    <w:rsid w:val="004415F4"/>
    <w:rsid w:val="00445B6E"/>
    <w:rsid w:val="00447213"/>
    <w:rsid w:val="00450833"/>
    <w:rsid w:val="00450BB5"/>
    <w:rsid w:val="00452A39"/>
    <w:rsid w:val="00452AF4"/>
    <w:rsid w:val="00453167"/>
    <w:rsid w:val="004559F7"/>
    <w:rsid w:val="00455DC8"/>
    <w:rsid w:val="0046056A"/>
    <w:rsid w:val="0046122E"/>
    <w:rsid w:val="004616B2"/>
    <w:rsid w:val="004621BC"/>
    <w:rsid w:val="00465A69"/>
    <w:rsid w:val="00465F13"/>
    <w:rsid w:val="00466B13"/>
    <w:rsid w:val="004679BD"/>
    <w:rsid w:val="004703BE"/>
    <w:rsid w:val="00470FCB"/>
    <w:rsid w:val="004724F2"/>
    <w:rsid w:val="00472DA8"/>
    <w:rsid w:val="004733DD"/>
    <w:rsid w:val="0047501C"/>
    <w:rsid w:val="00475074"/>
    <w:rsid w:val="004751B7"/>
    <w:rsid w:val="00475234"/>
    <w:rsid w:val="00475A82"/>
    <w:rsid w:val="00475B00"/>
    <w:rsid w:val="0048157D"/>
    <w:rsid w:val="00482273"/>
    <w:rsid w:val="0048246E"/>
    <w:rsid w:val="00483AB2"/>
    <w:rsid w:val="00484C90"/>
    <w:rsid w:val="00484CAE"/>
    <w:rsid w:val="00486C60"/>
    <w:rsid w:val="00486F8E"/>
    <w:rsid w:val="004902B2"/>
    <w:rsid w:val="00490DF4"/>
    <w:rsid w:val="00492EAF"/>
    <w:rsid w:val="00493265"/>
    <w:rsid w:val="004944B3"/>
    <w:rsid w:val="004945F5"/>
    <w:rsid w:val="00494A19"/>
    <w:rsid w:val="00496269"/>
    <w:rsid w:val="00497D83"/>
    <w:rsid w:val="004A0946"/>
    <w:rsid w:val="004A1B0B"/>
    <w:rsid w:val="004A21BF"/>
    <w:rsid w:val="004A2FB7"/>
    <w:rsid w:val="004A2FE9"/>
    <w:rsid w:val="004A3C17"/>
    <w:rsid w:val="004A524F"/>
    <w:rsid w:val="004A6596"/>
    <w:rsid w:val="004A6ACC"/>
    <w:rsid w:val="004A6BAD"/>
    <w:rsid w:val="004B03EE"/>
    <w:rsid w:val="004B1E6F"/>
    <w:rsid w:val="004B2248"/>
    <w:rsid w:val="004B294B"/>
    <w:rsid w:val="004B2C8B"/>
    <w:rsid w:val="004B2F82"/>
    <w:rsid w:val="004B4A6C"/>
    <w:rsid w:val="004B5572"/>
    <w:rsid w:val="004B5B14"/>
    <w:rsid w:val="004B6E9F"/>
    <w:rsid w:val="004B796B"/>
    <w:rsid w:val="004C327E"/>
    <w:rsid w:val="004C49A0"/>
    <w:rsid w:val="004D0ADC"/>
    <w:rsid w:val="004D2C86"/>
    <w:rsid w:val="004D5B75"/>
    <w:rsid w:val="004E0087"/>
    <w:rsid w:val="004E088A"/>
    <w:rsid w:val="004E0EBD"/>
    <w:rsid w:val="004E16F2"/>
    <w:rsid w:val="004E175A"/>
    <w:rsid w:val="004E1C53"/>
    <w:rsid w:val="004E2B1C"/>
    <w:rsid w:val="004E2BE8"/>
    <w:rsid w:val="004E4D83"/>
    <w:rsid w:val="004F037D"/>
    <w:rsid w:val="004F27A3"/>
    <w:rsid w:val="004F2C56"/>
    <w:rsid w:val="004F41F9"/>
    <w:rsid w:val="004F4749"/>
    <w:rsid w:val="004F640C"/>
    <w:rsid w:val="004F70E3"/>
    <w:rsid w:val="004F75F5"/>
    <w:rsid w:val="00500B63"/>
    <w:rsid w:val="00500C3C"/>
    <w:rsid w:val="00501FE1"/>
    <w:rsid w:val="00502336"/>
    <w:rsid w:val="00502C04"/>
    <w:rsid w:val="00502F57"/>
    <w:rsid w:val="0050387D"/>
    <w:rsid w:val="0051185F"/>
    <w:rsid w:val="005125EE"/>
    <w:rsid w:val="005130DE"/>
    <w:rsid w:val="0051341D"/>
    <w:rsid w:val="005173A6"/>
    <w:rsid w:val="005216CC"/>
    <w:rsid w:val="005231F0"/>
    <w:rsid w:val="005235EB"/>
    <w:rsid w:val="005241AD"/>
    <w:rsid w:val="005260E7"/>
    <w:rsid w:val="00526708"/>
    <w:rsid w:val="00530830"/>
    <w:rsid w:val="00530A58"/>
    <w:rsid w:val="00531D6E"/>
    <w:rsid w:val="0053344B"/>
    <w:rsid w:val="00535687"/>
    <w:rsid w:val="00536229"/>
    <w:rsid w:val="00536F6B"/>
    <w:rsid w:val="00541248"/>
    <w:rsid w:val="0054124C"/>
    <w:rsid w:val="00541A3A"/>
    <w:rsid w:val="00543585"/>
    <w:rsid w:val="00545A31"/>
    <w:rsid w:val="00546833"/>
    <w:rsid w:val="00546B18"/>
    <w:rsid w:val="00547DEC"/>
    <w:rsid w:val="0055074A"/>
    <w:rsid w:val="00550ECC"/>
    <w:rsid w:val="00553D40"/>
    <w:rsid w:val="00557346"/>
    <w:rsid w:val="0055758C"/>
    <w:rsid w:val="005618EA"/>
    <w:rsid w:val="00564997"/>
    <w:rsid w:val="00567DB8"/>
    <w:rsid w:val="005700D6"/>
    <w:rsid w:val="00570ECB"/>
    <w:rsid w:val="00571B2F"/>
    <w:rsid w:val="00572C59"/>
    <w:rsid w:val="00572D8D"/>
    <w:rsid w:val="00573BE8"/>
    <w:rsid w:val="00577F81"/>
    <w:rsid w:val="00580E91"/>
    <w:rsid w:val="00583607"/>
    <w:rsid w:val="00583DD4"/>
    <w:rsid w:val="0058508D"/>
    <w:rsid w:val="00586672"/>
    <w:rsid w:val="00586BE6"/>
    <w:rsid w:val="00590EF7"/>
    <w:rsid w:val="00592298"/>
    <w:rsid w:val="00592828"/>
    <w:rsid w:val="0059342C"/>
    <w:rsid w:val="00593444"/>
    <w:rsid w:val="0059477A"/>
    <w:rsid w:val="00594F3C"/>
    <w:rsid w:val="005950D0"/>
    <w:rsid w:val="005A0917"/>
    <w:rsid w:val="005A19FC"/>
    <w:rsid w:val="005A42C3"/>
    <w:rsid w:val="005A690C"/>
    <w:rsid w:val="005A6F53"/>
    <w:rsid w:val="005A75D3"/>
    <w:rsid w:val="005B2AF9"/>
    <w:rsid w:val="005B2E33"/>
    <w:rsid w:val="005B5C62"/>
    <w:rsid w:val="005B692E"/>
    <w:rsid w:val="005B70C6"/>
    <w:rsid w:val="005C086B"/>
    <w:rsid w:val="005C0CA5"/>
    <w:rsid w:val="005C100C"/>
    <w:rsid w:val="005C2CAA"/>
    <w:rsid w:val="005C5B81"/>
    <w:rsid w:val="005C68B0"/>
    <w:rsid w:val="005C75C1"/>
    <w:rsid w:val="005D136C"/>
    <w:rsid w:val="005D3BBA"/>
    <w:rsid w:val="005D6DB5"/>
    <w:rsid w:val="005D7498"/>
    <w:rsid w:val="005D7D6D"/>
    <w:rsid w:val="005D7E81"/>
    <w:rsid w:val="005E18C8"/>
    <w:rsid w:val="005E3931"/>
    <w:rsid w:val="005E3E57"/>
    <w:rsid w:val="005E4D4D"/>
    <w:rsid w:val="005E63FC"/>
    <w:rsid w:val="005E6AFE"/>
    <w:rsid w:val="005F0C83"/>
    <w:rsid w:val="005F1D39"/>
    <w:rsid w:val="005F2B16"/>
    <w:rsid w:val="005F319B"/>
    <w:rsid w:val="005F3B79"/>
    <w:rsid w:val="005F3D1E"/>
    <w:rsid w:val="005F4407"/>
    <w:rsid w:val="005F7568"/>
    <w:rsid w:val="005F75A0"/>
    <w:rsid w:val="0060015D"/>
    <w:rsid w:val="006005CD"/>
    <w:rsid w:val="00604E07"/>
    <w:rsid w:val="00606790"/>
    <w:rsid w:val="006068F4"/>
    <w:rsid w:val="00606FF0"/>
    <w:rsid w:val="006072D6"/>
    <w:rsid w:val="00607349"/>
    <w:rsid w:val="00607520"/>
    <w:rsid w:val="00612103"/>
    <w:rsid w:val="00614D9D"/>
    <w:rsid w:val="006152CB"/>
    <w:rsid w:val="006160FD"/>
    <w:rsid w:val="00620136"/>
    <w:rsid w:val="00620BDC"/>
    <w:rsid w:val="00623B69"/>
    <w:rsid w:val="006258E0"/>
    <w:rsid w:val="0062678D"/>
    <w:rsid w:val="00627361"/>
    <w:rsid w:val="006306D4"/>
    <w:rsid w:val="006315AE"/>
    <w:rsid w:val="00631872"/>
    <w:rsid w:val="00631B51"/>
    <w:rsid w:val="00632890"/>
    <w:rsid w:val="006342A9"/>
    <w:rsid w:val="00634A2C"/>
    <w:rsid w:val="00636C91"/>
    <w:rsid w:val="006371AF"/>
    <w:rsid w:val="00637DB5"/>
    <w:rsid w:val="00640587"/>
    <w:rsid w:val="006409B7"/>
    <w:rsid w:val="006409FF"/>
    <w:rsid w:val="00643F3D"/>
    <w:rsid w:val="006442EA"/>
    <w:rsid w:val="00644966"/>
    <w:rsid w:val="0064550D"/>
    <w:rsid w:val="00645BB5"/>
    <w:rsid w:val="00651063"/>
    <w:rsid w:val="00652909"/>
    <w:rsid w:val="006537AE"/>
    <w:rsid w:val="00653CC6"/>
    <w:rsid w:val="0065464D"/>
    <w:rsid w:val="00655348"/>
    <w:rsid w:val="0065590B"/>
    <w:rsid w:val="00656048"/>
    <w:rsid w:val="00656369"/>
    <w:rsid w:val="006573C0"/>
    <w:rsid w:val="006579C8"/>
    <w:rsid w:val="00660C4E"/>
    <w:rsid w:val="0066146A"/>
    <w:rsid w:val="006623E9"/>
    <w:rsid w:val="00664E54"/>
    <w:rsid w:val="00670B92"/>
    <w:rsid w:val="00671EDD"/>
    <w:rsid w:val="00672597"/>
    <w:rsid w:val="0067328D"/>
    <w:rsid w:val="00673569"/>
    <w:rsid w:val="00673E46"/>
    <w:rsid w:val="00676734"/>
    <w:rsid w:val="00676E65"/>
    <w:rsid w:val="006771DA"/>
    <w:rsid w:val="0068377B"/>
    <w:rsid w:val="00685729"/>
    <w:rsid w:val="0068586B"/>
    <w:rsid w:val="006864D7"/>
    <w:rsid w:val="00686E46"/>
    <w:rsid w:val="00692648"/>
    <w:rsid w:val="006938E9"/>
    <w:rsid w:val="00693DD8"/>
    <w:rsid w:val="00694668"/>
    <w:rsid w:val="00695A51"/>
    <w:rsid w:val="00696EEB"/>
    <w:rsid w:val="006A00F0"/>
    <w:rsid w:val="006A0450"/>
    <w:rsid w:val="006A3D5C"/>
    <w:rsid w:val="006A4B20"/>
    <w:rsid w:val="006A52FF"/>
    <w:rsid w:val="006A59A3"/>
    <w:rsid w:val="006A5B7E"/>
    <w:rsid w:val="006A5B9F"/>
    <w:rsid w:val="006B0452"/>
    <w:rsid w:val="006B07AD"/>
    <w:rsid w:val="006B07CD"/>
    <w:rsid w:val="006B1265"/>
    <w:rsid w:val="006B185D"/>
    <w:rsid w:val="006B3FAF"/>
    <w:rsid w:val="006B59C6"/>
    <w:rsid w:val="006B7BD4"/>
    <w:rsid w:val="006C160A"/>
    <w:rsid w:val="006C4832"/>
    <w:rsid w:val="006C56F7"/>
    <w:rsid w:val="006C5C30"/>
    <w:rsid w:val="006C5EC2"/>
    <w:rsid w:val="006D093B"/>
    <w:rsid w:val="006D2A09"/>
    <w:rsid w:val="006D3DCC"/>
    <w:rsid w:val="006D420B"/>
    <w:rsid w:val="006D493A"/>
    <w:rsid w:val="006D5E23"/>
    <w:rsid w:val="006D77CB"/>
    <w:rsid w:val="006D794C"/>
    <w:rsid w:val="006E0ABF"/>
    <w:rsid w:val="006E0EB6"/>
    <w:rsid w:val="006E1C7D"/>
    <w:rsid w:val="006E4850"/>
    <w:rsid w:val="006E4945"/>
    <w:rsid w:val="006E5558"/>
    <w:rsid w:val="006E5D30"/>
    <w:rsid w:val="006F16C5"/>
    <w:rsid w:val="006F287E"/>
    <w:rsid w:val="006F3AD9"/>
    <w:rsid w:val="006F6C4D"/>
    <w:rsid w:val="006F7F40"/>
    <w:rsid w:val="00701FB7"/>
    <w:rsid w:val="007022D1"/>
    <w:rsid w:val="00704439"/>
    <w:rsid w:val="007048B4"/>
    <w:rsid w:val="0070518E"/>
    <w:rsid w:val="00707662"/>
    <w:rsid w:val="007077F9"/>
    <w:rsid w:val="007079A5"/>
    <w:rsid w:val="00707D65"/>
    <w:rsid w:val="007103A8"/>
    <w:rsid w:val="00710825"/>
    <w:rsid w:val="0071133C"/>
    <w:rsid w:val="0071433C"/>
    <w:rsid w:val="007205B0"/>
    <w:rsid w:val="00721F3F"/>
    <w:rsid w:val="00722783"/>
    <w:rsid w:val="00723A10"/>
    <w:rsid w:val="00725768"/>
    <w:rsid w:val="0072684E"/>
    <w:rsid w:val="007270AB"/>
    <w:rsid w:val="007274DA"/>
    <w:rsid w:val="00730099"/>
    <w:rsid w:val="007313AA"/>
    <w:rsid w:val="00733374"/>
    <w:rsid w:val="0073360E"/>
    <w:rsid w:val="0073417B"/>
    <w:rsid w:val="007360CE"/>
    <w:rsid w:val="007363EE"/>
    <w:rsid w:val="00736803"/>
    <w:rsid w:val="00736D35"/>
    <w:rsid w:val="007412D7"/>
    <w:rsid w:val="00741DFA"/>
    <w:rsid w:val="0074622F"/>
    <w:rsid w:val="0074633A"/>
    <w:rsid w:val="007503F1"/>
    <w:rsid w:val="00751B5C"/>
    <w:rsid w:val="00751E9E"/>
    <w:rsid w:val="00752328"/>
    <w:rsid w:val="007524D2"/>
    <w:rsid w:val="007530D6"/>
    <w:rsid w:val="007546B8"/>
    <w:rsid w:val="00754833"/>
    <w:rsid w:val="007560DA"/>
    <w:rsid w:val="007568ED"/>
    <w:rsid w:val="00756A59"/>
    <w:rsid w:val="00756E79"/>
    <w:rsid w:val="0076182E"/>
    <w:rsid w:val="00763807"/>
    <w:rsid w:val="00764B7C"/>
    <w:rsid w:val="007651EB"/>
    <w:rsid w:val="007654E0"/>
    <w:rsid w:val="00766294"/>
    <w:rsid w:val="00767C7A"/>
    <w:rsid w:val="0077016F"/>
    <w:rsid w:val="00770AED"/>
    <w:rsid w:val="00777489"/>
    <w:rsid w:val="00777913"/>
    <w:rsid w:val="007800BC"/>
    <w:rsid w:val="007804B8"/>
    <w:rsid w:val="007829D3"/>
    <w:rsid w:val="0078579A"/>
    <w:rsid w:val="007907C7"/>
    <w:rsid w:val="007924EE"/>
    <w:rsid w:val="007939FD"/>
    <w:rsid w:val="00793BB8"/>
    <w:rsid w:val="007942C6"/>
    <w:rsid w:val="00794AA4"/>
    <w:rsid w:val="007952B3"/>
    <w:rsid w:val="007954C1"/>
    <w:rsid w:val="007954EF"/>
    <w:rsid w:val="007A1D91"/>
    <w:rsid w:val="007A2D3E"/>
    <w:rsid w:val="007A3AB1"/>
    <w:rsid w:val="007A5407"/>
    <w:rsid w:val="007A5AA5"/>
    <w:rsid w:val="007A61E1"/>
    <w:rsid w:val="007A6E9C"/>
    <w:rsid w:val="007B0A66"/>
    <w:rsid w:val="007B0D5A"/>
    <w:rsid w:val="007B3D10"/>
    <w:rsid w:val="007B4967"/>
    <w:rsid w:val="007B538A"/>
    <w:rsid w:val="007B54D2"/>
    <w:rsid w:val="007B5A57"/>
    <w:rsid w:val="007B5E76"/>
    <w:rsid w:val="007B6824"/>
    <w:rsid w:val="007B6CE3"/>
    <w:rsid w:val="007C0C22"/>
    <w:rsid w:val="007C1018"/>
    <w:rsid w:val="007C2101"/>
    <w:rsid w:val="007C3489"/>
    <w:rsid w:val="007C3B8B"/>
    <w:rsid w:val="007C3C76"/>
    <w:rsid w:val="007C7535"/>
    <w:rsid w:val="007D19AB"/>
    <w:rsid w:val="007D2A82"/>
    <w:rsid w:val="007D2F25"/>
    <w:rsid w:val="007D31FE"/>
    <w:rsid w:val="007D494E"/>
    <w:rsid w:val="007D5C0D"/>
    <w:rsid w:val="007E0994"/>
    <w:rsid w:val="007E221C"/>
    <w:rsid w:val="007E36DD"/>
    <w:rsid w:val="007E4A67"/>
    <w:rsid w:val="007E664E"/>
    <w:rsid w:val="007F14B4"/>
    <w:rsid w:val="007F20B8"/>
    <w:rsid w:val="007F36BE"/>
    <w:rsid w:val="007F75A8"/>
    <w:rsid w:val="007F7BC5"/>
    <w:rsid w:val="00800C1E"/>
    <w:rsid w:val="0080166C"/>
    <w:rsid w:val="00801C60"/>
    <w:rsid w:val="00803CCA"/>
    <w:rsid w:val="0080577A"/>
    <w:rsid w:val="00805991"/>
    <w:rsid w:val="00807552"/>
    <w:rsid w:val="008104C2"/>
    <w:rsid w:val="0081246E"/>
    <w:rsid w:val="00815CD3"/>
    <w:rsid w:val="00816DB1"/>
    <w:rsid w:val="00817B65"/>
    <w:rsid w:val="00824ED7"/>
    <w:rsid w:val="008257B3"/>
    <w:rsid w:val="00825B29"/>
    <w:rsid w:val="00831124"/>
    <w:rsid w:val="00834420"/>
    <w:rsid w:val="008361E9"/>
    <w:rsid w:val="00837E64"/>
    <w:rsid w:val="00837EC3"/>
    <w:rsid w:val="00842BD7"/>
    <w:rsid w:val="00843491"/>
    <w:rsid w:val="00843A5F"/>
    <w:rsid w:val="00846682"/>
    <w:rsid w:val="00847486"/>
    <w:rsid w:val="00847678"/>
    <w:rsid w:val="00847ED2"/>
    <w:rsid w:val="008518B0"/>
    <w:rsid w:val="00851EFB"/>
    <w:rsid w:val="00854747"/>
    <w:rsid w:val="00855A14"/>
    <w:rsid w:val="00856393"/>
    <w:rsid w:val="0085663C"/>
    <w:rsid w:val="00857237"/>
    <w:rsid w:val="00860183"/>
    <w:rsid w:val="008615BB"/>
    <w:rsid w:val="008627D3"/>
    <w:rsid w:val="00863F86"/>
    <w:rsid w:val="008647AD"/>
    <w:rsid w:val="00865419"/>
    <w:rsid w:val="0087010E"/>
    <w:rsid w:val="00871CB6"/>
    <w:rsid w:val="0087327E"/>
    <w:rsid w:val="00873377"/>
    <w:rsid w:val="00873B04"/>
    <w:rsid w:val="00874051"/>
    <w:rsid w:val="008746BA"/>
    <w:rsid w:val="008757F2"/>
    <w:rsid w:val="00875C8E"/>
    <w:rsid w:val="00876959"/>
    <w:rsid w:val="00876FA7"/>
    <w:rsid w:val="008771D0"/>
    <w:rsid w:val="00877DCD"/>
    <w:rsid w:val="008805E5"/>
    <w:rsid w:val="00881874"/>
    <w:rsid w:val="00882A6E"/>
    <w:rsid w:val="00882EA2"/>
    <w:rsid w:val="0088313C"/>
    <w:rsid w:val="00883560"/>
    <w:rsid w:val="00884E91"/>
    <w:rsid w:val="008870C8"/>
    <w:rsid w:val="00887C20"/>
    <w:rsid w:val="0089012C"/>
    <w:rsid w:val="00892545"/>
    <w:rsid w:val="00892A47"/>
    <w:rsid w:val="008953E4"/>
    <w:rsid w:val="00897217"/>
    <w:rsid w:val="008975EC"/>
    <w:rsid w:val="008A062F"/>
    <w:rsid w:val="008A1680"/>
    <w:rsid w:val="008A28BB"/>
    <w:rsid w:val="008A3449"/>
    <w:rsid w:val="008A37C4"/>
    <w:rsid w:val="008A39F8"/>
    <w:rsid w:val="008A4ACA"/>
    <w:rsid w:val="008A5988"/>
    <w:rsid w:val="008A6478"/>
    <w:rsid w:val="008A77BA"/>
    <w:rsid w:val="008A7E19"/>
    <w:rsid w:val="008B11FC"/>
    <w:rsid w:val="008B1FB1"/>
    <w:rsid w:val="008B6251"/>
    <w:rsid w:val="008B685C"/>
    <w:rsid w:val="008B6C77"/>
    <w:rsid w:val="008C1504"/>
    <w:rsid w:val="008C1C0A"/>
    <w:rsid w:val="008C5FDA"/>
    <w:rsid w:val="008C5FFF"/>
    <w:rsid w:val="008C7EFA"/>
    <w:rsid w:val="008D095D"/>
    <w:rsid w:val="008D0FF7"/>
    <w:rsid w:val="008D3E01"/>
    <w:rsid w:val="008D45D4"/>
    <w:rsid w:val="008D520F"/>
    <w:rsid w:val="008D530C"/>
    <w:rsid w:val="008D766A"/>
    <w:rsid w:val="008E2476"/>
    <w:rsid w:val="008E4AF2"/>
    <w:rsid w:val="008F23B1"/>
    <w:rsid w:val="008F2C31"/>
    <w:rsid w:val="008F3EF4"/>
    <w:rsid w:val="008F5032"/>
    <w:rsid w:val="008F5C9A"/>
    <w:rsid w:val="008F7358"/>
    <w:rsid w:val="009026C0"/>
    <w:rsid w:val="009042F6"/>
    <w:rsid w:val="0090702C"/>
    <w:rsid w:val="00910E45"/>
    <w:rsid w:val="009114CF"/>
    <w:rsid w:val="0091292D"/>
    <w:rsid w:val="009150C9"/>
    <w:rsid w:val="009157E3"/>
    <w:rsid w:val="00915EA7"/>
    <w:rsid w:val="00920431"/>
    <w:rsid w:val="00922502"/>
    <w:rsid w:val="00922787"/>
    <w:rsid w:val="00923501"/>
    <w:rsid w:val="00924E4D"/>
    <w:rsid w:val="00926A5E"/>
    <w:rsid w:val="00926ACC"/>
    <w:rsid w:val="0092780F"/>
    <w:rsid w:val="00927E31"/>
    <w:rsid w:val="00932981"/>
    <w:rsid w:val="00933E16"/>
    <w:rsid w:val="00935144"/>
    <w:rsid w:val="009405B4"/>
    <w:rsid w:val="00941C95"/>
    <w:rsid w:val="00941F9A"/>
    <w:rsid w:val="00943227"/>
    <w:rsid w:val="00943C5E"/>
    <w:rsid w:val="0094504B"/>
    <w:rsid w:val="0094533E"/>
    <w:rsid w:val="00946687"/>
    <w:rsid w:val="00946D48"/>
    <w:rsid w:val="009476DC"/>
    <w:rsid w:val="00950BE5"/>
    <w:rsid w:val="00953F2A"/>
    <w:rsid w:val="00954039"/>
    <w:rsid w:val="0095603D"/>
    <w:rsid w:val="00960BD7"/>
    <w:rsid w:val="00960E90"/>
    <w:rsid w:val="00961085"/>
    <w:rsid w:val="00961513"/>
    <w:rsid w:val="00961F62"/>
    <w:rsid w:val="009628CA"/>
    <w:rsid w:val="00964B95"/>
    <w:rsid w:val="00965410"/>
    <w:rsid w:val="00966592"/>
    <w:rsid w:val="009673D0"/>
    <w:rsid w:val="0096767A"/>
    <w:rsid w:val="00967FBB"/>
    <w:rsid w:val="009701F5"/>
    <w:rsid w:val="00970D68"/>
    <w:rsid w:val="009720E4"/>
    <w:rsid w:val="009739E0"/>
    <w:rsid w:val="00974879"/>
    <w:rsid w:val="00974FF9"/>
    <w:rsid w:val="00981D92"/>
    <w:rsid w:val="00982253"/>
    <w:rsid w:val="0098459F"/>
    <w:rsid w:val="009856FB"/>
    <w:rsid w:val="00985994"/>
    <w:rsid w:val="0098689D"/>
    <w:rsid w:val="009873BD"/>
    <w:rsid w:val="009874D2"/>
    <w:rsid w:val="00987506"/>
    <w:rsid w:val="00987BA6"/>
    <w:rsid w:val="00990B0F"/>
    <w:rsid w:val="00992CAC"/>
    <w:rsid w:val="009930C1"/>
    <w:rsid w:val="009939A1"/>
    <w:rsid w:val="00993BE4"/>
    <w:rsid w:val="00993EF9"/>
    <w:rsid w:val="009971FB"/>
    <w:rsid w:val="00997AB4"/>
    <w:rsid w:val="00997AE2"/>
    <w:rsid w:val="00997F77"/>
    <w:rsid w:val="009A12A8"/>
    <w:rsid w:val="009A1C14"/>
    <w:rsid w:val="009A2F5E"/>
    <w:rsid w:val="009A3B06"/>
    <w:rsid w:val="009A41CE"/>
    <w:rsid w:val="009A4E65"/>
    <w:rsid w:val="009A5610"/>
    <w:rsid w:val="009A5FC4"/>
    <w:rsid w:val="009A7B38"/>
    <w:rsid w:val="009A7B62"/>
    <w:rsid w:val="009B00EA"/>
    <w:rsid w:val="009B52B6"/>
    <w:rsid w:val="009B6842"/>
    <w:rsid w:val="009B6A74"/>
    <w:rsid w:val="009B6EE4"/>
    <w:rsid w:val="009C0F4B"/>
    <w:rsid w:val="009C2743"/>
    <w:rsid w:val="009C2B42"/>
    <w:rsid w:val="009C2B82"/>
    <w:rsid w:val="009C66BF"/>
    <w:rsid w:val="009C6902"/>
    <w:rsid w:val="009C761A"/>
    <w:rsid w:val="009C791A"/>
    <w:rsid w:val="009D0F23"/>
    <w:rsid w:val="009D1FAD"/>
    <w:rsid w:val="009D248B"/>
    <w:rsid w:val="009D24B4"/>
    <w:rsid w:val="009D3F53"/>
    <w:rsid w:val="009D47B2"/>
    <w:rsid w:val="009D54CF"/>
    <w:rsid w:val="009D7239"/>
    <w:rsid w:val="009D7320"/>
    <w:rsid w:val="009D79DC"/>
    <w:rsid w:val="009E0010"/>
    <w:rsid w:val="009E2DCC"/>
    <w:rsid w:val="009E3479"/>
    <w:rsid w:val="009E4FA4"/>
    <w:rsid w:val="009E5EFD"/>
    <w:rsid w:val="009E5FBE"/>
    <w:rsid w:val="009F1284"/>
    <w:rsid w:val="009F3D6F"/>
    <w:rsid w:val="009F4123"/>
    <w:rsid w:val="009F5531"/>
    <w:rsid w:val="009F776D"/>
    <w:rsid w:val="009F79D6"/>
    <w:rsid w:val="009F7A61"/>
    <w:rsid w:val="00A02FB1"/>
    <w:rsid w:val="00A03A35"/>
    <w:rsid w:val="00A05740"/>
    <w:rsid w:val="00A07C1B"/>
    <w:rsid w:val="00A11828"/>
    <w:rsid w:val="00A11BBC"/>
    <w:rsid w:val="00A11FA9"/>
    <w:rsid w:val="00A1390F"/>
    <w:rsid w:val="00A13AFF"/>
    <w:rsid w:val="00A17B75"/>
    <w:rsid w:val="00A20874"/>
    <w:rsid w:val="00A21E20"/>
    <w:rsid w:val="00A236CB"/>
    <w:rsid w:val="00A2476A"/>
    <w:rsid w:val="00A2487F"/>
    <w:rsid w:val="00A25698"/>
    <w:rsid w:val="00A2759B"/>
    <w:rsid w:val="00A275F5"/>
    <w:rsid w:val="00A2797E"/>
    <w:rsid w:val="00A27B52"/>
    <w:rsid w:val="00A305BF"/>
    <w:rsid w:val="00A31473"/>
    <w:rsid w:val="00A314C8"/>
    <w:rsid w:val="00A325E4"/>
    <w:rsid w:val="00A3389B"/>
    <w:rsid w:val="00A33BD2"/>
    <w:rsid w:val="00A345D2"/>
    <w:rsid w:val="00A34DFF"/>
    <w:rsid w:val="00A37208"/>
    <w:rsid w:val="00A37B3C"/>
    <w:rsid w:val="00A446AE"/>
    <w:rsid w:val="00A4500A"/>
    <w:rsid w:val="00A45A71"/>
    <w:rsid w:val="00A45B4D"/>
    <w:rsid w:val="00A46619"/>
    <w:rsid w:val="00A532CE"/>
    <w:rsid w:val="00A53A78"/>
    <w:rsid w:val="00A53C33"/>
    <w:rsid w:val="00A53C93"/>
    <w:rsid w:val="00A5424D"/>
    <w:rsid w:val="00A54B69"/>
    <w:rsid w:val="00A5688C"/>
    <w:rsid w:val="00A56E64"/>
    <w:rsid w:val="00A57F19"/>
    <w:rsid w:val="00A60EF4"/>
    <w:rsid w:val="00A617E8"/>
    <w:rsid w:val="00A6215A"/>
    <w:rsid w:val="00A627A1"/>
    <w:rsid w:val="00A641CF"/>
    <w:rsid w:val="00A64234"/>
    <w:rsid w:val="00A643E7"/>
    <w:rsid w:val="00A64EA6"/>
    <w:rsid w:val="00A6764B"/>
    <w:rsid w:val="00A70FD6"/>
    <w:rsid w:val="00A710D3"/>
    <w:rsid w:val="00A725F8"/>
    <w:rsid w:val="00A737A0"/>
    <w:rsid w:val="00A74987"/>
    <w:rsid w:val="00A75A2D"/>
    <w:rsid w:val="00A75F5E"/>
    <w:rsid w:val="00A77A64"/>
    <w:rsid w:val="00A77D52"/>
    <w:rsid w:val="00A80F6C"/>
    <w:rsid w:val="00A81CBD"/>
    <w:rsid w:val="00A820B6"/>
    <w:rsid w:val="00A83C80"/>
    <w:rsid w:val="00A8444C"/>
    <w:rsid w:val="00A85879"/>
    <w:rsid w:val="00A861EF"/>
    <w:rsid w:val="00A90B2F"/>
    <w:rsid w:val="00A9107E"/>
    <w:rsid w:val="00A911C4"/>
    <w:rsid w:val="00A91E4C"/>
    <w:rsid w:val="00A92E89"/>
    <w:rsid w:val="00A93088"/>
    <w:rsid w:val="00A944FB"/>
    <w:rsid w:val="00AA0A82"/>
    <w:rsid w:val="00AA2D2E"/>
    <w:rsid w:val="00AA44C2"/>
    <w:rsid w:val="00AA4B88"/>
    <w:rsid w:val="00AA58D0"/>
    <w:rsid w:val="00AA6F26"/>
    <w:rsid w:val="00AA7186"/>
    <w:rsid w:val="00AA7798"/>
    <w:rsid w:val="00AB0090"/>
    <w:rsid w:val="00AB1C3D"/>
    <w:rsid w:val="00AB4014"/>
    <w:rsid w:val="00AB4BE7"/>
    <w:rsid w:val="00AB4D92"/>
    <w:rsid w:val="00AB51B9"/>
    <w:rsid w:val="00AB5730"/>
    <w:rsid w:val="00AB76FE"/>
    <w:rsid w:val="00AB7912"/>
    <w:rsid w:val="00AC0941"/>
    <w:rsid w:val="00AC10A0"/>
    <w:rsid w:val="00AC1227"/>
    <w:rsid w:val="00AC2167"/>
    <w:rsid w:val="00AC3EC1"/>
    <w:rsid w:val="00AC4016"/>
    <w:rsid w:val="00AC4519"/>
    <w:rsid w:val="00AC63B5"/>
    <w:rsid w:val="00AC6749"/>
    <w:rsid w:val="00AC756F"/>
    <w:rsid w:val="00AD0252"/>
    <w:rsid w:val="00AD121E"/>
    <w:rsid w:val="00AD29B6"/>
    <w:rsid w:val="00AD5919"/>
    <w:rsid w:val="00AD6869"/>
    <w:rsid w:val="00AD7069"/>
    <w:rsid w:val="00AD799D"/>
    <w:rsid w:val="00AE1D0E"/>
    <w:rsid w:val="00AE28B0"/>
    <w:rsid w:val="00AE3DB6"/>
    <w:rsid w:val="00AE4ACD"/>
    <w:rsid w:val="00AE7433"/>
    <w:rsid w:val="00AF0BAD"/>
    <w:rsid w:val="00AF129C"/>
    <w:rsid w:val="00AF25DE"/>
    <w:rsid w:val="00AF27EE"/>
    <w:rsid w:val="00AF2D53"/>
    <w:rsid w:val="00AF2F47"/>
    <w:rsid w:val="00AF4940"/>
    <w:rsid w:val="00AF6287"/>
    <w:rsid w:val="00B00F6F"/>
    <w:rsid w:val="00B017F7"/>
    <w:rsid w:val="00B01FAA"/>
    <w:rsid w:val="00B029A7"/>
    <w:rsid w:val="00B07B54"/>
    <w:rsid w:val="00B130D1"/>
    <w:rsid w:val="00B17530"/>
    <w:rsid w:val="00B240DB"/>
    <w:rsid w:val="00B24293"/>
    <w:rsid w:val="00B24AFF"/>
    <w:rsid w:val="00B2580E"/>
    <w:rsid w:val="00B25ADB"/>
    <w:rsid w:val="00B30118"/>
    <w:rsid w:val="00B30877"/>
    <w:rsid w:val="00B3087A"/>
    <w:rsid w:val="00B3252D"/>
    <w:rsid w:val="00B328B5"/>
    <w:rsid w:val="00B32E64"/>
    <w:rsid w:val="00B331FC"/>
    <w:rsid w:val="00B34642"/>
    <w:rsid w:val="00B34B21"/>
    <w:rsid w:val="00B34E8A"/>
    <w:rsid w:val="00B35183"/>
    <w:rsid w:val="00B35F34"/>
    <w:rsid w:val="00B36513"/>
    <w:rsid w:val="00B36CE9"/>
    <w:rsid w:val="00B43065"/>
    <w:rsid w:val="00B43DB3"/>
    <w:rsid w:val="00B45B0D"/>
    <w:rsid w:val="00B52771"/>
    <w:rsid w:val="00B528F2"/>
    <w:rsid w:val="00B532AD"/>
    <w:rsid w:val="00B53EC8"/>
    <w:rsid w:val="00B5416C"/>
    <w:rsid w:val="00B54924"/>
    <w:rsid w:val="00B556A4"/>
    <w:rsid w:val="00B56186"/>
    <w:rsid w:val="00B57251"/>
    <w:rsid w:val="00B62C81"/>
    <w:rsid w:val="00B63BCF"/>
    <w:rsid w:val="00B64021"/>
    <w:rsid w:val="00B64946"/>
    <w:rsid w:val="00B65E69"/>
    <w:rsid w:val="00B660D9"/>
    <w:rsid w:val="00B668B2"/>
    <w:rsid w:val="00B67BB9"/>
    <w:rsid w:val="00B67CAF"/>
    <w:rsid w:val="00B67F04"/>
    <w:rsid w:val="00B709C0"/>
    <w:rsid w:val="00B7154B"/>
    <w:rsid w:val="00B756E1"/>
    <w:rsid w:val="00B7700A"/>
    <w:rsid w:val="00B776CE"/>
    <w:rsid w:val="00B80B3B"/>
    <w:rsid w:val="00B82539"/>
    <w:rsid w:val="00B85BA5"/>
    <w:rsid w:val="00B872A2"/>
    <w:rsid w:val="00B9055E"/>
    <w:rsid w:val="00B90B6C"/>
    <w:rsid w:val="00B9153E"/>
    <w:rsid w:val="00B92182"/>
    <w:rsid w:val="00B92753"/>
    <w:rsid w:val="00B92D91"/>
    <w:rsid w:val="00B935A7"/>
    <w:rsid w:val="00B94DE9"/>
    <w:rsid w:val="00BA11DC"/>
    <w:rsid w:val="00BA3ADE"/>
    <w:rsid w:val="00BA588F"/>
    <w:rsid w:val="00BA5ADA"/>
    <w:rsid w:val="00BB0164"/>
    <w:rsid w:val="00BB2F9A"/>
    <w:rsid w:val="00BB3400"/>
    <w:rsid w:val="00BB470A"/>
    <w:rsid w:val="00BB4E69"/>
    <w:rsid w:val="00BB55C5"/>
    <w:rsid w:val="00BB7181"/>
    <w:rsid w:val="00BB7892"/>
    <w:rsid w:val="00BC1536"/>
    <w:rsid w:val="00BC1CA8"/>
    <w:rsid w:val="00BC26E4"/>
    <w:rsid w:val="00BC29CB"/>
    <w:rsid w:val="00BC4D47"/>
    <w:rsid w:val="00BC538B"/>
    <w:rsid w:val="00BC5A2B"/>
    <w:rsid w:val="00BC6B8D"/>
    <w:rsid w:val="00BC6CB8"/>
    <w:rsid w:val="00BC7F08"/>
    <w:rsid w:val="00BD1FC2"/>
    <w:rsid w:val="00BD3838"/>
    <w:rsid w:val="00BD3D95"/>
    <w:rsid w:val="00BD4B52"/>
    <w:rsid w:val="00BD50A7"/>
    <w:rsid w:val="00BD5372"/>
    <w:rsid w:val="00BD5425"/>
    <w:rsid w:val="00BD5502"/>
    <w:rsid w:val="00BD7C7C"/>
    <w:rsid w:val="00BE0D5C"/>
    <w:rsid w:val="00BE1D66"/>
    <w:rsid w:val="00BE1F80"/>
    <w:rsid w:val="00BE40A0"/>
    <w:rsid w:val="00BE4B03"/>
    <w:rsid w:val="00BE602F"/>
    <w:rsid w:val="00BE78F8"/>
    <w:rsid w:val="00BF024B"/>
    <w:rsid w:val="00BF16CD"/>
    <w:rsid w:val="00BF2454"/>
    <w:rsid w:val="00BF4B9C"/>
    <w:rsid w:val="00BF6964"/>
    <w:rsid w:val="00C03DA6"/>
    <w:rsid w:val="00C043A5"/>
    <w:rsid w:val="00C04F48"/>
    <w:rsid w:val="00C0616A"/>
    <w:rsid w:val="00C12C53"/>
    <w:rsid w:val="00C12F87"/>
    <w:rsid w:val="00C1367A"/>
    <w:rsid w:val="00C15FAC"/>
    <w:rsid w:val="00C16088"/>
    <w:rsid w:val="00C17DF2"/>
    <w:rsid w:val="00C21181"/>
    <w:rsid w:val="00C22FF9"/>
    <w:rsid w:val="00C3098A"/>
    <w:rsid w:val="00C30DB3"/>
    <w:rsid w:val="00C31EDE"/>
    <w:rsid w:val="00C32093"/>
    <w:rsid w:val="00C320A8"/>
    <w:rsid w:val="00C321DA"/>
    <w:rsid w:val="00C321DB"/>
    <w:rsid w:val="00C321E7"/>
    <w:rsid w:val="00C34351"/>
    <w:rsid w:val="00C35731"/>
    <w:rsid w:val="00C360E8"/>
    <w:rsid w:val="00C36369"/>
    <w:rsid w:val="00C36E32"/>
    <w:rsid w:val="00C40137"/>
    <w:rsid w:val="00C404D7"/>
    <w:rsid w:val="00C408D1"/>
    <w:rsid w:val="00C40F5C"/>
    <w:rsid w:val="00C42784"/>
    <w:rsid w:val="00C43756"/>
    <w:rsid w:val="00C439F5"/>
    <w:rsid w:val="00C4490D"/>
    <w:rsid w:val="00C46B09"/>
    <w:rsid w:val="00C504F1"/>
    <w:rsid w:val="00C50692"/>
    <w:rsid w:val="00C5082B"/>
    <w:rsid w:val="00C50E4E"/>
    <w:rsid w:val="00C52F2B"/>
    <w:rsid w:val="00C54A4B"/>
    <w:rsid w:val="00C564E6"/>
    <w:rsid w:val="00C5669B"/>
    <w:rsid w:val="00C57453"/>
    <w:rsid w:val="00C610E5"/>
    <w:rsid w:val="00C62826"/>
    <w:rsid w:val="00C66573"/>
    <w:rsid w:val="00C67A3A"/>
    <w:rsid w:val="00C70929"/>
    <w:rsid w:val="00C714E2"/>
    <w:rsid w:val="00C716BD"/>
    <w:rsid w:val="00C74A98"/>
    <w:rsid w:val="00C76877"/>
    <w:rsid w:val="00C77B6A"/>
    <w:rsid w:val="00C8063B"/>
    <w:rsid w:val="00C81C09"/>
    <w:rsid w:val="00C82AB2"/>
    <w:rsid w:val="00C83436"/>
    <w:rsid w:val="00C83A31"/>
    <w:rsid w:val="00C9291A"/>
    <w:rsid w:val="00C934F9"/>
    <w:rsid w:val="00C970CD"/>
    <w:rsid w:val="00CA070F"/>
    <w:rsid w:val="00CA094A"/>
    <w:rsid w:val="00CA0E53"/>
    <w:rsid w:val="00CA1F6E"/>
    <w:rsid w:val="00CA27EF"/>
    <w:rsid w:val="00CA57C6"/>
    <w:rsid w:val="00CA5E42"/>
    <w:rsid w:val="00CA701C"/>
    <w:rsid w:val="00CA731D"/>
    <w:rsid w:val="00CA7432"/>
    <w:rsid w:val="00CB251A"/>
    <w:rsid w:val="00CB4108"/>
    <w:rsid w:val="00CB552C"/>
    <w:rsid w:val="00CB662E"/>
    <w:rsid w:val="00CB749E"/>
    <w:rsid w:val="00CC1C30"/>
    <w:rsid w:val="00CC2E19"/>
    <w:rsid w:val="00CC43EB"/>
    <w:rsid w:val="00CC461A"/>
    <w:rsid w:val="00CC693E"/>
    <w:rsid w:val="00CD026B"/>
    <w:rsid w:val="00CD08A7"/>
    <w:rsid w:val="00CD16BF"/>
    <w:rsid w:val="00CD37A2"/>
    <w:rsid w:val="00CD3CD1"/>
    <w:rsid w:val="00CD6AA7"/>
    <w:rsid w:val="00CD7F77"/>
    <w:rsid w:val="00CE2656"/>
    <w:rsid w:val="00CE27BE"/>
    <w:rsid w:val="00CE3CC2"/>
    <w:rsid w:val="00CE3FE8"/>
    <w:rsid w:val="00CE4794"/>
    <w:rsid w:val="00CE57D9"/>
    <w:rsid w:val="00CE58E8"/>
    <w:rsid w:val="00CE596C"/>
    <w:rsid w:val="00CE5C7C"/>
    <w:rsid w:val="00CF09BA"/>
    <w:rsid w:val="00CF0D22"/>
    <w:rsid w:val="00CF200B"/>
    <w:rsid w:val="00CF4FDB"/>
    <w:rsid w:val="00CF57C2"/>
    <w:rsid w:val="00CF6443"/>
    <w:rsid w:val="00D01307"/>
    <w:rsid w:val="00D01B56"/>
    <w:rsid w:val="00D04B23"/>
    <w:rsid w:val="00D06206"/>
    <w:rsid w:val="00D104DD"/>
    <w:rsid w:val="00D10908"/>
    <w:rsid w:val="00D122E6"/>
    <w:rsid w:val="00D165B9"/>
    <w:rsid w:val="00D16FD6"/>
    <w:rsid w:val="00D173C8"/>
    <w:rsid w:val="00D20D69"/>
    <w:rsid w:val="00D25C57"/>
    <w:rsid w:val="00D279D0"/>
    <w:rsid w:val="00D3195F"/>
    <w:rsid w:val="00D31F38"/>
    <w:rsid w:val="00D322E1"/>
    <w:rsid w:val="00D32E89"/>
    <w:rsid w:val="00D338A5"/>
    <w:rsid w:val="00D3555C"/>
    <w:rsid w:val="00D35BA3"/>
    <w:rsid w:val="00D37EE9"/>
    <w:rsid w:val="00D40BFE"/>
    <w:rsid w:val="00D43651"/>
    <w:rsid w:val="00D44014"/>
    <w:rsid w:val="00D44993"/>
    <w:rsid w:val="00D45586"/>
    <w:rsid w:val="00D4748E"/>
    <w:rsid w:val="00D4791D"/>
    <w:rsid w:val="00D51DAC"/>
    <w:rsid w:val="00D52857"/>
    <w:rsid w:val="00D536A0"/>
    <w:rsid w:val="00D618FF"/>
    <w:rsid w:val="00D619E2"/>
    <w:rsid w:val="00D61C82"/>
    <w:rsid w:val="00D62378"/>
    <w:rsid w:val="00D62A36"/>
    <w:rsid w:val="00D656A2"/>
    <w:rsid w:val="00D6678C"/>
    <w:rsid w:val="00D67EE9"/>
    <w:rsid w:val="00D70353"/>
    <w:rsid w:val="00D70697"/>
    <w:rsid w:val="00D7091B"/>
    <w:rsid w:val="00D71E9B"/>
    <w:rsid w:val="00D721EB"/>
    <w:rsid w:val="00D731E8"/>
    <w:rsid w:val="00D75B47"/>
    <w:rsid w:val="00D7658B"/>
    <w:rsid w:val="00D778D2"/>
    <w:rsid w:val="00D80D45"/>
    <w:rsid w:val="00D810F2"/>
    <w:rsid w:val="00D82992"/>
    <w:rsid w:val="00D853E6"/>
    <w:rsid w:val="00D867FB"/>
    <w:rsid w:val="00D86E31"/>
    <w:rsid w:val="00D87A0F"/>
    <w:rsid w:val="00D87B89"/>
    <w:rsid w:val="00D919EB"/>
    <w:rsid w:val="00D96152"/>
    <w:rsid w:val="00D969D7"/>
    <w:rsid w:val="00DA09D0"/>
    <w:rsid w:val="00DA0B7F"/>
    <w:rsid w:val="00DA175C"/>
    <w:rsid w:val="00DA1FF1"/>
    <w:rsid w:val="00DA2155"/>
    <w:rsid w:val="00DA46FA"/>
    <w:rsid w:val="00DA4E69"/>
    <w:rsid w:val="00DA77FD"/>
    <w:rsid w:val="00DB1CA4"/>
    <w:rsid w:val="00DB3228"/>
    <w:rsid w:val="00DB35FA"/>
    <w:rsid w:val="00DB7922"/>
    <w:rsid w:val="00DB7CDC"/>
    <w:rsid w:val="00DC0DE2"/>
    <w:rsid w:val="00DC0FC1"/>
    <w:rsid w:val="00DC1B8F"/>
    <w:rsid w:val="00DC1D75"/>
    <w:rsid w:val="00DC4270"/>
    <w:rsid w:val="00DC63AF"/>
    <w:rsid w:val="00DC6B31"/>
    <w:rsid w:val="00DC7257"/>
    <w:rsid w:val="00DD01BC"/>
    <w:rsid w:val="00DD0BFA"/>
    <w:rsid w:val="00DD1390"/>
    <w:rsid w:val="00DD33FA"/>
    <w:rsid w:val="00DD5B10"/>
    <w:rsid w:val="00DE09BB"/>
    <w:rsid w:val="00DE0D4E"/>
    <w:rsid w:val="00DE1F9C"/>
    <w:rsid w:val="00DE3B63"/>
    <w:rsid w:val="00DE5C8B"/>
    <w:rsid w:val="00DE683A"/>
    <w:rsid w:val="00DE76E2"/>
    <w:rsid w:val="00DE78FE"/>
    <w:rsid w:val="00DF057D"/>
    <w:rsid w:val="00DF0878"/>
    <w:rsid w:val="00DF13EA"/>
    <w:rsid w:val="00DF1C6F"/>
    <w:rsid w:val="00DF1FAC"/>
    <w:rsid w:val="00DF4F98"/>
    <w:rsid w:val="00DF795B"/>
    <w:rsid w:val="00DF7F88"/>
    <w:rsid w:val="00E009F0"/>
    <w:rsid w:val="00E00AE0"/>
    <w:rsid w:val="00E00E31"/>
    <w:rsid w:val="00E020C5"/>
    <w:rsid w:val="00E04D37"/>
    <w:rsid w:val="00E05294"/>
    <w:rsid w:val="00E060B6"/>
    <w:rsid w:val="00E06243"/>
    <w:rsid w:val="00E0730A"/>
    <w:rsid w:val="00E07849"/>
    <w:rsid w:val="00E10014"/>
    <w:rsid w:val="00E10B09"/>
    <w:rsid w:val="00E123DC"/>
    <w:rsid w:val="00E124E8"/>
    <w:rsid w:val="00E12CF4"/>
    <w:rsid w:val="00E138ED"/>
    <w:rsid w:val="00E14846"/>
    <w:rsid w:val="00E16397"/>
    <w:rsid w:val="00E16CF4"/>
    <w:rsid w:val="00E17AED"/>
    <w:rsid w:val="00E17C82"/>
    <w:rsid w:val="00E215B8"/>
    <w:rsid w:val="00E21666"/>
    <w:rsid w:val="00E22D0D"/>
    <w:rsid w:val="00E23EB7"/>
    <w:rsid w:val="00E3307D"/>
    <w:rsid w:val="00E33472"/>
    <w:rsid w:val="00E3420F"/>
    <w:rsid w:val="00E3498A"/>
    <w:rsid w:val="00E3675A"/>
    <w:rsid w:val="00E368D5"/>
    <w:rsid w:val="00E36B3C"/>
    <w:rsid w:val="00E37FEA"/>
    <w:rsid w:val="00E40716"/>
    <w:rsid w:val="00E423F6"/>
    <w:rsid w:val="00E42BE4"/>
    <w:rsid w:val="00E459AF"/>
    <w:rsid w:val="00E473DF"/>
    <w:rsid w:val="00E47A87"/>
    <w:rsid w:val="00E47E59"/>
    <w:rsid w:val="00E512C1"/>
    <w:rsid w:val="00E512CC"/>
    <w:rsid w:val="00E518E1"/>
    <w:rsid w:val="00E52367"/>
    <w:rsid w:val="00E538D4"/>
    <w:rsid w:val="00E553A3"/>
    <w:rsid w:val="00E5629A"/>
    <w:rsid w:val="00E57321"/>
    <w:rsid w:val="00E57728"/>
    <w:rsid w:val="00E57AC5"/>
    <w:rsid w:val="00E60B72"/>
    <w:rsid w:val="00E61E41"/>
    <w:rsid w:val="00E62826"/>
    <w:rsid w:val="00E707E6"/>
    <w:rsid w:val="00E70D48"/>
    <w:rsid w:val="00E70DD2"/>
    <w:rsid w:val="00E71058"/>
    <w:rsid w:val="00E72C6B"/>
    <w:rsid w:val="00E736BF"/>
    <w:rsid w:val="00E7515C"/>
    <w:rsid w:val="00E76979"/>
    <w:rsid w:val="00E77A51"/>
    <w:rsid w:val="00E802D1"/>
    <w:rsid w:val="00E832A1"/>
    <w:rsid w:val="00E83372"/>
    <w:rsid w:val="00E845C7"/>
    <w:rsid w:val="00E856BA"/>
    <w:rsid w:val="00E861C7"/>
    <w:rsid w:val="00E874A9"/>
    <w:rsid w:val="00E87906"/>
    <w:rsid w:val="00E906A9"/>
    <w:rsid w:val="00E91088"/>
    <w:rsid w:val="00E91965"/>
    <w:rsid w:val="00E96BB2"/>
    <w:rsid w:val="00EA04C9"/>
    <w:rsid w:val="00EA2429"/>
    <w:rsid w:val="00EA4CB5"/>
    <w:rsid w:val="00EB2360"/>
    <w:rsid w:val="00EB27AC"/>
    <w:rsid w:val="00EB3FE4"/>
    <w:rsid w:val="00EB49B5"/>
    <w:rsid w:val="00EB51CF"/>
    <w:rsid w:val="00EB5A84"/>
    <w:rsid w:val="00EB6E29"/>
    <w:rsid w:val="00EC070C"/>
    <w:rsid w:val="00EC085F"/>
    <w:rsid w:val="00EC14CE"/>
    <w:rsid w:val="00EC25D3"/>
    <w:rsid w:val="00EC31BD"/>
    <w:rsid w:val="00EC4B58"/>
    <w:rsid w:val="00EC4E83"/>
    <w:rsid w:val="00EC5944"/>
    <w:rsid w:val="00EC60D3"/>
    <w:rsid w:val="00EC6298"/>
    <w:rsid w:val="00EC6704"/>
    <w:rsid w:val="00EC7952"/>
    <w:rsid w:val="00ED141C"/>
    <w:rsid w:val="00ED1D16"/>
    <w:rsid w:val="00ED353B"/>
    <w:rsid w:val="00ED4806"/>
    <w:rsid w:val="00ED6007"/>
    <w:rsid w:val="00ED76C8"/>
    <w:rsid w:val="00EE0BF5"/>
    <w:rsid w:val="00EE2B4C"/>
    <w:rsid w:val="00EE39B8"/>
    <w:rsid w:val="00EE5154"/>
    <w:rsid w:val="00EE538D"/>
    <w:rsid w:val="00EE6CB0"/>
    <w:rsid w:val="00EE7A29"/>
    <w:rsid w:val="00EF27B1"/>
    <w:rsid w:val="00EF374B"/>
    <w:rsid w:val="00EF64A5"/>
    <w:rsid w:val="00EF71CB"/>
    <w:rsid w:val="00EF7427"/>
    <w:rsid w:val="00EF75DB"/>
    <w:rsid w:val="00F012E0"/>
    <w:rsid w:val="00F02D8E"/>
    <w:rsid w:val="00F03135"/>
    <w:rsid w:val="00F0483C"/>
    <w:rsid w:val="00F05F54"/>
    <w:rsid w:val="00F1177C"/>
    <w:rsid w:val="00F11941"/>
    <w:rsid w:val="00F12C89"/>
    <w:rsid w:val="00F149B4"/>
    <w:rsid w:val="00F14EA9"/>
    <w:rsid w:val="00F1595B"/>
    <w:rsid w:val="00F15E46"/>
    <w:rsid w:val="00F20A34"/>
    <w:rsid w:val="00F22A74"/>
    <w:rsid w:val="00F2348E"/>
    <w:rsid w:val="00F23CA3"/>
    <w:rsid w:val="00F23D18"/>
    <w:rsid w:val="00F243CE"/>
    <w:rsid w:val="00F24C8B"/>
    <w:rsid w:val="00F265B6"/>
    <w:rsid w:val="00F2784F"/>
    <w:rsid w:val="00F27958"/>
    <w:rsid w:val="00F36124"/>
    <w:rsid w:val="00F3734B"/>
    <w:rsid w:val="00F403F3"/>
    <w:rsid w:val="00F41525"/>
    <w:rsid w:val="00F425F0"/>
    <w:rsid w:val="00F4390B"/>
    <w:rsid w:val="00F44B3F"/>
    <w:rsid w:val="00F461FF"/>
    <w:rsid w:val="00F46B54"/>
    <w:rsid w:val="00F46FB2"/>
    <w:rsid w:val="00F47255"/>
    <w:rsid w:val="00F508A7"/>
    <w:rsid w:val="00F53973"/>
    <w:rsid w:val="00F53CEF"/>
    <w:rsid w:val="00F54289"/>
    <w:rsid w:val="00F550C8"/>
    <w:rsid w:val="00F5777F"/>
    <w:rsid w:val="00F603BD"/>
    <w:rsid w:val="00F608F9"/>
    <w:rsid w:val="00F62002"/>
    <w:rsid w:val="00F637B0"/>
    <w:rsid w:val="00F63CEB"/>
    <w:rsid w:val="00F63E9D"/>
    <w:rsid w:val="00F66C2B"/>
    <w:rsid w:val="00F677EA"/>
    <w:rsid w:val="00F7011D"/>
    <w:rsid w:val="00F73CB6"/>
    <w:rsid w:val="00F7548D"/>
    <w:rsid w:val="00F761B4"/>
    <w:rsid w:val="00F77E5B"/>
    <w:rsid w:val="00F8137D"/>
    <w:rsid w:val="00F816F4"/>
    <w:rsid w:val="00F823DB"/>
    <w:rsid w:val="00F83C9C"/>
    <w:rsid w:val="00F849CA"/>
    <w:rsid w:val="00F907EA"/>
    <w:rsid w:val="00F91FC4"/>
    <w:rsid w:val="00F93364"/>
    <w:rsid w:val="00F94AEB"/>
    <w:rsid w:val="00F95BC2"/>
    <w:rsid w:val="00F95FA6"/>
    <w:rsid w:val="00FA0A90"/>
    <w:rsid w:val="00FA119B"/>
    <w:rsid w:val="00FA12C2"/>
    <w:rsid w:val="00FA1A38"/>
    <w:rsid w:val="00FA22C5"/>
    <w:rsid w:val="00FA309E"/>
    <w:rsid w:val="00FA3BC9"/>
    <w:rsid w:val="00FA4229"/>
    <w:rsid w:val="00FA45BB"/>
    <w:rsid w:val="00FA52A1"/>
    <w:rsid w:val="00FA5549"/>
    <w:rsid w:val="00FA6383"/>
    <w:rsid w:val="00FA763D"/>
    <w:rsid w:val="00FB39E7"/>
    <w:rsid w:val="00FB3A59"/>
    <w:rsid w:val="00FB4BE9"/>
    <w:rsid w:val="00FB66FB"/>
    <w:rsid w:val="00FB7760"/>
    <w:rsid w:val="00FC001F"/>
    <w:rsid w:val="00FC0EEE"/>
    <w:rsid w:val="00FC475E"/>
    <w:rsid w:val="00FC4D91"/>
    <w:rsid w:val="00FC5130"/>
    <w:rsid w:val="00FC6A86"/>
    <w:rsid w:val="00FC7085"/>
    <w:rsid w:val="00FC72C1"/>
    <w:rsid w:val="00FC79F0"/>
    <w:rsid w:val="00FC7D23"/>
    <w:rsid w:val="00FD2175"/>
    <w:rsid w:val="00FD306F"/>
    <w:rsid w:val="00FD5E5C"/>
    <w:rsid w:val="00FD5EB4"/>
    <w:rsid w:val="00FE0DA7"/>
    <w:rsid w:val="00FE0E72"/>
    <w:rsid w:val="00FE0F16"/>
    <w:rsid w:val="00FE5C3C"/>
    <w:rsid w:val="00FE7F2B"/>
    <w:rsid w:val="00FF2169"/>
    <w:rsid w:val="00FF34D4"/>
    <w:rsid w:val="00FF6378"/>
    <w:rsid w:val="00FF71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1"/>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 w:type="paragraph" w:styleId="BodyText">
    <w:name w:val="Body Text"/>
    <w:basedOn w:val="Normal"/>
    <w:link w:val="BodyTextChar"/>
    <w:uiPriority w:val="1"/>
    <w:qFormat/>
    <w:rsid w:val="00A1390F"/>
    <w:pPr>
      <w:widowControl w:val="0"/>
      <w:autoSpaceDE w:val="0"/>
      <w:autoSpaceDN w:val="0"/>
      <w:spacing w:after="0" w:line="240" w:lineRule="auto"/>
    </w:pPr>
    <w:rPr>
      <w:rFonts w:ascii="Arial MT" w:eastAsia="Arial MT" w:hAnsi="Arial MT" w:cs="Arial MT"/>
      <w:kern w:val="0"/>
      <w:lang w:val="pl-PL"/>
      <w14:ligatures w14:val="none"/>
    </w:rPr>
  </w:style>
  <w:style w:type="character" w:customStyle="1" w:styleId="BodyTextChar">
    <w:name w:val="Body Text Char"/>
    <w:basedOn w:val="DefaultParagraphFont"/>
    <w:link w:val="BodyText"/>
    <w:uiPriority w:val="1"/>
    <w:rsid w:val="00A1390F"/>
    <w:rPr>
      <w:rFonts w:ascii="Arial MT" w:eastAsia="Arial MT" w:hAnsi="Arial MT" w:cs="Arial MT"/>
      <w:kern w:val="0"/>
      <w:lang w:val="pl-PL"/>
      <w14:ligatures w14:val="none"/>
    </w:rPr>
  </w:style>
  <w:style w:type="paragraph" w:styleId="Header">
    <w:name w:val="header"/>
    <w:basedOn w:val="Normal"/>
    <w:link w:val="HeaderChar"/>
    <w:uiPriority w:val="99"/>
    <w:unhideWhenUsed/>
    <w:rsid w:val="00FC7D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7D23"/>
  </w:style>
  <w:style w:type="paragraph" w:styleId="Footer">
    <w:name w:val="footer"/>
    <w:basedOn w:val="Normal"/>
    <w:link w:val="FooterChar"/>
    <w:uiPriority w:val="99"/>
    <w:unhideWhenUsed/>
    <w:rsid w:val="00FC7D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7D23"/>
  </w:style>
  <w:style w:type="paragraph" w:customStyle="1" w:styleId="Thesisbody">
    <w:name w:val="Thesis body"/>
    <w:basedOn w:val="Normal"/>
    <w:link w:val="ThesisbodyChar"/>
    <w:qFormat/>
    <w:rsid w:val="004B2248"/>
    <w:pPr>
      <w:spacing w:line="360" w:lineRule="auto"/>
      <w:ind w:firstLine="567"/>
      <w:jc w:val="both"/>
    </w:pPr>
    <w:rPr>
      <w:rFonts w:ascii="Times New Roman" w:hAnsi="Times New Roman" w:cs="Times New Roman"/>
      <w:sz w:val="24"/>
      <w:szCs w:val="24"/>
    </w:rPr>
  </w:style>
  <w:style w:type="character" w:customStyle="1" w:styleId="ThesisbodyChar">
    <w:name w:val="Thesis body Char"/>
    <w:basedOn w:val="DefaultParagraphFont"/>
    <w:link w:val="Thesisbody"/>
    <w:rsid w:val="004B2248"/>
    <w:rPr>
      <w:rFonts w:ascii="Times New Roman" w:hAnsi="Times New Roman" w:cs="Times New Roman"/>
      <w:sz w:val="24"/>
      <w:szCs w:val="24"/>
    </w:rPr>
  </w:style>
  <w:style w:type="paragraph" w:customStyle="1" w:styleId="Thesisheading1">
    <w:name w:val="Thesis heading 1"/>
    <w:basedOn w:val="Heading1"/>
    <w:link w:val="Thesisheading1Char"/>
    <w:qFormat/>
    <w:rsid w:val="00570ECB"/>
    <w:pPr>
      <w:spacing w:line="360" w:lineRule="auto"/>
      <w:jc w:val="center"/>
    </w:pPr>
    <w:rPr>
      <w:rFonts w:ascii="Times New Roman" w:hAnsi="Times New Roman"/>
      <w:caps/>
      <w:color w:val="000000" w:themeColor="text1"/>
      <w:sz w:val="24"/>
    </w:rPr>
  </w:style>
  <w:style w:type="character" w:customStyle="1" w:styleId="Thesisheading1Char">
    <w:name w:val="Thesis heading 1 Char"/>
    <w:basedOn w:val="ThesisbodyChar"/>
    <w:link w:val="Thesisheading1"/>
    <w:rsid w:val="00570ECB"/>
    <w:rPr>
      <w:rFonts w:ascii="Times New Roman" w:eastAsiaTheme="majorEastAsia" w:hAnsi="Times New Roman" w:cstheme="majorBidi"/>
      <w:caps/>
      <w:color w:val="000000" w:themeColor="text1"/>
      <w:sz w:val="24"/>
      <w:szCs w:val="40"/>
    </w:rPr>
  </w:style>
  <w:style w:type="paragraph" w:customStyle="1" w:styleId="Thesisheading2">
    <w:name w:val="Thesis heading 2"/>
    <w:basedOn w:val="Heading2"/>
    <w:link w:val="Thesisheading2Char"/>
    <w:qFormat/>
    <w:rsid w:val="007924EE"/>
    <w:pPr>
      <w:spacing w:before="360" w:after="360" w:line="360" w:lineRule="auto"/>
      <w:jc w:val="center"/>
    </w:pPr>
    <w:rPr>
      <w:rFonts w:ascii="Times New Roman" w:hAnsi="Times New Roman" w:cs="Times New Roman"/>
      <w:b/>
      <w:bCs/>
      <w:color w:val="000000" w:themeColor="text1"/>
      <w:sz w:val="24"/>
      <w:szCs w:val="24"/>
    </w:rPr>
  </w:style>
  <w:style w:type="character" w:customStyle="1" w:styleId="Thesisheading2Char">
    <w:name w:val="Thesis heading 2 Char"/>
    <w:basedOn w:val="Heading2Char"/>
    <w:link w:val="Thesisheading2"/>
    <w:rsid w:val="00D536A0"/>
    <w:rPr>
      <w:rFonts w:ascii="Times New Roman" w:eastAsiaTheme="majorEastAsia" w:hAnsi="Times New Roman" w:cs="Times New Roman"/>
      <w:b/>
      <w:bCs/>
      <w:color w:val="000000" w:themeColor="text1"/>
      <w:sz w:val="24"/>
      <w:szCs w:val="24"/>
    </w:rPr>
  </w:style>
  <w:style w:type="paragraph" w:customStyle="1" w:styleId="Figurethesis">
    <w:name w:val="Figure thesis"/>
    <w:basedOn w:val="Normal"/>
    <w:next w:val="Normal"/>
    <w:link w:val="FigurethesisChar"/>
    <w:autoRedefine/>
    <w:qFormat/>
    <w:rsid w:val="00D7658B"/>
    <w:pPr>
      <w:spacing w:before="120" w:after="120" w:line="240" w:lineRule="auto"/>
    </w:pPr>
    <w:rPr>
      <w:rFonts w:ascii="Times New Roman" w:hAnsi="Times New Roman"/>
      <w:sz w:val="24"/>
    </w:rPr>
  </w:style>
  <w:style w:type="character" w:customStyle="1" w:styleId="FigurethesisChar">
    <w:name w:val="Figure thesis Char"/>
    <w:basedOn w:val="ThesisbodyChar"/>
    <w:link w:val="Figurethesis"/>
    <w:rsid w:val="00D7658B"/>
    <w:rPr>
      <w:rFonts w:ascii="Times New Roman" w:hAnsi="Times New Roman" w:cs="Times New Roman"/>
      <w:sz w:val="24"/>
      <w:szCs w:val="24"/>
    </w:rPr>
  </w:style>
  <w:style w:type="paragraph" w:customStyle="1" w:styleId="fig3thesis">
    <w:name w:val="fig 3 thesis"/>
    <w:basedOn w:val="Normal"/>
    <w:next w:val="Normal"/>
    <w:link w:val="fig3thesisChar"/>
    <w:qFormat/>
    <w:rsid w:val="00D7658B"/>
    <w:pPr>
      <w:spacing w:before="120" w:after="120" w:line="240" w:lineRule="auto"/>
      <w:ind w:firstLine="567"/>
    </w:pPr>
    <w:rPr>
      <w:rFonts w:ascii="Times New Roman" w:hAnsi="Times New Roman" w:cs="Times New Roman"/>
      <w:i/>
      <w:sz w:val="20"/>
      <w:szCs w:val="24"/>
    </w:rPr>
  </w:style>
  <w:style w:type="character" w:customStyle="1" w:styleId="fig3thesisChar">
    <w:name w:val="fig 3 thesis Char"/>
    <w:basedOn w:val="DefaultParagraphFont"/>
    <w:link w:val="fig3thesis"/>
    <w:rsid w:val="00D7658B"/>
    <w:rPr>
      <w:rFonts w:ascii="Times New Roman" w:hAnsi="Times New Roman" w:cs="Times New Roman"/>
      <w: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pubs.aeaweb.org/doi/pdfplus/10.1257/jep.33.2.229" TargetMode="External"/><Relationship Id="rId26" Type="http://schemas.openxmlformats.org/officeDocument/2006/relationships/hyperlink" Target="https://www.nber.org/system/files/working_papers/w25148/w25148.pdf" TargetMode="External"/><Relationship Id="rId39" Type="http://schemas.openxmlformats.org/officeDocument/2006/relationships/hyperlink" Target="https://cbpbu.ac.in/userfiles/file/2020/STUDY_MAT/ECO/2.pdf" TargetMode="External"/><Relationship Id="rId21" Type="http://schemas.openxmlformats.org/officeDocument/2006/relationships/hyperlink" Target="https://www.bls.gov/bls/congressional-reports/assessing-the-impact-of-new-technologies-on-the-labor-market.pdf" TargetMode="External"/><Relationship Id="rId34" Type="http://schemas.openxmlformats.org/officeDocument/2006/relationships/hyperlink" Target="https://www.pwc.com/gx/en/issues/artificial-intelligence/job-barometer/2025/report.pdf" TargetMode="External"/><Relationship Id="rId42" Type="http://schemas.openxmlformats.org/officeDocument/2006/relationships/hyperlink" Target="https://www.ecb.europa.eu/press/research-publications/resbull/2024/html/ecb.rb240220~a77abebe0e.en.html" TargetMode="External"/><Relationship Id="rId47" Type="http://schemas.openxmlformats.org/officeDocument/2006/relationships/hyperlink" Target="https://www.socialeurope.eu/from-inflation-shock-to-a-sharp-distributional-conflict" TargetMode="External"/><Relationship Id="rId50" Type="http://schemas.openxmlformats.org/officeDocument/2006/relationships/hyperlink" Target="https://journals.plos.org/plosone/article?id=10.1371/journal.pone.0231349"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economics.mit.edu/sites/default/files/publications/computing%20inequality%201998.pdf" TargetMode="External"/><Relationship Id="rId11" Type="http://schemas.openxmlformats.org/officeDocument/2006/relationships/image" Target="media/image2.png"/><Relationship Id="rId24" Type="http://schemas.openxmlformats.org/officeDocument/2006/relationships/hyperlink" Target="https://www.nber.org/system/files/working_papers/w11093/w11093.pdf" TargetMode="External"/><Relationship Id="rId32" Type="http://schemas.openxmlformats.org/officeDocument/2006/relationships/hyperlink" Target="https://economics.mit.edu/sites/default/files/2022-10/Tasks%20Automation%20and%20the%20Rise%20in%20US%20Wage%20Inequality.pdf" TargetMode="External"/><Relationship Id="rId37" Type="http://schemas.openxmlformats.org/officeDocument/2006/relationships/hyperlink" Target="https://ec.europa.eu/eurostat/web/products-statistical-reports/w/ks-01-26-009" TargetMode="External"/><Relationship Id="rId40" Type="http://schemas.openxmlformats.org/officeDocument/2006/relationships/hyperlink" Target="https://nielsen.sites.oasis.unc.edu/soci709/odocs/00TAS.pdf" TargetMode="External"/><Relationship Id="rId45" Type="http://schemas.openxmlformats.org/officeDocument/2006/relationships/hyperlink" Target="https://sites.stat.washington.edu/courses/stat527/s13/readings/ann_stat1978.pdf" TargetMode="External"/><Relationship Id="rId53" Type="http://schemas.openxmlformats.org/officeDocument/2006/relationships/image" Target="media/image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gutenberg.ca/ebooks/keynes-essaysinpersuasion/keynes-essaysinpersuasion-00-h.html"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comments" Target="comments.xml"/><Relationship Id="rId22" Type="http://schemas.openxmlformats.org/officeDocument/2006/relationships/hyperlink" Target="https://www.sciencedirect.com/science/article/pii/030440769401598T" TargetMode="External"/><Relationship Id="rId27" Type="http://schemas.openxmlformats.org/officeDocument/2006/relationships/hyperlink" Target="https://www.nber.org/system/files/working_papers/w28076/w28076.pdf" TargetMode="External"/><Relationship Id="rId30" Type="http://schemas.openxmlformats.org/officeDocument/2006/relationships/hyperlink" Target="https://www.nber.org/system/files/working_papers/w26705/w26705.pdf" TargetMode="External"/><Relationship Id="rId35" Type="http://schemas.openxmlformats.org/officeDocument/2006/relationships/hyperlink" Target="https://oecd.ai/en/wonk/ai-workforce-what-linkedin-data-reveals-about-ai-talent-trends-in-oecd-ai-live-data" TargetMode="External"/><Relationship Id="rId43" Type="http://schemas.openxmlformats.org/officeDocument/2006/relationships/hyperlink" Target="https://statisticalhorizons.com/multicollinearity/" TargetMode="External"/><Relationship Id="rId48" Type="http://schemas.openxmlformats.org/officeDocument/2006/relationships/hyperlink" Target="https://spia.uga.edu/faculty_pages/tyler.scott/teaching/PADP8130_Spring2017/readings/brambor.et.al.2006.pdf"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medium.com/data-and-beyond/outlier-detection-in-r-tukey-method-or-why-you-need-box-and-whiskers-3c35d9ad8fb3" TargetMode="External"/><Relationship Id="rId3" Type="http://schemas.openxmlformats.org/officeDocument/2006/relationships/styles" Target="styles.xml"/><Relationship Id="rId12" Type="http://schemas.openxmlformats.org/officeDocument/2006/relationships/image" Target="media/image3.png"/><Relationship Id="rId17" Type="http://schemas.microsoft.com/office/2018/08/relationships/commentsExtensible" Target="commentsExtensible.xml"/><Relationship Id="rId25" Type="http://schemas.openxmlformats.org/officeDocument/2006/relationships/hyperlink" Target="https://www.rfberlin.com/research-insights/from-steam-power-to-artificial-intelligence/" TargetMode="External"/><Relationship Id="rId33" Type="http://schemas.openxmlformats.org/officeDocument/2006/relationships/hyperlink" Target="https://www.oecd.org/content/dam/oecd/en/publications/reports/2023/10/emerging-trends-in-ai-skill-demand-across-14-oecd-countries_faabbb45/7c691b9a-en.pdf" TargetMode="External"/><Relationship Id="rId38" Type="http://schemas.openxmlformats.org/officeDocument/2006/relationships/hyperlink" Target="https://reference-global.com/article/10.2478/ceej-2024-0029" TargetMode="External"/><Relationship Id="rId46" Type="http://schemas.openxmlformats.org/officeDocument/2006/relationships/hyperlink" Target="https://wiiw.ac.at/assessing-the-impact-of-new-technologies-on-wages-and-labour-income-shares-dlp-6773.pdf" TargetMode="External"/><Relationship Id="rId20" Type="http://schemas.openxmlformats.org/officeDocument/2006/relationships/hyperlink" Target="https://pubs.aeaweb.org/doi/pdfplus/10.1257/jep.33.2.3" TargetMode="External"/><Relationship Id="rId41" Type="http://schemas.openxmlformats.org/officeDocument/2006/relationships/hyperlink" Target="https://www.econstor.eu/bitstream/10419/189084/1/qed_wp_0537.pdf" TargetMode="External"/><Relationship Id="rId54"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researchonline.lse.ac.uk/id/eprint/22354/1/wp75.pdf" TargetMode="External"/><Relationship Id="rId28" Type="http://schemas.openxmlformats.org/officeDocument/2006/relationships/hyperlink" Target="https://www.nber.org/system/files/working_papers/w12984/w12984.pdf" TargetMode="External"/><Relationship Id="rId36" Type="http://schemas.openxmlformats.org/officeDocument/2006/relationships/hyperlink" Target="https://economicgraph.linkedin.com/content/dam/me/economicgraph/en-us/PDF/linkedIn-labor-market-report-building-a-future-of-work-that-works-jan-2026.pdf" TargetMode="External"/><Relationship Id="rId49" Type="http://schemas.openxmlformats.org/officeDocument/2006/relationships/hyperlink" Target="https://www.econstor.eu/bitstream/10419/283284/1/1879512572.pdf" TargetMode="External"/><Relationship Id="rId57" Type="http://schemas.microsoft.com/office/2011/relationships/people" Target="people.xml"/><Relationship Id="rId10" Type="http://schemas.openxmlformats.org/officeDocument/2006/relationships/image" Target="media/image1.png"/><Relationship Id="rId31" Type="http://schemas.openxmlformats.org/officeDocument/2006/relationships/hyperlink" Target="https://www.nber.org/system/files/working_papers/w8337/w8337.pdf" TargetMode="External"/><Relationship Id="rId44" Type="http://schemas.openxmlformats.org/officeDocument/2006/relationships/hyperlink" Target="https://eclass.uoa.gr/modules/document/file.php/MATH452/%CE%86%CF%81%CE%B8%CF%81%CE%B1/Akaike_1974.pdf" TargetMode="External"/><Relationship Id="rId52" Type="http://schemas.openxmlformats.org/officeDocument/2006/relationships/hyperlink" Target="https://economics.mit.edu/sites/default/files/publications/Automation%20and%20New%20Tasks%20-%20How%20Technology%20Displac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11847</TotalTime>
  <Pages>72</Pages>
  <Words>25847</Words>
  <Characters>147333</Characters>
  <Application>Microsoft Office Word</Application>
  <DocSecurity>0</DocSecurity>
  <Lines>1227</Lines>
  <Paragraphs>345</Paragraphs>
  <ScaleCrop>false</ScaleCrop>
  <Company/>
  <LinksUpToDate>false</LinksUpToDate>
  <CharactersWithSpaces>172835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1746</cp:revision>
  <dcterms:created xsi:type="dcterms:W3CDTF">2026-02-15T16:53:00Z</dcterms:created>
  <dcterms:modified xsi:type="dcterms:W3CDTF">2026-05-17T23:03:00Z</dcterms:modified>
</cp:coreProperties>
</file>