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DE MIGRACIÓN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JESSICA PILAR CUADROS MARTIN  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JUANITA AGUIRRE MARULANDA  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SEBASTIAN QUIROGA GONZALES  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KEVIN SAMUEL VANEGAS  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IMPERIAL INVENTORY  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SENA  </w:t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CEET  </w:t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Y DESARROLLO DE SOFTWARE  </w:t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APRENDICES  </w:t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2693496  </w:t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BOGOTÁ, D.C.  </w:t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spacing w:after="40" w:before="24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Objetivo de la Migración</w:t>
      </w:r>
    </w:p>
    <w:p w:rsidR="00000000" w:rsidDel="00000000" w:rsidP="00000000" w:rsidRDefault="00000000" w:rsidRPr="00000000" w14:paraId="00000035">
      <w:pPr>
        <w:keepNext w:val="0"/>
        <w:keepLines w:val="0"/>
        <w:spacing w:after="40" w:before="24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 El objetivo de esta migración es mejorar la eficiencia del manejo de inventarios mediante la implementación del software "Imperial Inventory".</w:t>
      </w:r>
    </w:p>
    <w:p w:rsidR="00000000" w:rsidDel="00000000" w:rsidP="00000000" w:rsidRDefault="00000000" w:rsidRPr="00000000" w14:paraId="00000037">
      <w:pPr>
        <w:keepNext w:val="0"/>
        <w:keepLines w:val="0"/>
        <w:spacing w:after="40" w:before="24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Análisis del Sistema Actual y el Nuevo Sistema</w:t>
      </w:r>
    </w:p>
    <w:p w:rsidR="00000000" w:rsidDel="00000000" w:rsidP="00000000" w:rsidRDefault="00000000" w:rsidRPr="00000000" w14:paraId="00000038">
      <w:pPr>
        <w:keepNext w:val="0"/>
        <w:keepLines w:val="0"/>
        <w:spacing w:after="40" w:before="24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Sistema Actual:</w:t>
      </w:r>
      <w:r w:rsidDel="00000000" w:rsidR="00000000" w:rsidRPr="00000000">
        <w:rPr>
          <w:rtl w:val="0"/>
        </w:rPr>
        <w:t xml:space="preserve"> Actualmente se utilizan hojas de cálculo y software genérico para la gestión de inventarios.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Nuevo Sistema:</w:t>
      </w:r>
      <w:r w:rsidDel="00000000" w:rsidR="00000000" w:rsidRPr="00000000">
        <w:rPr>
          <w:rtl w:val="0"/>
        </w:rPr>
        <w:t xml:space="preserve"> Imperial Inventory proporcionará herramientas avanzadas para la organización y manejo de inventarios, incluyendo reportes de baja existencia y caducidad, y manejo de información de proveedores.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Inventario de Recursos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Equipos y Herramientas: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Computadoras con procesadores Ryzen 7, 32 GB de RAM y almacenamiento SSD de 1 TB.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Dispositivos móviles con almacenamiento SSD de 1 TB y 8 GB de RAM.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Lectores de código de barras.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Datos y Aplicaciones: Todos los datos de inventario actuales, incluyendo productos, categorías, proveedores, y reportes contables.</w:t>
      </w:r>
    </w:p>
    <w:p w:rsidR="00000000" w:rsidDel="00000000" w:rsidP="00000000" w:rsidRDefault="00000000" w:rsidRPr="00000000" w14:paraId="00000043">
      <w:pPr>
        <w:keepNext w:val="0"/>
        <w:keepLines w:val="0"/>
        <w:spacing w:after="40" w:before="24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Planificación de la Migración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Preparación: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Realizar un backup completo de los datos actuales y preparar el entorno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Migración: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Transferir los datos al nuevo sistema durante un periodo de menor actividad comercial para minimizar el impacto.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Validación:</w:t>
      </w:r>
      <w:r w:rsidDel="00000000" w:rsidR="00000000" w:rsidRPr="00000000">
        <w:rPr>
          <w:rtl w:val="0"/>
        </w:rPr>
        <w:t xml:space="preserve"> Verificar la correcta transferencia de datos y la funcionalidad del nuevo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spacing w:after="40" w:before="24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Gestión de Riesgos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Riesgos Identificados: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Fallos técnicos durante la migración.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Pérdida de datos.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Problemas de compatibilidad con hardware existente.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Mitigación: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Probar la migración en un entorno de prueba.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Mantener backups redundantes.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4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Asegurar compatibilidad mediante pruebas previas.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="240" w:lineRule="auto"/>
        <w:ind w:left="720" w:hanging="360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6. Plan de Pruebas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Funcionalidad: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Verificar todas las funcionalidades del Imperial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Integración: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Asegurar que todos los datos se han integrado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Rendimiento:</w:t>
      </w:r>
      <w:r w:rsidDel="00000000" w:rsidR="00000000" w:rsidRPr="00000000">
        <w:rPr>
          <w:rtl w:val="0"/>
        </w:rPr>
        <w:t xml:space="preserve"> Realizar pruebas de estrés para verificar el rendimiento bajo carga.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spacing w:after="40" w:before="24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Capacitación y Soporte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Programar sesiones de formación para el personal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Soporte: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Establecer un canal de soporte 24/7 para resolver cualquier problema post-migración.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ybhv3bkcWBm3STlpKyFmO0AK3A==">CgMxLjAyCGguZ2pkZ3hzOAByITF0eHhDQjA1RFkteFBoNWUzanJMbHRXbXB0YjU4Y3dFOA==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