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Senior Capstone Project Proposal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tl w:val="0"/>
              </w:rPr>
              <w:t xml:space="preserve"> UNCG Community College Equivalency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Team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Raiana Zaman, Jamison Valentine, Diego Rodriguez, Jeremy Hudson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This software will serve as an aid for UNCG students to find classes that are available online at NC Community Colleges. Classes will be checked for equivalency to ensure that they will actually transfer into UNCG and that the student will receive the appropriate credits. The primary goal is to allow students to save money or to take classes that are not available at UNCG online at a given time.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b w:val="1"/>
              </w:rPr>
            </w:pPr>
            <w:r w:rsidDel="00000000" w:rsidR="00000000" w:rsidRPr="00000000">
              <w:rPr>
                <w:b w:val="1"/>
                <w:rtl w:val="0"/>
              </w:rPr>
              <w:t xml:space="preserve">Problem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There is already a tool available (UNC Online) that gives students within the UNC System the ability to look for equivalent courses to be taken online at other universities. However, the tool does not include the community colleges where a specific class is available. This application will provide that functionality for UNCG students, focusing on general education courses.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b w:val="1"/>
              </w:rPr>
            </w:pPr>
            <w:r w:rsidDel="00000000" w:rsidR="00000000" w:rsidRPr="00000000">
              <w:rPr>
                <w:b w:val="1"/>
                <w:rtl w:val="0"/>
              </w:rPr>
              <w:t xml:space="preserve">Platform/</w:t>
            </w:r>
          </w:p>
          <w:p w:rsidR="00000000" w:rsidDel="00000000" w:rsidP="00000000" w:rsidRDefault="00000000" w:rsidRPr="00000000" w14:paraId="0000000D">
            <w:pPr>
              <w:jc w:val="center"/>
              <w:rPr/>
            </w:pPr>
            <w:r w:rsidDel="00000000" w:rsidR="00000000" w:rsidRPr="00000000">
              <w:rPr>
                <w:b w:val="1"/>
                <w:rtl w:val="0"/>
              </w:rPr>
              <w:t xml:space="preserve">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This software will be deployed as a web application and will be accessible on any desktop web browser using a public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Tech Stack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application will be developed and maintained utilizing the MERN stack (MongoDB, Express, React, and Node.js)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b w:val="1"/>
              </w:rPr>
            </w:pPr>
            <w:r w:rsidDel="00000000" w:rsidR="00000000" w:rsidRPr="00000000">
              <w:rPr>
                <w:b w:val="1"/>
                <w:rtl w:val="0"/>
              </w:rPr>
              <w:t xml:space="preserve">Future Considerations</w:t>
            </w:r>
          </w:p>
        </w:tc>
        <w:tc>
          <w:tcPr>
            <w:shd w:fill="auto" w:val="clear"/>
            <w:tcMar>
              <w:top w:w="86.4" w:type="dxa"/>
              <w:left w:w="86.4" w:type="dxa"/>
              <w:bottom w:w="86.4" w:type="dxa"/>
              <w:right w:w="86.4" w:type="dxa"/>
            </w:tcMar>
            <w:vAlign w:val="top"/>
          </w:tcPr>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rPr>
                <w:u w:val="none"/>
              </w:rPr>
            </w:pPr>
            <w:r w:rsidDel="00000000" w:rsidR="00000000" w:rsidRPr="00000000">
              <w:rPr>
                <w:rtl w:val="0"/>
              </w:rPr>
              <w:t xml:space="preserve">Application can be made to be responsive so that it can be used on mobile platforms</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rPr/>
            </w:pPr>
            <w:r w:rsidDel="00000000" w:rsidR="00000000" w:rsidRPr="00000000">
              <w:rPr>
                <w:highlight w:val="white"/>
                <w:rtl w:val="0"/>
              </w:rPr>
              <w:t xml:space="preserve">Create a common application to be used at any of the community colleges (apply as visiting student)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Sources/Data Collection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 will be collected or fetched from individual school websites. Some course schedules are readily available in pdf format, while others will need to be collected manually using web scraping/testing software.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classes that are known to be transferable are provided as a list under the Comprehensive Articulation Agreement (CAA) between the NC universities and community colleges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Principles Applied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rPr>
                <w:u w:val="none"/>
              </w:rPr>
            </w:pPr>
            <w:r w:rsidDel="00000000" w:rsidR="00000000" w:rsidRPr="00000000">
              <w:rPr>
                <w:rtl w:val="0"/>
              </w:rPr>
              <w:t xml:space="preserve">Software Engineering</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rPr>
                <w:u w:val="none"/>
              </w:rPr>
            </w:pPr>
            <w:r w:rsidDel="00000000" w:rsidR="00000000" w:rsidRPr="00000000">
              <w:rPr>
                <w:rtl w:val="0"/>
              </w:rPr>
              <w:t xml:space="preserve">Database design and management</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rPr>
                <w:u w:val="none"/>
              </w:rPr>
            </w:pPr>
            <w:r w:rsidDel="00000000" w:rsidR="00000000" w:rsidRPr="00000000">
              <w:rPr>
                <w:rtl w:val="0"/>
              </w:rPr>
              <w:t xml:space="preserve">Data Structures and Algorithms</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rPr>
                <w:u w:val="none"/>
              </w:rPr>
            </w:pPr>
            <w:r w:rsidDel="00000000" w:rsidR="00000000" w:rsidRPr="00000000">
              <w:rPr>
                <w:rtl w:val="0"/>
              </w:rPr>
              <w:t xml:space="preserve">HTTP Networking Principles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Other Notes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GitHub Repository: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6">
              <w:r w:rsidDel="00000000" w:rsidR="00000000" w:rsidRPr="00000000">
                <w:rPr>
                  <w:color w:val="1155cc"/>
                  <w:u w:val="single"/>
                  <w:rtl w:val="0"/>
                </w:rPr>
                <w:t xml:space="preserve">https://github.com/jamisonvalentine/CSC490-Capstone-Project</w:t>
              </w:r>
            </w:hyperlink>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misonvalentine/CSC490-Capston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