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Merriweather" w:cs="Merriweather" w:eastAsia="Merriweather" w:hAnsi="Merriweather"/>
          <w:b w:val="1"/>
          <w:sz w:val="46"/>
          <w:szCs w:val="46"/>
        </w:rPr>
      </w:pPr>
      <w:bookmarkStart w:colFirst="0" w:colLast="0" w:name="_tcymo5iml0p9" w:id="0"/>
      <w:bookmarkEnd w:id="0"/>
      <w:r w:rsidDel="00000000" w:rsidR="00000000" w:rsidRPr="00000000">
        <w:rPr>
          <w:rFonts w:ascii="Merriweather" w:cs="Merriweather" w:eastAsia="Merriweather" w:hAnsi="Merriweather"/>
          <w:b w:val="1"/>
          <w:sz w:val="46"/>
          <w:szCs w:val="46"/>
          <w:rtl w:val="0"/>
        </w:rPr>
        <w:t xml:space="preserve">Ma’ruf: Ultimate Execution Blueprint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b74l9poobwwq" w:id="1"/>
      <w:bookmarkEnd w:id="1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Stage 1: Planning &amp; Foundations (2023–2025)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Merriweather" w:cs="Merriweather" w:eastAsia="Merriweather" w:hAnsi="Merriweather"/>
          <w:i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44"/>
          <w:szCs w:val="44"/>
          <w:rtl w:val="0"/>
        </w:rPr>
        <w:t xml:space="preserve">(Historical, pre-launch prep; leave blank for now)</w:t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32oulc25j1f" w:id="2"/>
      <w:bookmarkEnd w:id="2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Stage 2: Explosion Phase / MVP Launch (July 2025 – July 2026)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Objective:</w:t>
      </w:r>
    </w:p>
    <w:p w:rsidR="00000000" w:rsidDel="00000000" w:rsidP="00000000" w:rsidRDefault="00000000" w:rsidRPr="00000000" w14:paraId="00000007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Rapidly launch 50 “change-the-world” MVPs in 12 months.</w:t>
      </w:r>
    </w:p>
    <w:p w:rsidR="00000000" w:rsidDel="00000000" w:rsidP="00000000" w:rsidRDefault="00000000" w:rsidRPr="00000000" w14:paraId="00000008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Generate revenue, traction, and credibility sufficient to establish Ma’ruf’s </w:t>
      </w: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$1B valuation</w:t>
      </w: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Build core team, infrastructure, and knowledge repository.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Assumptions: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50 MVPs/year → 4–5 MVPs/month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20 fail outright, 5 “big wins,” 15 “super big wins”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Team working </w:t>
      </w: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~100 hrs/week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Funding + revenue supports scaling and R&amp;D</w:t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geulw0kl59ob" w:id="3"/>
      <w:bookmarkEnd w:id="3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Actionable MVP Strategy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after="24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MVP Categorization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2535.9359999999997"/>
        <w:gridCol w:w="1038.3359999999998"/>
        <w:gridCol w:w="5785.728"/>
        <w:tblGridChange w:id="0">
          <w:tblGrid>
            <w:gridCol w:w="2535.9359999999997"/>
            <w:gridCol w:w="1038.3359999999998"/>
            <w:gridCol w:w="5785.728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44"/>
                <w:szCs w:val="4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44"/>
                <w:szCs w:val="44"/>
                <w:rtl w:val="0"/>
              </w:rPr>
              <w:t xml:space="preserve"># MVPs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44"/>
                <w:szCs w:val="44"/>
                <w:rtl w:val="0"/>
              </w:rPr>
              <w:t xml:space="preserve">Goal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Experimental / high-risk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Validate ideas; fail fast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Big-impact MVP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Generate high revenue; attract investment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Super big MVP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Viral / enterprise-level adoption; $1B valuation foundation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Support / utility MVP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Small wins, cross-team learning, IP capture</w:t>
            </w:r>
          </w:p>
        </w:tc>
      </w:tr>
    </w:tbl>
    <w:p w:rsidR="00000000" w:rsidDel="00000000" w:rsidP="00000000" w:rsidRDefault="00000000" w:rsidRPr="00000000" w14:paraId="00000021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br w:type="textWrapping"/>
      </w: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Execution Cadence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Weekly: 1–2 MVP iterations per micro-team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3–5 micro-teams working in parallel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Sprint review + pivot after every 2 weeks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Weekly knowledge capture → </w:t>
      </w: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Ma’ruf Knowledge Repository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Funding / Revenue Goals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Target: generate enough cashflow for self-sustaining operation + reinvestment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Early wins = seed funding → fuel super-big MVPs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Expected outcome: </w:t>
      </w: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valuation ~$1B</w:t>
      </w: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 by July 2026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Team / Roles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Core teams: product, tech/AI, design, ops, partnerships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Advisors: legal, funding, strategic vision, ethics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Cross-training essential to maximize efficiency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Metrics / KPIs</w:t>
      </w:r>
    </w:p>
    <w:tbl>
      <w:tblPr>
        <w:tblStyle w:val="Table2"/>
        <w:tblW w:w="9150.0" w:type="dxa"/>
        <w:jc w:val="left"/>
        <w:tblLayout w:type="fixed"/>
        <w:tblLook w:val="0600"/>
      </w:tblPr>
      <w:tblGrid>
        <w:gridCol w:w="2720"/>
        <w:gridCol w:w="2780"/>
        <w:gridCol w:w="3650"/>
        <w:tblGridChange w:id="0">
          <w:tblGrid>
            <w:gridCol w:w="2720"/>
            <w:gridCol w:w="2780"/>
            <w:gridCol w:w="36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44"/>
                <w:szCs w:val="44"/>
                <w:rtl w:val="0"/>
              </w:rPr>
              <w:t xml:space="preserve">Metric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44"/>
                <w:szCs w:val="44"/>
                <w:rtl w:val="0"/>
              </w:rPr>
              <w:t xml:space="preserve">Target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44"/>
                <w:szCs w:val="44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MVPs launched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50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4–5 per month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MVP success rate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20–40%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Big/super big wins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Revenue / funding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44"/>
                <w:szCs w:val="44"/>
                <w:rtl w:val="0"/>
              </w:rPr>
              <w:t xml:space="preserve">≥$100M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Includes pre-sales, early VC, grants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Team efficiency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90% task completion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100-hr weeks factored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Knowledge capture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100%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Document every MVP learning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Public / investor visibility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44"/>
                <w:szCs w:val="44"/>
                <w:rtl w:val="0"/>
              </w:rPr>
              <w:t xml:space="preserve">≥20 mentions/partnerships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Builds credibility</w:t>
            </w:r>
          </w:p>
        </w:tc>
      </w:tr>
    </w:tbl>
    <w:p w:rsidR="00000000" w:rsidDel="00000000" w:rsidP="00000000" w:rsidRDefault="00000000" w:rsidRPr="00000000" w14:paraId="00000044">
      <w:pPr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62ufug6fyrzy" w:id="4"/>
      <w:bookmarkEnd w:id="4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Stage 3: Consolidation &amp; Infinite Scaling (July 2026 onward)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Objective: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24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Consolidate MVP results, scale winners, establish governance, and operationalize </w:t>
      </w: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infinite transcendence</w:t>
      </w: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 vision.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Key Actions: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Governance</w:t>
      </w:r>
    </w:p>
    <w:p w:rsidR="00000000" w:rsidDel="00000000" w:rsidP="00000000" w:rsidRDefault="00000000" w:rsidRPr="00000000" w14:paraId="0000004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Create self-amending decision-making framework</w:t>
      </w:r>
    </w:p>
    <w:p w:rsidR="00000000" w:rsidDel="00000000" w:rsidP="00000000" w:rsidRDefault="00000000" w:rsidRPr="00000000" w14:paraId="0000004B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Ethics board + strategic advisory council</w:t>
      </w:r>
    </w:p>
    <w:p w:rsidR="00000000" w:rsidDel="00000000" w:rsidP="00000000" w:rsidRDefault="00000000" w:rsidRPr="00000000" w14:paraId="0000004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Meta-goals alignment protocol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Scaling</w:t>
      </w:r>
    </w:p>
    <w:p w:rsidR="00000000" w:rsidDel="00000000" w:rsidP="00000000" w:rsidRDefault="00000000" w:rsidRPr="00000000" w14:paraId="0000004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Expand team globally</w:t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Automate workflows</w:t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Enterprise-level partnerships / platform scaling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R&amp;D / Moonshots</w:t>
      </w:r>
    </w:p>
    <w:p w:rsidR="00000000" w:rsidDel="00000000" w:rsidP="00000000" w:rsidRDefault="00000000" w:rsidRPr="00000000" w14:paraId="0000005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AI, biotech, energy, consciousness, societal systems</w:t>
      </w:r>
    </w:p>
    <w:p w:rsidR="00000000" w:rsidDel="00000000" w:rsidP="00000000" w:rsidRDefault="00000000" w:rsidRPr="00000000" w14:paraId="0000005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Long-term experiments with infinite impact potential</w:t>
      </w:r>
    </w:p>
    <w:p w:rsidR="00000000" w:rsidDel="00000000" w:rsidP="00000000" w:rsidRDefault="00000000" w:rsidRPr="00000000" w14:paraId="00000054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Metrics / KPIs</w:t>
      </w:r>
    </w:p>
    <w:tbl>
      <w:tblPr>
        <w:tblStyle w:val="Table3"/>
        <w:tblW w:w="9360.0" w:type="dxa"/>
        <w:jc w:val="left"/>
        <w:tblLayout w:type="fixed"/>
        <w:tblLook w:val="0600"/>
      </w:tblPr>
      <w:tblGrid>
        <w:gridCol w:w="2311.296"/>
        <w:gridCol w:w="3494.4"/>
        <w:gridCol w:w="3554.3039999999996"/>
        <w:tblGridChange w:id="0">
          <w:tblGrid>
            <w:gridCol w:w="2311.296"/>
            <w:gridCol w:w="3494.4"/>
            <w:gridCol w:w="3554.303999999999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44"/>
                <w:szCs w:val="44"/>
                <w:rtl w:val="0"/>
              </w:rPr>
              <w:t xml:space="preserve">Metric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44"/>
                <w:szCs w:val="44"/>
                <w:rtl w:val="0"/>
              </w:rPr>
              <w:t xml:space="preserve">Target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44"/>
                <w:szCs w:val="44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Governance framework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100% documented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Decision protocols, ethics, pivots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Knowledge expansion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44"/>
                <w:szCs w:val="44"/>
                <w:rtl w:val="0"/>
              </w:rPr>
              <w:t xml:space="preserve">≥50 high-value outputs/year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Research, AI, publications, tech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Team network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50–500 contributors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Flexible, global, cross-functional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Project success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44"/>
                <w:szCs w:val="44"/>
                <w:rtl w:val="0"/>
              </w:rPr>
              <w:t xml:space="preserve">≥20% moonshots achieve milestones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Tracks high-risk/high-reward impact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Funding sustainability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44"/>
                <w:szCs w:val="44"/>
                <w:rtl w:val="0"/>
              </w:rPr>
              <w:t xml:space="preserve">≥3 revenue streams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Reduces dependence on single source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Societal / tech impact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Quantified per project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Merriweather" w:cs="Merriweather" w:eastAsia="Merriweather" w:hAnsi="Merriweather"/>
                <w:sz w:val="44"/>
                <w:szCs w:val="4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44"/>
                <w:szCs w:val="44"/>
                <w:rtl w:val="0"/>
              </w:rPr>
              <w:t xml:space="preserve">Adoption, transformative reach</w:t>
            </w:r>
          </w:p>
        </w:tc>
      </w:tr>
    </w:tbl>
    <w:p w:rsidR="00000000" w:rsidDel="00000000" w:rsidP="00000000" w:rsidRDefault="00000000" w:rsidRPr="00000000" w14:paraId="0000006A">
      <w:pPr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2ec19ulvqpau" w:id="5"/>
      <w:bookmarkEnd w:id="5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Stage 4: Personal / Founder Focus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Full dedication:</w:t>
      </w: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 100 hr/week, zero distractions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No personal life commitments until Aug 2026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Target personal timeline:</w:t>
      </w: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 August 2026 → start personal life, January 2027 → lock in partner</w:t>
      </w:r>
    </w:p>
    <w:p w:rsidR="00000000" w:rsidDel="00000000" w:rsidP="00000000" w:rsidRDefault="00000000" w:rsidRPr="00000000" w14:paraId="0000006F">
      <w:pPr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7oxlnqmjw2i9" w:id="6"/>
      <w:bookmarkEnd w:id="6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Stage 5: Long-Term Infinite Transcendence (2027 onward)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Objective: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spacing w:after="24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Ma’ruf becomes a self-sustaining, globally scalable organization capable of </w:t>
      </w: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never-ending evolution</w:t>
      </w: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.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Key Structures:</w:t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Knowledge &amp; Civilization OS:</w:t>
      </w: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 Versioned repository of tech, processes, philosophy, AI, R&amp;D learnings.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Self-amending Governance:</w:t>
      </w: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 Rules for infinite adaptation to societal, tech, and environmental shifts.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High-Leverage Moonshots:</w:t>
      </w: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 Projects that change humanity, society, or reality.</w:t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Meta-Metrics:</w:t>
      </w: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 Track transcendence KPIs: societal impact, intelligence amplification, technological leverage.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KPIs:</w:t>
      </w:r>
    </w:p>
    <w:p w:rsidR="00000000" w:rsidDel="00000000" w:rsidP="00000000" w:rsidRDefault="00000000" w:rsidRPr="00000000" w14:paraId="00000079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Knowledge output: ≥100 transformative outputs/year</w:t>
      </w:r>
    </w:p>
    <w:p w:rsidR="00000000" w:rsidDel="00000000" w:rsidP="00000000" w:rsidRDefault="00000000" w:rsidRPr="00000000" w14:paraId="0000007A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Team contributors: scalable to 1000+ global contributors</w:t>
      </w:r>
    </w:p>
    <w:p w:rsidR="00000000" w:rsidDel="00000000" w:rsidP="00000000" w:rsidRDefault="00000000" w:rsidRPr="00000000" w14:paraId="0000007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Moonshot success rate: 20–30% of high-risk projects</w:t>
      </w:r>
    </w:p>
    <w:p w:rsidR="00000000" w:rsidDel="00000000" w:rsidP="00000000" w:rsidRDefault="00000000" w:rsidRPr="00000000" w14:paraId="0000007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Revenue diversification: 5+ streams for infinite sustainability</w:t>
      </w:r>
    </w:p>
    <w:p w:rsidR="00000000" w:rsidDel="00000000" w:rsidP="00000000" w:rsidRDefault="00000000" w:rsidRPr="00000000" w14:paraId="0000007D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Impact metrics: adoption, transformative scale, measurable societal uplift</w:t>
      </w:r>
    </w:p>
    <w:p w:rsidR="00000000" w:rsidDel="00000000" w:rsidP="00000000" w:rsidRDefault="00000000" w:rsidRPr="00000000" w14:paraId="0000007E">
      <w:pPr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rFonts w:ascii="Merriweather" w:cs="Merriweather" w:eastAsia="Merriweather" w:hAnsi="Merriweather"/>
          <w:b w:val="1"/>
          <w:color w:val="000000"/>
          <w:sz w:val="26"/>
          <w:szCs w:val="26"/>
        </w:rPr>
      </w:pPr>
      <w:bookmarkStart w:colFirst="0" w:colLast="0" w:name="_9dj16zfa88oz" w:id="7"/>
      <w:bookmarkEnd w:id="7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6"/>
          <w:szCs w:val="26"/>
          <w:rtl w:val="0"/>
        </w:rPr>
        <w:t xml:space="preserve">Stage 6: Continuous Feedback &amp; Adaptation</w:t>
      </w:r>
    </w:p>
    <w:p w:rsidR="00000000" w:rsidDel="00000000" w:rsidP="00000000" w:rsidRDefault="00000000" w:rsidRPr="00000000" w14:paraId="00000080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Every quarter: Review MVPs, R&amp;D, revenue, team, and KPIs</w:t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Pivot or kill failing projects immediately</w:t>
      </w:r>
    </w:p>
    <w:p w:rsidR="00000000" w:rsidDel="00000000" w:rsidP="00000000" w:rsidRDefault="00000000" w:rsidRPr="00000000" w14:paraId="0000008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Scale successful MVPs into long-term operations</w:t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sz w:val="44"/>
          <w:szCs w:val="44"/>
          <w:rtl w:val="0"/>
        </w:rPr>
        <w:t xml:space="preserve">Continuously update governance and knowledge frameworks</w:t>
      </w:r>
    </w:p>
    <w:p w:rsidR="00000000" w:rsidDel="00000000" w:rsidP="00000000" w:rsidRDefault="00000000" w:rsidRPr="00000000" w14:paraId="00000084">
      <w:pPr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Summary / Flow:</w:t>
      </w:r>
    </w:p>
    <w:p w:rsidR="00000000" w:rsidDel="00000000" w:rsidP="00000000" w:rsidRDefault="00000000" w:rsidRPr="00000000" w14:paraId="00000086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Stage 1 (Planning / 2023–2025) → prep, leave blank</w:t>
      </w:r>
    </w:p>
    <w:p w:rsidR="00000000" w:rsidDel="00000000" w:rsidP="00000000" w:rsidRDefault="00000000" w:rsidRPr="00000000" w14:paraId="0000008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Stage 2 (Explosion / July 2025–July 2026) → 50 MVPs, $1B valuation, 100 hr/week grind</w:t>
      </w:r>
    </w:p>
    <w:p w:rsidR="00000000" w:rsidDel="00000000" w:rsidP="00000000" w:rsidRDefault="00000000" w:rsidRPr="00000000" w14:paraId="0000008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Stage 3 (Consolidation / July 2026+) → scale winners, governance, infinite framework</w:t>
      </w:r>
    </w:p>
    <w:p w:rsidR="00000000" w:rsidDel="00000000" w:rsidP="00000000" w:rsidRDefault="00000000" w:rsidRPr="00000000" w14:paraId="00000089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Stage 4 (Personal life / Aug 2026–Jan 2027) → founder focus shifts</w:t>
      </w:r>
    </w:p>
    <w:p w:rsidR="00000000" w:rsidDel="00000000" w:rsidP="00000000" w:rsidRDefault="00000000" w:rsidRPr="00000000" w14:paraId="0000008A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Stage 5 (Infinite Transcendence / 2027 onward) → self-sustaining civilization-scale operation</w:t>
      </w:r>
    </w:p>
    <w:p w:rsidR="00000000" w:rsidDel="00000000" w:rsidP="00000000" w:rsidRDefault="00000000" w:rsidRPr="00000000" w14:paraId="0000008B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Fonts w:ascii="Nova Mono" w:cs="Nova Mono" w:eastAsia="Nova Mono" w:hAnsi="Nova Mono"/>
          <w:sz w:val="44"/>
          <w:szCs w:val="44"/>
          <w:rtl w:val="0"/>
        </w:rPr>
        <w:t xml:space="preserve">Stage 6 (Continuous Feedback / ongoing) → pivot, adapt, scale</w:t>
      </w:r>
    </w:p>
    <w:p w:rsidR="00000000" w:rsidDel="00000000" w:rsidP="00000000" w:rsidRDefault="00000000" w:rsidRPr="00000000" w14:paraId="0000008C">
      <w:pPr>
        <w:rPr>
          <w:rFonts w:ascii="Merriweather" w:cs="Merriweather" w:eastAsia="Merriweather" w:hAnsi="Merriweather"/>
          <w:sz w:val="44"/>
          <w:szCs w:val="44"/>
        </w:rPr>
      </w:pPr>
      <w:r w:rsidDel="00000000" w:rsidR="00000000" w:rsidRPr="00000000">
        <w:rPr>
          <w:rtl w:val="0"/>
        </w:rPr>
      </w:r>
    </w:p>
    <w:sectPr>
      <w:headerReference r:id="rId6" w:type="first"/>
      <w:footerReference r:id="rId7" w:type="default"/>
      <w:footerReference r:id="rId8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jc w:val="center"/>
      <w:rPr>
        <w:rFonts w:ascii="Merriweather" w:cs="Merriweather" w:eastAsia="Merriweather" w:hAnsi="Merriweather"/>
      </w:rPr>
    </w:pPr>
    <w:r w:rsidDel="00000000" w:rsidR="00000000" w:rsidRPr="00000000">
      <w:rPr>
        <w:rFonts w:ascii="Merriweather" w:cs="Merriweather" w:eastAsia="Merriweather" w:hAnsi="Merriweather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