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Step Plan for Boosting Funds for the Muslim Community Association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Grassroots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Business Advertising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 of Mouth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I aim to work with local businesses with high Muslim customer bases (restaurants, halal shops, etc.) by co-advertising (i.e - simply putting flyers, and other small-scale things) in order to secure additional funding for MCA. Also, I have a moderately large social circle so I will aspire to spread the word through that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that step 1 is entirely on my end, I just wanted to inform you of their usefulness.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Fund Matching/Partnership Programs with Large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Government grants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Wealthy philanthropist targeting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Boosting membership fees temporarily [STRONGLY DISADVISE]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Corporate sponsorship programs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Brother, many of these you might have heard of - are currently using already. But one common emphasis I see for many of these is networking + grant writing. I am an excellent writer and can benefit/pump out grant applications to many large and small companies, so please let me know if there’s any avenues/applications/grants you would like me to assist with.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There are many I am sure MCA has yet to tap into, but I first need a list of which ones are being used so I can know which ones to avoid.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Online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Patreon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Gofundme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Brother, again you might have already thought of some of these. But I do not see any sustained online campaign to increase MCA funding as per right now (4/29/21) -&gt; but I have seen this principle of online funding work with much smaller, less networked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I strongly recommend looking into fund matching/grants + online campaigns, as I can take care of the grassroots stuff on my end. I can certainly assist with steps 2 and 3 as well.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