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083C11BA"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 name.ext</w:t>
            </w:r>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1EECE29D" w:rsidR="005E682B" w:rsidRDefault="005E682B" w:rsidP="004663B7">
            <w:pPr>
              <w:cnfStyle w:val="000000000000" w:firstRow="0" w:lastRow="0" w:firstColumn="0" w:lastColumn="0" w:oddVBand="0" w:evenVBand="0" w:oddHBand="0" w:evenHBand="0" w:firstRowFirstColumn="0" w:firstRowLastColumn="0" w:lastRowFirstColumn="0" w:lastRowLastColumn="0"/>
            </w:pPr>
            <w:r>
              <w:t>Remember to put / infront of the css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w:t>
            </w:r>
            <w:r>
              <w:t>{name: “value”}</w:t>
            </w:r>
            <w:r>
              <w:t>)</w:t>
            </w:r>
            <w:r>
              <w:t xml:space="preserv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w:t>
            </w:r>
            <w:r>
              <w:t>Many</w:t>
            </w:r>
            <w:r>
              <w:t>({Attribute},{newAttribuute})</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w:t>
            </w:r>
            <w:r>
              <w:t>$set: {attributes}</w:t>
            </w:r>
            <w:r>
              <w:t>})</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w:t>
            </w:r>
            <w:r>
              <w:t>dogs</w:t>
            </w:r>
            <w:r>
              <w:t>.update({</w:t>
            </w:r>
            <w:r>
              <w:t>name: “puffy”</w:t>
            </w:r>
            <w:r>
              <w:t>},{$set: {</w:t>
            </w:r>
            <w:r>
              <w:t xml:space="preserve">breed: “puddle”, cute: false </w:t>
            </w:r>
            <w:r>
              <w:t>}</w:t>
            </w:r>
            <w:r>
              <w:t xml:space="preserve"> </w:t>
            </w:r>
            <w:r>
              <w:t>}</w:t>
            </w:r>
            <w:r>
              <w:t xml:space="preserve"> </w:t>
            </w:r>
            <w:r>
              <w:t>)</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Pacakage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lastRenderedPageBreak/>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75AC2"/>
    <w:rsid w:val="00077965"/>
    <w:rsid w:val="000A3133"/>
    <w:rsid w:val="000B2152"/>
    <w:rsid w:val="000D75C1"/>
    <w:rsid w:val="0016550A"/>
    <w:rsid w:val="00171942"/>
    <w:rsid w:val="00181865"/>
    <w:rsid w:val="00202108"/>
    <w:rsid w:val="00253E9B"/>
    <w:rsid w:val="00264978"/>
    <w:rsid w:val="002A50CF"/>
    <w:rsid w:val="002C1FD7"/>
    <w:rsid w:val="002E6706"/>
    <w:rsid w:val="003024A2"/>
    <w:rsid w:val="00357598"/>
    <w:rsid w:val="003E0D6A"/>
    <w:rsid w:val="00435E54"/>
    <w:rsid w:val="0044030D"/>
    <w:rsid w:val="00440E8A"/>
    <w:rsid w:val="00445627"/>
    <w:rsid w:val="00447E1E"/>
    <w:rsid w:val="004663B7"/>
    <w:rsid w:val="0047175A"/>
    <w:rsid w:val="00473230"/>
    <w:rsid w:val="00495397"/>
    <w:rsid w:val="005C61EF"/>
    <w:rsid w:val="005E0541"/>
    <w:rsid w:val="005E682B"/>
    <w:rsid w:val="00623AD9"/>
    <w:rsid w:val="0069154F"/>
    <w:rsid w:val="007225A3"/>
    <w:rsid w:val="007574A8"/>
    <w:rsid w:val="007627C4"/>
    <w:rsid w:val="00840E90"/>
    <w:rsid w:val="00846A2D"/>
    <w:rsid w:val="00876755"/>
    <w:rsid w:val="00876F52"/>
    <w:rsid w:val="008D0845"/>
    <w:rsid w:val="008E0FA9"/>
    <w:rsid w:val="00916C92"/>
    <w:rsid w:val="00926036"/>
    <w:rsid w:val="00976FCE"/>
    <w:rsid w:val="00AA393A"/>
    <w:rsid w:val="00AB5370"/>
    <w:rsid w:val="00B109F1"/>
    <w:rsid w:val="00B51652"/>
    <w:rsid w:val="00B90B3B"/>
    <w:rsid w:val="00BC1999"/>
    <w:rsid w:val="00C1073E"/>
    <w:rsid w:val="00C3260F"/>
    <w:rsid w:val="00C722A5"/>
    <w:rsid w:val="00C92252"/>
    <w:rsid w:val="00CE72F2"/>
    <w:rsid w:val="00D40552"/>
    <w:rsid w:val="00D54A0B"/>
    <w:rsid w:val="00DB5BC4"/>
    <w:rsid w:val="00DD2A2C"/>
    <w:rsid w:val="00E8178C"/>
    <w:rsid w:val="00E95EEE"/>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10</cp:revision>
  <dcterms:created xsi:type="dcterms:W3CDTF">2020-06-09T09:34:00Z</dcterms:created>
  <dcterms:modified xsi:type="dcterms:W3CDTF">2020-06-13T11:04:00Z</dcterms:modified>
</cp:coreProperties>
</file>