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 Captions</w:t>
      </w:r>
    </w:p>
    <w:p>
      <w:r>
        <w:rPr>
          <w:b/>
        </w:rPr>
        <w:t xml:space="preserve">Figure 1. </w:t>
      </w:r>
      <w:r>
        <w:t>Development and final held-out discrimination. AUROC and area under the precision-recall curve (AUPRC) are shown for the predeclared Group Distributionally Robust Optimization (GroupDRO) primary candidate and matched empirical risk minimization (ERM) control on development center 1 and the separately reserved final center 2. Development results informed model assessment; final results came from one authorized held-out run.</w:t>
      </w:r>
    </w:p>
    <w:p>
      <w:r>
        <w:rPr>
          <w:b/>
        </w:rPr>
        <w:t xml:space="preserve">Figure 2. </w:t>
      </w:r>
      <w:r>
        <w:t>Final held-out center-2 default-threshold performance. Accuracy, sensitivity, specificity, precision, and F1 are shown at the prespecified threshold of 0.5 for the predeclared GroupDRO primary candidate and matched ERM control. The threshold is a reporting default, not a clinically validated operating threshold.</w:t>
      </w:r>
    </w:p>
    <w:p>
      <w:r>
        <w:rPr>
          <w:b/>
        </w:rPr>
        <w:t xml:space="preserve">Figure 3. </w:t>
      </w:r>
      <w:r>
        <w:t>Development-to-final reversal in AUROC. GroupDRO minus ERM was positive on development center 1 and negative on final held-out center 2. GroupDRO remains the predeclared primary candidate and ERM the matched control; the final result does not imply universal ERM superiority.</w:t>
      </w:r>
    </w:p>
    <w:p>
      <w:r>
        <w:rPr>
          <w:b/>
        </w:rPr>
        <w:t xml:space="preserve">Figure 4. </w:t>
      </w:r>
      <w:r>
        <w:t>Raw versus frozen-temperature calibrated reliability on final held-out center 2. Expected calibration error (ECE), Brier score, and negative log-likelihood (NLL) improved after applying temperatures frozen before test access. Calibration was not refit on center 2 and did not change hard predictions or total false negatives.</w:t>
      </w:r>
    </w:p>
    <w:p>
      <w:r>
        <w:rPr>
          <w:b/>
        </w:rPr>
        <w:t xml:space="preserve">Figure 5. </w:t>
      </w:r>
      <w:r>
        <w:t>Transfer of candidate operating points to final held-out center 2. Nominal development sensitivity or specificity targets are compared with final achieved values for thresholds selected only on in-distribution validation data. All operating points are candidate/non-clinical; no threshold was selected or tuned on the final hospital.</w:t>
      </w:r>
    </w:p>
    <w:p>
      <w:r>
        <w:rPr>
          <w:b/>
        </w:rPr>
        <w:t xml:space="preserve">Figure 6. </w:t>
      </w:r>
      <w:r>
        <w:t>High-confidence false negatives on final held-out center 2. Counts at confidence thresholds 0.90, 0.95, and 0.99 are shown before and after frozen temperature scaling for GroupDRO and matched ERM. Calibration reduced confidently stated misses but did not change the underlying total false-negative count.</w:t>
      </w:r>
    </w:p>
    <w:sectPr>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276"/>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Development Gains Do Not Transfer: Confidence-Aware Tumor Detection Under Reserved-Hospital Shift</dc:title>
  <dc:subject>Original Research Article</dc:subject>
  <dc:creator>Anonymous</dc:creator>
  <cp:keywords>Computational pathology; Domain shift; External validation; Model calibration; GroupDRO; Histopathology; Reliability</cp:keywords>
  <dc:description>generated by python-docx</dc:description>
  <cp:lastModifiedBy>Anonymous</cp:lastModifiedBy>
  <cp:revision>1</cp:revision>
  <dcterms:created xsi:type="dcterms:W3CDTF">2013-12-23T23:15:00Z</dcterms:created>
  <dcterms:modified xsi:type="dcterms:W3CDTF">2013-12-23T23:15:00Z</dcterms:modified>
  <cp:category/>
</cp:coreProperties>
</file>