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Author Declarations</w:t>
      </w:r>
    </w:p>
    <w:p>
      <w:pPr>
        <w:pStyle w:val="Heading1"/>
      </w:pPr>
      <w:r>
        <w:t>CRediT author statement</w:t>
      </w:r>
    </w:p>
    <w:p>
      <w:r>
        <w:t>Jishan Islam Maruf: Conceptualization, Methodology, Software, Validation, Formal analysis, Investigation, Data curation, Visualization, Writing – original draft, Writing – review and editing, and Project administration.</w:t>
      </w:r>
    </w:p>
    <w:p>
      <w:r>
        <w:t>Ishtiak Al Mamoon: Supervision, Validation, and Writing – review and editing.</w:t>
      </w:r>
    </w:p>
    <w:p>
      <w:pPr>
        <w:pStyle w:val="Heading1"/>
      </w:pPr>
      <w:r>
        <w:t>Funding</w:t>
      </w:r>
    </w:p>
    <w:p>
      <w:r>
        <w:t>This research did not receive any specific grant from funding agencies in the public, commercial, or not-for-profit sectors.</w:t>
      </w:r>
    </w:p>
    <w:p>
      <w:pPr>
        <w:pStyle w:val="Heading1"/>
      </w:pPr>
      <w:r>
        <w:t>Declaration of competing interests</w:t>
      </w:r>
    </w:p>
    <w:p>
      <w:r>
        <w:t>The authors declare that they have no known competing financial interests or personal relationships that could have influenced the work reported in this article.</w:t>
      </w:r>
    </w:p>
    <w:p>
      <w:pPr>
        <w:pStyle w:val="Heading1"/>
      </w:pPr>
      <w:r>
        <w:t>Ethics approval and informed consent</w:t>
      </w:r>
    </w:p>
    <w:p>
      <w:r>
        <w:t>Ethics approval and informed consent were not required for this study because it involved secondary analysis of a publicly available, de-identified benchmark dataset. No participants were prospectively recruited, no intervention was performed, and no identifiable private information was accessed. Responsibility for the original data collection and its associated ethical approvals remained with the original dataset creators.</w:t>
      </w:r>
    </w:p>
    <w:p>
      <w:pPr>
        <w:pStyle w:val="Heading1"/>
      </w:pPr>
      <w:r>
        <w:t>Consent for publication</w:t>
      </w:r>
    </w:p>
    <w:p>
      <w:r>
        <w:t>Not applicable. The manuscript contains no identifiable individual-level information.</w:t>
      </w:r>
    </w:p>
    <w:p>
      <w:pPr>
        <w:pStyle w:val="Heading1"/>
      </w:pPr>
      <w:r>
        <w:t>Data availability</w:t>
      </w:r>
    </w:p>
    <w:p>
      <w:r>
        <w:t>The source dataset is publicly available through the CAMELYON17-WILDS benchmark and the Hugging Face dataset mirror identified in the Methods. The study did not redistribute source histopathology images. Aggregate result tables, non-image figures, protocol documentation, and reproducibility materials supporting this article are publicly available at https://github.com/MaruflRana/histopath-domain-shift-confidence. Raw patch-level predictions, source images, trained checkpoints, authorization records, and local run-state artifacts are not publicly distributed.</w:t>
      </w:r>
    </w:p>
    <w:p>
      <w:pPr>
        <w:pStyle w:val="Heading1"/>
      </w:pPr>
      <w:r>
        <w:t>Code availability</w:t>
      </w:r>
    </w:p>
    <w:p>
      <w:r>
        <w:t>Source code, configurations, guarded evaluation scripts, manuscript-generation scripts, and reproducibility documentation are publicly available at https://github.com/MaruflRana/histopath-domain-shift-confidence. The repository intentionally excludes source histopathology images, trained checkpoints, raw patch-level predictions, credentials, authorization records, run sentinels, and environment-specific caches.</w:t>
      </w:r>
    </w:p>
    <w:p>
      <w:pPr>
        <w:pStyle w:val="Heading1"/>
      </w:pPr>
      <w:r>
        <w:t>Declaration of generative AI and AI-assisted technologies in the manuscript preparation process</w:t>
      </w:r>
    </w:p>
    <w:p>
      <w:r>
        <w:t>During preparation of this work, the corresponding author used OpenAI ChatGPT and Codex and Anthropic Claude Code to support code drafting, workflow documentation, literature-search assistance, citation verification, content organization, and language refinement. All experimental decisions, code execution, source verification, statistical results, scientific interpretation, and manuscript revisions were reviewed and validated by the corresponding author. Both authors reviewed and approved the final manuscript and this disclosure. No generative AI or AI-assisted image-generation tool was used to create or alter scientific figures, images, data, or experimental results.</w:t>
      </w:r>
    </w:p>
    <w:p>
      <w:pPr>
        <w:pStyle w:val="Heading1"/>
      </w:pPr>
      <w:r>
        <w:t>Acknowledgements</w:t>
      </w:r>
    </w:p>
    <w:p>
      <w:r>
        <w:t>The authors acknowledge the creators and maintainers of the CAMELYON17 and WILDS resources and the open-source scientific-software communities whose tools supported the reproducible analysis.</w:t>
      </w:r>
    </w:p>
    <w:sectPr>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Rule="auto" w:line="276"/>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4D7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Development Gains Do Not Transfer: Confidence-Aware Tumor Detection Under Reserved-Hospital Shift</dc:title>
  <dc:subject>Original Research Article</dc:subject>
  <dc:creator>Jishan Islam Maruf; Ishtiak Al Mamoon</dc:creator>
  <cp:keywords>Computational pathology; Domain shift; External validation; Model calibration; GroupDRO; Histopathology; Reliability</cp:keywords>
  <dc:description>generated by python-docx</dc:description>
  <cp:lastModifiedBy>Jishan Islam Maruf; Ishtiak Al Mamoon</cp:lastModifiedBy>
  <cp:revision>1</cp:revision>
  <dcterms:created xsi:type="dcterms:W3CDTF">2013-12-23T23:15:00Z</dcterms:created>
  <dcterms:modified xsi:type="dcterms:W3CDTF">2013-12-23T23:15:00Z</dcterms:modified>
  <cp:category/>
</cp:coreProperties>
</file>