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CLAIM 2024 Reporting Checklist</w:t>
      </w:r>
    </w:p>
    <w:p>
      <w:r>
        <w:t>Completed against the Checklist for Artificial Intelligence in Medical Imaging (CLAIM): 2024 Update. ‘No’ and ‘Not applicable’ entries are retained transparently and are not presented as completed clinical reporting.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7F7F7F"/>
          <w:bottom w:val="single" w:sz="4" w:color="7F7F7F"/>
          <w:insideH w:val="single" w:sz="4" w:color="7F7F7F"/>
          <w:left w:val="nil"/>
          <w:right w:val="nil"/>
          <w:insideV w:val="nil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5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sz w:val="14"/>
              </w:rPr>
              <w:t>Item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sz w:val="14"/>
              </w:rPr>
              <w:t>CLAIM element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sz w:val="14"/>
              </w:rPr>
              <w:t>Applicable/compliant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sz w:val="14"/>
              </w:rPr>
              <w:t>Manuscript heading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sz w:val="14"/>
              </w:rPr>
              <w:t>Compliance note</w:t>
            </w:r>
          </w:p>
        </w:tc>
      </w:tr>
      <w:tr>
        <w:trPr>
          <w:trHeight w:hRule="atLeast"/>
        </w:trPr>
        <w:tc>
          <w:tcPr>
            <w:tcW w:type="dxa" w:w="57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AI methodology identified in title or abstract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Yes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Title; Abstract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Deep-learning model type and GroupDRO/ERM comparison are identified.</w:t>
            </w:r>
          </w:p>
        </w:tc>
      </w:tr>
      <w:tr>
        <w:trPr>
          <w:trHeight w:hRule="atLeast"/>
        </w:trPr>
        <w:tc>
          <w:tcPr>
            <w:tcW w:type="dxa" w:w="57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Abstract summarizes design, data partitions, results, and conclusions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Yes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Abstract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Public benchmark, patch-level split design, primary outcomes, and limitations are summarized.</w:t>
            </w:r>
          </w:p>
        </w:tc>
      </w:tr>
      <w:tr>
        <w:trPr>
          <w:trHeight w:hRule="atLeast"/>
        </w:trPr>
        <w:tc>
          <w:tcPr>
            <w:tcW w:type="dxa" w:w="57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Scientific and clinical background and intended role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Yes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1. Introduction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Hospital-shift motivation and non-clinical study scope are stated.</w:t>
            </w:r>
          </w:p>
        </w:tc>
      </w:tr>
      <w:tr>
        <w:trPr>
          <w:trHeight w:hRule="atLeast"/>
        </w:trPr>
        <w:tc>
          <w:tcPr>
            <w:tcW w:type="dxa" w:w="57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Study aims and prespecified question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Yes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1. Introduction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Transfer of development advantage, calibration, and operating policies is the stated question.</w:t>
            </w:r>
          </w:p>
        </w:tc>
      </w:tr>
      <w:tr>
        <w:trPr>
          <w:trHeight w:hRule="atLeast"/>
        </w:trPr>
        <w:tc>
          <w:tcPr>
            <w:tcW w:type="dxa" w:w="57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Prospective or retrospective design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Yes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2.1; Ethics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Secondary retrospective analysis of a public de-identified benchmark is stated.</w:t>
            </w:r>
          </w:p>
        </w:tc>
      </w:tr>
      <w:tr>
        <w:trPr>
          <w:trHeight w:hRule="atLeast"/>
        </w:trPr>
        <w:tc>
          <w:tcPr>
            <w:tcW w:type="dxa" w:w="57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6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Study goal and prediction target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Yes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2.1; 2.3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Patch-level binary tumor classification is defined; no clinical deployment role is claimed.</w:t>
            </w:r>
          </w:p>
        </w:tc>
      </w:tr>
      <w:tr>
        <w:trPr>
          <w:trHeight w:hRule="atLeast"/>
        </w:trPr>
        <w:tc>
          <w:tcPr>
            <w:tcW w:type="dxa" w:w="57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7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Data sources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Yes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2.1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Camelyon17-WILDS and the Hugging Face mirror identifier are stated.</w:t>
            </w:r>
          </w:p>
        </w:tc>
      </w:tr>
      <w:tr>
        <w:trPr>
          <w:trHeight w:hRule="atLeast"/>
        </w:trPr>
        <w:tc>
          <w:tcPr>
            <w:tcW w:type="dxa" w:w="57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8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Inclusion and exclusion criteria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Yes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2.1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Established split and exact center restrictions are specified; no random sampling was used in full evaluation.</w:t>
            </w:r>
          </w:p>
        </w:tc>
      </w:tr>
      <w:tr>
        <w:trPr>
          <w:trHeight w:hRule="atLeast"/>
        </w:trPr>
        <w:tc>
          <w:tcPr>
            <w:tcW w:type="dxa" w:w="57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9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Data preprocessing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Yes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2.1; 2.3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Patch dimensions and RGBA-to-RGB conversion are reported; code package provides technical detail.</w:t>
            </w:r>
          </w:p>
        </w:tc>
      </w:tr>
      <w:tr>
        <w:trPr>
          <w:trHeight w:hRule="atLeast"/>
        </w:trPr>
        <w:tc>
          <w:tcPr>
            <w:tcW w:type="dxa" w:w="57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10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Selection of data subsets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Yes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2.2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Capped center-by-label training and validation caches are described and limited.</w:t>
            </w:r>
          </w:p>
        </w:tc>
      </w:tr>
      <w:tr>
        <w:trPr>
          <w:trHeight w:hRule="atLeast"/>
        </w:trPr>
        <w:tc>
          <w:tcPr>
            <w:tcW w:type="dxa" w:w="57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11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De-identification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Yes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Ethics approval and informed consent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Use of a publicly available, de-identified benchmark is stated; original governance remains with creators.</w:t>
            </w:r>
          </w:p>
        </w:tc>
      </w:tr>
      <w:tr>
        <w:trPr>
          <w:trHeight w:hRule="atLeast"/>
        </w:trPr>
        <w:tc>
          <w:tcPr>
            <w:tcW w:type="dxa" w:w="57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Missing data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Yes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2.7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Required metadata completeness was validated; no imputation was performed.</w:t>
            </w:r>
          </w:p>
        </w:tc>
      </w:tr>
      <w:tr>
        <w:trPr>
          <w:trHeight w:hRule="atLeast"/>
        </w:trPr>
        <w:tc>
          <w:tcPr>
            <w:tcW w:type="dxa" w:w="57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13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Image acquisition protocol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4.5 Limitations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Scanner and laboratory acquisition details were not available in the patch benchmark metadata used here.</w:t>
            </w:r>
          </w:p>
        </w:tc>
      </w:tr>
      <w:tr>
        <w:trPr>
          <w:trHeight w:hRule="atLeast"/>
        </w:trPr>
        <w:tc>
          <w:tcPr>
            <w:tcW w:type="dxa" w:w="57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14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Reference standard definition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Yes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2.1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Binary benchmark label mapping is specified.</w:t>
            </w:r>
          </w:p>
        </w:tc>
      </w:tr>
      <w:tr>
        <w:trPr>
          <w:trHeight w:hRule="atLeast"/>
        </w:trPr>
        <w:tc>
          <w:tcPr>
            <w:tcW w:type="dxa" w:w="57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15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Rationale for reference standard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Yes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2.1; 4.5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Established benchmark labels were retained; patch-level scope is acknowledged.</w:t>
            </w:r>
          </w:p>
        </w:tc>
      </w:tr>
      <w:tr>
        <w:trPr>
          <w:trHeight w:hRule="atLeast"/>
        </w:trPr>
        <w:tc>
          <w:tcPr>
            <w:tcW w:type="dxa" w:w="57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16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Source of reference-standard annotations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Yes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2.1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Labels are attributed to the public CAMELYON17-WILDS resource and cited.</w:t>
            </w:r>
          </w:p>
        </w:tc>
      </w:tr>
      <w:tr>
        <w:trPr>
          <w:trHeight w:hRule="atLeast"/>
        </w:trPr>
        <w:tc>
          <w:tcPr>
            <w:tcW w:type="dxa" w:w="57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17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Annotation of test set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2.1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 new annotation was performed; established benchmark test labels were used unchanged.</w:t>
            </w:r>
          </w:p>
        </w:tc>
      </w:tr>
      <w:tr>
        <w:trPr>
          <w:trHeight w:hRule="atLeast"/>
        </w:trPr>
        <w:tc>
          <w:tcPr>
            <w:tcW w:type="dxa" w:w="57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18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Inter- and intrarater variability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Not applicable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4.5 Limitations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 new human annotation or reader study was performed.</w:t>
            </w:r>
          </w:p>
        </w:tc>
      </w:tr>
      <w:tr>
        <w:trPr>
          <w:trHeight w:hRule="atLeast"/>
        </w:trPr>
        <w:tc>
          <w:tcPr>
            <w:tcW w:type="dxa" w:w="57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19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Assignment to data partitions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Yes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2.1; Table 1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HF split, centers, row counts, and roles are explicit.</w:t>
            </w:r>
          </w:p>
        </w:tc>
      </w:tr>
      <w:tr>
        <w:trPr>
          <w:trHeight w:hRule="atLeast"/>
        </w:trPr>
        <w:tc>
          <w:tcPr>
            <w:tcW w:type="dxa" w:w="57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20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Level at which partitions are disjoint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Yes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2.1; 4.5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Established hospital-center split is reported; patch-level correlations and patient-level limits are acknowledged.</w:t>
            </w:r>
          </w:p>
        </w:tc>
      </w:tr>
      <w:tr>
        <w:trPr>
          <w:trHeight w:hRule="atLeast"/>
        </w:trPr>
        <w:tc>
          <w:tcPr>
            <w:tcW w:type="dxa" w:w="57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21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Testing-set sample size and determination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Yes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2.7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The complete established center-2 split of 85,054 patches was used; no power calculation was performed.</w:t>
            </w:r>
          </w:p>
        </w:tc>
      </w:tr>
      <w:tr>
        <w:trPr>
          <w:trHeight w:hRule="atLeast"/>
        </w:trPr>
        <w:tc>
          <w:tcPr>
            <w:tcW w:type="dxa" w:w="57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22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Detailed model description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Yes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2.3-2.5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ResNet-18, two-logit head, ERM loss, and GroupDRO-by-center objective are described.</w:t>
            </w:r>
          </w:p>
        </w:tc>
      </w:tr>
      <w:tr>
        <w:trPr>
          <w:trHeight w:hRule="atLeast"/>
        </w:trPr>
        <w:tc>
          <w:tcPr>
            <w:tcW w:type="dxa" w:w="57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23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Software libraries and hardware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Yes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Supplementary material; code package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Environment and GPU details are included in reproducibility materials.</w:t>
            </w:r>
          </w:p>
        </w:tc>
      </w:tr>
      <w:tr>
        <w:trPr>
          <w:trHeight w:hRule="atLeast"/>
        </w:trPr>
        <w:tc>
          <w:tcPr>
            <w:tcW w:type="dxa" w:w="57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24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Model parameter initialization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Yes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2.4-2.5; code package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Controlled matching and seed are reported; scripts/configurations provide exact settings.</w:t>
            </w:r>
          </w:p>
        </w:tc>
      </w:tr>
      <w:tr>
        <w:trPr>
          <w:trHeight w:hRule="atLeast"/>
        </w:trPr>
        <w:tc>
          <w:tcPr>
            <w:tcW w:type="dxa" w:w="57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25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Training approach and hyperparameters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Yes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2.2-2.5; code package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Cache, objective, optimizer matching, schedule, and model-selection rule are documented; full config is packaged.</w:t>
            </w:r>
          </w:p>
        </w:tc>
      </w:tr>
      <w:tr>
        <w:trPr>
          <w:trHeight w:hRule="atLeast"/>
        </w:trPr>
        <w:tc>
          <w:tcPr>
            <w:tcW w:type="dxa" w:w="57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26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Final-model selection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Yes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2.6-2.7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Selection used development evidence and id_val loss before reserved-center access.</w:t>
            </w:r>
          </w:p>
        </w:tc>
      </w:tr>
      <w:tr>
        <w:trPr>
          <w:trHeight w:hRule="atLeast"/>
        </w:trPr>
        <w:tc>
          <w:tcPr>
            <w:tcW w:type="dxa" w:w="57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27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Ensembling technique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Not applicable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2.3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 ensemble was used.</w:t>
            </w:r>
          </w:p>
        </w:tc>
      </w:tr>
      <w:tr>
        <w:trPr>
          <w:trHeight w:hRule="atLeast"/>
        </w:trPr>
        <w:tc>
          <w:tcPr>
            <w:tcW w:type="dxa" w:w="57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28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Performance metrics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Yes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2.11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Discrimination, classification, calibration, operating-point, and error-audit metrics are prespecified.</w:t>
            </w:r>
          </w:p>
        </w:tc>
      </w:tr>
      <w:tr>
        <w:trPr>
          <w:trHeight w:hRule="atLeast"/>
        </w:trPr>
        <w:tc>
          <w:tcPr>
            <w:tcW w:type="dxa" w:w="57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29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Statistical significance and uncertainty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2.11; 4.5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Prespecified descriptive complete-split estimates are reported; no hypothesis tests or confidence intervals were performed.</w:t>
            </w:r>
          </w:p>
        </w:tc>
      </w:tr>
      <w:tr>
        <w:trPr>
          <w:trHeight w:hRule="atLeast"/>
        </w:trPr>
        <w:tc>
          <w:tcPr>
            <w:tcW w:type="dxa" w:w="57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Robustness or sensitivity analysis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Yes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3.3-3.6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Hospital transfer, calibration transfer, operating-point transfer, and confidence-error behavior are audited.</w:t>
            </w:r>
          </w:p>
        </w:tc>
      </w:tr>
      <w:tr>
        <w:trPr>
          <w:trHeight w:hRule="atLeast"/>
        </w:trPr>
        <w:tc>
          <w:tcPr>
            <w:tcW w:type="dxa" w:w="57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31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Explainability or interpretability methods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Not applicable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4.5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 saliency or feature-attribution method was evaluated.</w:t>
            </w:r>
          </w:p>
        </w:tc>
      </w:tr>
      <w:tr>
        <w:trPr>
          <w:trHeight w:hRule="atLeast"/>
        </w:trPr>
        <w:tc>
          <w:tcPr>
            <w:tcW w:type="dxa" w:w="57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32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Evaluation on internal data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Yes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2.6; 3.1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Full id_val results are reported separately as development evidence.</w:t>
            </w:r>
          </w:p>
        </w:tc>
      </w:tr>
      <w:tr>
        <w:trPr>
          <w:trHeight w:hRule="atLeast"/>
        </w:trPr>
        <w:tc>
          <w:tcPr>
            <w:tcW w:type="dxa" w:w="57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33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Testing on external data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Yes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2.7; 3.2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 separately reserved hospital center was tested once after protocol freeze.</w:t>
            </w:r>
          </w:p>
        </w:tc>
      </w:tr>
      <w:tr>
        <w:trPr>
          <w:trHeight w:hRule="atLeast"/>
        </w:trPr>
        <w:tc>
          <w:tcPr>
            <w:tcW w:type="dxa" w:w="57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34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Clinical-trial registration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Not applicable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Ethics approval and informed consent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This was not a clinical trial and involved no recruitment or intervention.</w:t>
            </w:r>
          </w:p>
        </w:tc>
      </w:tr>
      <w:tr>
        <w:trPr>
          <w:trHeight w:hRule="atLeast"/>
        </w:trPr>
        <w:tc>
          <w:tcPr>
            <w:tcW w:type="dxa" w:w="57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35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Numbers included and excluded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Yes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Table 1; 2.7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Complete split row counts are reported; no final-test exclusions or truncation occurred.</w:t>
            </w:r>
          </w:p>
        </w:tc>
      </w:tr>
      <w:tr>
        <w:trPr>
          <w:trHeight w:hRule="atLeast"/>
        </w:trPr>
        <w:tc>
          <w:tcPr>
            <w:tcW w:type="dxa" w:w="57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36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Demographic and clinical characteristics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4.5 Limitations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Patient demographic and clinical characteristics were unavailable for this patch benchmark analysis.</w:t>
            </w:r>
          </w:p>
        </w:tc>
      </w:tr>
      <w:tr>
        <w:trPr>
          <w:trHeight w:hRule="atLeast"/>
        </w:trPr>
        <w:tc>
          <w:tcPr>
            <w:tcW w:type="dxa" w:w="57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37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Performance across data partitions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Yes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3.1-3.2; Tables 2-3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Development and final results are separated and fully reported.</w:t>
            </w:r>
          </w:p>
        </w:tc>
      </w:tr>
      <w:tr>
        <w:trPr>
          <w:trHeight w:hRule="atLeast"/>
        </w:trPr>
        <w:tc>
          <w:tcPr>
            <w:tcW w:type="dxa" w:w="57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38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Diagnostic performance and precision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2.11; 4.5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AUROC, AUPRC, calibration, and confusion counts are reported, but confidence intervals were not computed.</w:t>
            </w:r>
          </w:p>
        </w:tc>
      </w:tr>
      <w:tr>
        <w:trPr>
          <w:trHeight w:hRule="atLeast"/>
        </w:trPr>
        <w:tc>
          <w:tcPr>
            <w:tcW w:type="dxa" w:w="57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39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Failure analysis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Yes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3.6; Table 5; Figure 6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Confusion counts and high-confidence false-negative audit are reported; images were not re-opened post-test.</w:t>
            </w:r>
          </w:p>
        </w:tc>
      </w:tr>
      <w:tr>
        <w:trPr>
          <w:trHeight w:hRule="atLeast"/>
        </w:trPr>
        <w:tc>
          <w:tcPr>
            <w:tcW w:type="dxa" w:w="57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40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Study limitations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Yes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4.5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Hospital, dataset, patch-level, model, cache, method, calibration, and threshold limitations are explicit.</w:t>
            </w:r>
          </w:p>
        </w:tc>
      </w:tr>
      <w:tr>
        <w:trPr>
          <w:trHeight w:hRule="atLeast"/>
        </w:trPr>
        <w:tc>
          <w:tcPr>
            <w:tcW w:type="dxa" w:w="57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41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Implications for practice and intended role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Yes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4.1-4.5; 5. Conclusion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Protocol implications are discussed while clinical readiness and clinical thresholds are explicitly disclaimed.</w:t>
            </w:r>
          </w:p>
        </w:tc>
      </w:tr>
      <w:tr>
        <w:trPr>
          <w:trHeight w:hRule="atLeast"/>
        </w:trPr>
        <w:tc>
          <w:tcPr>
            <w:tcW w:type="dxa" w:w="57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42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Protocol or additional technical details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Yes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2.7; Supplementary material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Frozen protocol, one-shot provenance, thresholds, and hashes are supplied.</w:t>
            </w:r>
          </w:p>
        </w:tc>
      </w:tr>
      <w:tr>
        <w:trPr>
          <w:trHeight w:hRule="atLeast"/>
        </w:trPr>
        <w:tc>
          <w:tcPr>
            <w:tcW w:type="dxa" w:w="57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43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Software, trained model, and data availability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Yes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Data availability; Code availability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Public repository availability and exclusions are stated; the identifying address is withheld in blinded files; source images, checkpoints, and raw predictions are not redistributed.</w:t>
            </w:r>
          </w:p>
        </w:tc>
      </w:tr>
      <w:tr>
        <w:trPr>
          <w:trHeight w:hRule="atLeast"/>
        </w:trPr>
        <w:tc>
          <w:tcPr>
            <w:tcW w:type="dxa" w:w="57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sz w:val="14"/>
              </w:rPr>
              <w:t>44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Funding and role of funders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Yes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Funding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 specific grant was received; therefore no funder had a role.</w:t>
            </w:r>
          </w:p>
        </w:tc>
      </w:tr>
    </w:tbl>
    <w:p>
      <w:pPr>
        <w:spacing w:after="0"/>
      </w:pPr>
    </w:p>
    <w:sectPr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Rule="auto" w:line="276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540" w:hanging="279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540" w:hanging="279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When Development Gains Do Not Transfer: Confidence-Aware Tumor Detection Under Reserved-Hospital Shift</dc:title>
  <dc:subject>Original Research Article</dc:subject>
  <dc:creator>Anonymous</dc:creator>
  <cp:keywords>Computational pathology; Domain shift; External validation; Model calibration; GroupDRO; Histopathology; Reliability</cp:keywords>
  <dc:description>generated by python-docx</dc:description>
  <cp:lastModifiedBy>Anonymous</cp:lastModifiedBy>
  <cp:revision>1</cp:revision>
  <dcterms:created xsi:type="dcterms:W3CDTF">2013-12-23T23:15:00Z</dcterms:created>
  <dcterms:modified xsi:type="dcterms:W3CDTF">2013-12-23T23:15:00Z</dcterms:modified>
  <cp:category/>
</cp:coreProperties>
</file>