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sempre.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dichiarare dove stai guardando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Nota: </w:t>
      </w:r>
      <w:r>
        <w:rPr>
          <w:b w:val="0"/>
          <w:i w:val="0"/>
          <w:color w:val="787878"/>
          <w:sz w:val="18"/>
        </w:rPr>
        <w:t>tiro emotivo = un tiro provocato dalla scena che ti colpisce, non uno che scegli di fare; il +2 è un bonus (si sottrae dal dado)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essere sul luogo, entro 24-48 ore dal fatto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Rilievi e fotografia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Documentare una scena è il tuo mestiere: luci, angoli, impronte, catena di custodia.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Pedinamento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Distanze, riflessi nelle vetrine, cambi di marciapiede. Vedi ogni dettaglio — anche quando sei tu a seguire.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Sport e scommesse</w:t>
      </w:r>
      <w:r>
        <w:rPr>
          <w:b w:val="0"/>
          <w:i w:val="0"/>
          <w:color w:val="B49650"/>
          <w:sz w:val="18"/>
        </w:rPr>
        <w:t xml:space="preserve">  (Ascolto)  —  </w:t>
      </w:r>
      <w:r>
        <w:rPr>
          <w:b w:val="0"/>
          <w:i w:val="0"/>
          <w:color w:val="787878"/>
          <w:sz w:val="18"/>
        </w:rPr>
        <w:t>Baseball, sumo, corse. Quote, allibratori, risultati pilotati. Conosci quel mondo fin troppo bene.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Superstizione: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