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555555"/>
          <w:sz w:val="20"/>
        </w:rPr>
        <w:t>捜査一課 — SEZIONE INVESTIGATIVA CENTRALE</w:t>
      </w:r>
    </w:p>
    <w:p>
      <w:pPr>
        <w:jc w:val="center"/>
      </w:pPr>
      <w:r>
        <w:rPr>
          <w:b/>
          <w:sz w:val="32"/>
        </w:rPr>
        <w:t>SCHEDA DISTRETTO + AGENDA OPERATIVA</w:t>
      </w:r>
    </w:p>
    <w:p>
      <w:pPr>
        <w:jc w:val="center"/>
        <w:pBdr>
          <w:bottom w:val="single" w:sz="8" w:color="333333"/>
        </w:pBdr>
      </w:pPr>
      <w:r>
        <w:rPr>
          <w:i/>
          <w:color w:val="777777"/>
          <w:sz w:val="18"/>
        </w:rPr>
        <w:t>Polizia Prefetturale — quadro operativo e cronologia indagini</w:t>
      </w:r>
    </w:p>
    <w:p>
      <w:pPr>
        <w:jc w:val="right"/>
      </w:pPr>
      <w:r>
        <w:rPr>
          <w:b/>
          <w:color w:val="8B0000"/>
          <w:sz w:val="18"/>
        </w:rPr>
        <w:t>RISERVATO</w:t>
      </w:r>
    </w:p>
    <w:p>
      <w:pPr>
        <w:spacing w:before="160" w:after="40"/>
        <w:pBdr>
          <w:bottom w:val="single" w:sz="8" w:color="333333"/>
        </w:pBdr>
      </w:pPr>
      <w:r>
        <w:rPr>
          <w:rFonts w:ascii="Courier New" w:hAnsi="Courier New"/>
          <w:b/>
          <w:sz w:val="22"/>
        </w:rPr>
        <w:t>ATTRIBUTI DEL DISTRETTO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vAlign w:val="center"/>
            <w:shd w:val="clear" w:color="auto" w:fill="EEEEEE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b/>
                <w:color w:val="555555"/>
                <w:sz w:val="16"/>
              </w:rPr>
              <w:t>ORGANICO</w:t>
            </w:r>
          </w:p>
        </w:tc>
        <w:tc>
          <w:tcPr>
            <w:tcW w:type="dxa" w:w="1757"/>
            <w:vAlign w:val="center"/>
            <w:shd w:val="clear" w:color="auto" w:fill="EEEEEE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b/>
                <w:color w:val="555555"/>
                <w:sz w:val="16"/>
              </w:rPr>
              <w:t>EFFICIENZA</w:t>
            </w:r>
          </w:p>
        </w:tc>
        <w:tc>
          <w:tcPr>
            <w:tcW w:type="dxa" w:w="1757"/>
            <w:vAlign w:val="center"/>
            <w:shd w:val="clear" w:color="auto" w:fill="EEEEEE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b/>
                <w:color w:val="555555"/>
                <w:sz w:val="16"/>
              </w:rPr>
              <w:t>VELOCITÀ</w:t>
            </w:r>
          </w:p>
        </w:tc>
        <w:tc>
          <w:tcPr>
            <w:tcW w:type="dxa" w:w="1757"/>
            <w:vAlign w:val="center"/>
            <w:shd w:val="clear" w:color="auto" w:fill="EEEEEE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b/>
                <w:color w:val="555555"/>
                <w:sz w:val="16"/>
              </w:rPr>
              <w:t>RISORSE</w:t>
            </w:r>
          </w:p>
        </w:tc>
        <w:tc>
          <w:tcPr>
            <w:tcW w:type="dxa" w:w="1757"/>
            <w:vAlign w:val="center"/>
            <w:shd w:val="clear" w:color="auto" w:fill="EEEEEE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b/>
                <w:color w:val="555555"/>
                <w:sz w:val="16"/>
              </w:rPr>
              <w:t>RETE</w:t>
            </w:r>
          </w:p>
        </w:tc>
        <w:tc>
          <w:tcPr>
            <w:tcW w:type="dxa" w:w="1757"/>
            <w:vAlign w:val="center"/>
            <w:shd w:val="clear" w:color="auto" w:fill="EEEEEE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b/>
                <w:color w:val="555555"/>
                <w:sz w:val="16"/>
              </w:rPr>
              <w:t>CORRUZIONE</w:t>
            </w:r>
          </w:p>
        </w:tc>
      </w:tr>
      <w:tr>
        <w:tc>
          <w:tcPr>
            <w:tcW w:type="dxa" w:w="1757"/>
            <w:vAlign w:val="center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b/>
                <w:sz w:val="40"/>
              </w:rPr>
              <w:t>8</w:t>
            </w:r>
          </w:p>
        </w:tc>
        <w:tc>
          <w:tcPr>
            <w:tcW w:type="dxa" w:w="1757"/>
            <w:vAlign w:val="center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b/>
                <w:sz w:val="40"/>
              </w:rPr>
              <w:t>7</w:t>
            </w:r>
          </w:p>
        </w:tc>
        <w:tc>
          <w:tcPr>
            <w:tcW w:type="dxa" w:w="1757"/>
            <w:vAlign w:val="center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b/>
                <w:sz w:val="40"/>
              </w:rPr>
              <w:t>6</w:t>
            </w:r>
          </w:p>
        </w:tc>
        <w:tc>
          <w:tcPr>
            <w:tcW w:type="dxa" w:w="1757"/>
            <w:vAlign w:val="center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b/>
                <w:sz w:val="40"/>
              </w:rPr>
              <w:t>8</w:t>
            </w:r>
          </w:p>
        </w:tc>
        <w:tc>
          <w:tcPr>
            <w:tcW w:type="dxa" w:w="1757"/>
            <w:vAlign w:val="center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b/>
                <w:sz w:val="40"/>
              </w:rPr>
              <w:t>7</w:t>
            </w:r>
          </w:p>
        </w:tc>
        <w:tc>
          <w:tcPr>
            <w:tcW w:type="dxa" w:w="1757"/>
            <w:vAlign w:val="center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b/>
                <w:sz w:val="40"/>
              </w:rPr>
              <w:t>5</w:t>
            </w:r>
          </w:p>
        </w:tc>
      </w:tr>
      <w:tr>
        <w:tc>
          <w:tcPr>
            <w:tcW w:type="dxa" w:w="1757"/>
            <w:vAlign w:val="center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color w:val="666666"/>
                <w:sz w:val="16"/>
              </w:rPr>
              <w:t>Squadra di sorveglianza (+1)</w:t>
            </w:r>
          </w:p>
        </w:tc>
        <w:tc>
          <w:tcPr>
            <w:tcW w:type="dxa" w:w="1757"/>
            <w:vAlign w:val="center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color w:val="666666"/>
                <w:sz w:val="16"/>
              </w:rPr>
              <w:t>—</w:t>
            </w:r>
          </w:p>
        </w:tc>
        <w:tc>
          <w:tcPr>
            <w:tcW w:type="dxa" w:w="1757"/>
            <w:vAlign w:val="center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color w:val="666666"/>
                <w:sz w:val="16"/>
              </w:rPr>
              <w:t>—</w:t>
            </w:r>
          </w:p>
        </w:tc>
        <w:tc>
          <w:tcPr>
            <w:tcW w:type="dxa" w:w="1757"/>
            <w:vAlign w:val="center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color w:val="666666"/>
                <w:sz w:val="16"/>
              </w:rPr>
              <w:t>Archivio esteso (+1)</w:t>
            </w:r>
          </w:p>
        </w:tc>
        <w:tc>
          <w:tcPr>
            <w:tcW w:type="dxa" w:w="1757"/>
            <w:vAlign w:val="center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color w:val="666666"/>
                <w:sz w:val="16"/>
              </w:rPr>
              <w:t>—</w:t>
            </w:r>
          </w:p>
        </w:tc>
        <w:tc>
          <w:tcPr>
            <w:tcW w:type="dxa" w:w="1757"/>
            <w:vAlign w:val="center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color w:val="666666"/>
                <w:sz w:val="16"/>
              </w:rPr>
              <w:t>28% attivazione</w:t>
            </w:r>
          </w:p>
        </w:tc>
      </w:tr>
    </w:tbl>
    <w:p>
      <w:pPr>
        <w:spacing w:before="160" w:after="40"/>
        <w:pBdr>
          <w:bottom w:val="single" w:sz="8" w:color="333333"/>
        </w:pBdr>
      </w:pPr>
      <w:r>
        <w:rPr>
          <w:rFonts w:ascii="Courier New" w:hAnsi="Courier New"/>
          <w:b/>
          <w:sz w:val="22"/>
        </w:rPr>
        <w:t>AZIONI DELEGABILI — RIFERIMENTO OPERATIVO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4252"/>
            <w:shd w:val="clear" w:color="auto" w:fill="DDDDDD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r>
              <w:rPr>
                <w:b/>
                <w:sz w:val="16"/>
              </w:rPr>
              <w:t>AZIONE</w:t>
            </w:r>
          </w:p>
        </w:tc>
        <w:tc>
          <w:tcPr>
            <w:tcW w:type="dxa" w:w="1701"/>
            <w:shd w:val="clear" w:color="auto" w:fill="DDDDDD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b/>
                <w:sz w:val="16"/>
              </w:rPr>
              <w:t>ATTRIBUTO</w:t>
            </w:r>
          </w:p>
        </w:tc>
        <w:tc>
          <w:tcPr>
            <w:tcW w:type="dxa" w:w="1247"/>
            <w:shd w:val="clear" w:color="auto" w:fill="DDDDDD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b/>
                <w:sz w:val="16"/>
              </w:rPr>
              <w:t>BONUS SPEC.</w:t>
            </w:r>
          </w:p>
        </w:tc>
        <w:tc>
          <w:tcPr>
            <w:tcW w:type="dxa" w:w="2835"/>
            <w:shd w:val="clear" w:color="auto" w:fill="DDDDDD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r>
              <w:rPr>
                <w:b/>
                <w:sz w:val="16"/>
              </w:rPr>
              <w:t>NOTE / TEMPI</w:t>
            </w:r>
          </w:p>
        </w:tc>
      </w:tr>
      <w:tr>
        <w:tc>
          <w:tcPr>
            <w:tcW w:type="dxa" w:w="4252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r>
              <w:rPr>
                <w:sz w:val="18"/>
              </w:rPr>
              <w:t>Pedinamento / appostamento / sorveglianza</w:t>
            </w:r>
          </w:p>
        </w:tc>
        <w:tc>
          <w:tcPr>
            <w:tcW w:type="dxa" w:w="1701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sz w:val="18"/>
              </w:rPr>
              <w:t>Organico (8)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sz w:val="18"/>
              </w:rPr>
              <w:t>+1 sorv.</w:t>
            </w:r>
          </w:p>
        </w:tc>
        <w:tc>
          <w:tcPr>
            <w:tcW w:type="dxa" w:w="2835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r>
              <w:rPr>
                <w:sz w:val="18"/>
              </w:rPr>
              <w:t>Operazione continua, autorizzazione interna</w:t>
            </w:r>
          </w:p>
        </w:tc>
      </w:tr>
      <w:tr>
        <w:tc>
          <w:tcPr>
            <w:tcW w:type="dxa" w:w="4252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r>
              <w:rPr>
                <w:sz w:val="18"/>
              </w:rPr>
              <w:t>Inseguimento veicolare / supporto arresto</w:t>
            </w:r>
          </w:p>
        </w:tc>
        <w:tc>
          <w:tcPr>
            <w:tcW w:type="dxa" w:w="1701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pPr>
              <w:jc w:val="center"/>
            </w:pPr>
            <w:r>
              <w:rPr>
                <w:sz w:val="18"/>
              </w:rPr>
              <w:t>Organico (8)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r>
              <w:rPr>
                <w:sz w:val="18"/>
              </w:rPr>
              <w:t>Operazione singola, urgenza</w:t>
            </w:r>
          </w:p>
        </w:tc>
      </w:tr>
      <w:tr>
        <w:tc>
          <w:tcPr>
            <w:tcW w:type="dxa" w:w="4252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r>
              <w:rPr>
                <w:sz w:val="18"/>
              </w:rPr>
              <w:t>Perquisizione di un luogo</w:t>
            </w:r>
          </w:p>
        </w:tc>
        <w:tc>
          <w:tcPr>
            <w:tcW w:type="dxa" w:w="1701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sz w:val="18"/>
              </w:rPr>
              <w:t>Organico (8)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r>
              <w:rPr>
                <w:sz w:val="18"/>
              </w:rPr>
              <w:t>Richiede mandato → Procura. 4–6h + autorizzazione</w:t>
            </w:r>
          </w:p>
        </w:tc>
      </w:tr>
      <w:tr>
        <w:tc>
          <w:tcPr>
            <w:tcW w:type="dxa" w:w="4252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r>
              <w:rPr>
                <w:sz w:val="18"/>
              </w:rPr>
              <w:t>Ricerca anagrafica / precedenti / patrimoniali</w:t>
            </w:r>
          </w:p>
        </w:tc>
        <w:tc>
          <w:tcPr>
            <w:tcW w:type="dxa" w:w="1701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pPr>
              <w:jc w:val="center"/>
            </w:pPr>
            <w:r>
              <w:rPr>
                <w:sz w:val="18"/>
              </w:rPr>
              <w:t>Risorse (8)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pPr>
              <w:jc w:val="center"/>
            </w:pPr>
            <w:r>
              <w:rPr>
                <w:sz w:val="18"/>
              </w:rPr>
              <w:t>+1 arch.</w:t>
            </w:r>
          </w:p>
        </w:tc>
        <w:tc>
          <w:tcPr>
            <w:tcW w:type="dxa" w:w="2835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r>
              <w:rPr>
                <w:sz w:val="18"/>
              </w:rPr>
              <w:t>1–4 ore</w:t>
            </w:r>
          </w:p>
        </w:tc>
      </w:tr>
      <w:tr>
        <w:tc>
          <w:tcPr>
            <w:tcW w:type="dxa" w:w="4252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r>
              <w:rPr>
                <w:sz w:val="18"/>
              </w:rPr>
              <w:t>Acquisizione tabulati telefonici</w:t>
            </w:r>
          </w:p>
        </w:tc>
        <w:tc>
          <w:tcPr>
            <w:tcW w:type="dxa" w:w="1701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sz w:val="18"/>
              </w:rPr>
              <w:t>Risorse (8)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sz w:val="18"/>
              </w:rPr>
              <w:t>+1 arch.</w:t>
            </w:r>
          </w:p>
        </w:tc>
        <w:tc>
          <w:tcPr>
            <w:tcW w:type="dxa" w:w="2835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r>
              <w:rPr>
                <w:sz w:val="18"/>
              </w:rPr>
              <w:t>24–48h + autorizzazione</w:t>
            </w:r>
          </w:p>
        </w:tc>
      </w:tr>
      <w:tr>
        <w:tc>
          <w:tcPr>
            <w:tcW w:type="dxa" w:w="4252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r>
              <w:rPr>
                <w:sz w:val="18"/>
              </w:rPr>
              <w:t>Acquisizione filmati TVCC / scontrini</w:t>
            </w:r>
          </w:p>
        </w:tc>
        <w:tc>
          <w:tcPr>
            <w:tcW w:type="dxa" w:w="1701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pPr>
              <w:jc w:val="center"/>
            </w:pPr>
            <w:r>
              <w:rPr>
                <w:sz w:val="18"/>
              </w:rPr>
              <w:t>Risorse (8)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pPr>
              <w:jc w:val="center"/>
            </w:pPr>
            <w:r>
              <w:rPr>
                <w:sz w:val="18"/>
              </w:rPr>
              <w:t>+1 arch.</w:t>
            </w:r>
          </w:p>
        </w:tc>
        <w:tc>
          <w:tcPr>
            <w:tcW w:type="dxa" w:w="2835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r>
              <w:rPr>
                <w:sz w:val="18"/>
              </w:rPr>
              <w:t>12–24h</w:t>
            </w:r>
          </w:p>
        </w:tc>
      </w:tr>
      <w:tr>
        <w:tc>
          <w:tcPr>
            <w:tcW w:type="dxa" w:w="4252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r>
              <w:rPr>
                <w:sz w:val="18"/>
              </w:rPr>
              <w:t>Elaborazione digitale filmato/audio</w:t>
            </w:r>
          </w:p>
        </w:tc>
        <w:tc>
          <w:tcPr>
            <w:tcW w:type="dxa" w:w="1701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sz w:val="18"/>
              </w:rPr>
              <w:t>Efficienza (7)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r>
              <w:rPr>
                <w:sz w:val="18"/>
              </w:rPr>
              <w:t>24–48h, Sez. Analisi Video</w:t>
            </w:r>
          </w:p>
        </w:tc>
      </w:tr>
      <w:tr>
        <w:tc>
          <w:tcPr>
            <w:tcW w:type="dxa" w:w="4252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r>
              <w:rPr>
                <w:sz w:val="18"/>
              </w:rPr>
              <w:t>Analisi tossicologica / impronte / balistica</w:t>
            </w:r>
          </w:p>
        </w:tc>
        <w:tc>
          <w:tcPr>
            <w:tcW w:type="dxa" w:w="1701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pPr>
              <w:jc w:val="center"/>
            </w:pPr>
            <w:r>
              <w:rPr>
                <w:sz w:val="18"/>
              </w:rPr>
              <w:t>Efficienza (7)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r>
              <w:rPr>
                <w:sz w:val="18"/>
              </w:rPr>
              <w:t>24–72h, laboratori esterni</w:t>
            </w:r>
          </w:p>
        </w:tc>
      </w:tr>
      <w:tr>
        <w:tc>
          <w:tcPr>
            <w:tcW w:type="dxa" w:w="4252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r>
              <w:rPr>
                <w:sz w:val="18"/>
              </w:rPr>
              <w:t>Analisi documentale / grafologia</w:t>
            </w:r>
          </w:p>
        </w:tc>
        <w:tc>
          <w:tcPr>
            <w:tcW w:type="dxa" w:w="1701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sz w:val="18"/>
              </w:rPr>
              <w:t>Efficienza (7)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r>
              <w:rPr>
                <w:sz w:val="18"/>
              </w:rPr>
              <w:t>48h</w:t>
            </w:r>
          </w:p>
        </w:tc>
      </w:tr>
      <w:tr>
        <w:tc>
          <w:tcPr>
            <w:tcW w:type="dxa" w:w="4252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r>
              <w:rPr>
                <w:sz w:val="18"/>
              </w:rPr>
              <w:t>Localizzazione di una persona</w:t>
            </w:r>
          </w:p>
        </w:tc>
        <w:tc>
          <w:tcPr>
            <w:tcW w:type="dxa" w:w="1701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pPr>
              <w:jc w:val="center"/>
            </w:pPr>
            <w:r>
              <w:rPr>
                <w:sz w:val="18"/>
              </w:rPr>
              <w:t>Rete (7)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r>
              <w:rPr>
                <w:sz w:val="18"/>
              </w:rPr>
              <w:t>4–8h</w:t>
            </w:r>
          </w:p>
        </w:tc>
      </w:tr>
      <w:tr>
        <w:tc>
          <w:tcPr>
            <w:tcW w:type="dxa" w:w="4252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r>
              <w:rPr>
                <w:sz w:val="18"/>
              </w:rPr>
              <w:t>Raccolta informazioni su un soggetto</w:t>
            </w:r>
          </w:p>
        </w:tc>
        <w:tc>
          <w:tcPr>
            <w:tcW w:type="dxa" w:w="1701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sz w:val="18"/>
              </w:rPr>
              <w:t>Rete (7)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r>
              <w:rPr>
                <w:sz w:val="18"/>
              </w:rPr>
              <w:t>Variabile</w:t>
            </w:r>
          </w:p>
        </w:tc>
      </w:tr>
      <w:tr>
        <w:tc>
          <w:tcPr>
            <w:tcW w:type="dxa" w:w="4252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r>
              <w:rPr>
                <w:sz w:val="18"/>
              </w:rPr>
              <w:t>Verifica documento / identità</w:t>
            </w:r>
          </w:p>
        </w:tc>
        <w:tc>
          <w:tcPr>
            <w:tcW w:type="dxa" w:w="1701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pPr>
              <w:jc w:val="center"/>
            </w:pPr>
            <w:r>
              <w:rPr>
                <w:sz w:val="18"/>
              </w:rPr>
              <w:t>Efficienza (7)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35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8F8F4"/>
          </w:tcPr>
          <w:p>
            <w:r>
              <w:rPr>
                <w:sz w:val="18"/>
              </w:rPr>
              <w:t>1–2h</w:t>
            </w:r>
          </w:p>
        </w:tc>
      </w:tr>
    </w:tbl>
    <w:p>
      <w:pPr>
        <w:spacing w:before="160" w:after="40"/>
        <w:pBdr>
          <w:bottom w:val="single" w:sz="8" w:color="333333"/>
        </w:pBdr>
      </w:pPr>
      <w:r>
        <w:rPr>
          <w:rFonts w:ascii="Courier New" w:hAnsi="Courier New"/>
          <w:b/>
          <w:sz w:val="22"/>
        </w:rPr>
        <w:t>PERSONALE FISSO DEL DISTRETTO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4819"/>
            <w:vAlign w:val="top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9F6EC"/>
          </w:tcPr>
          <w:p>
            <w:r/>
            <w:r>
              <w:rPr>
                <w:b/>
                <w:sz w:val="22"/>
              </w:rPr>
              <w:t>TANIGUCHI Osamu</w:t>
            </w:r>
            <w:r>
              <w:rPr>
                <w:color w:val="555555"/>
                <w:sz w:val="20"/>
              </w:rPr>
              <w:t xml:space="preserve">  谷口 治</w:t>
            </w:r>
          </w:p>
          <w:p>
            <w:r>
              <w:rPr>
                <w:b/>
                <w:color w:val="555555"/>
                <w:sz w:val="16"/>
              </w:rPr>
              <w:t>COMMISSARIO / CAPO SEZIONE OMICIDI</w:t>
            </w:r>
          </w:p>
          <w:p>
            <w:r>
              <w:rPr>
                <w:i/>
                <w:color w:val="888888"/>
                <w:sz w:val="16"/>
              </w:rPr>
              <w:t>Keibu (警部) — 56 anni — 18+ anni di servizio</w:t>
            </w:r>
          </w:p>
          <w:p>
            <w:r>
              <w:rPr>
                <w:sz w:val="18"/>
              </w:rPr>
              <w:t>Superiore diretto dei PG. Pragmatico, esigente, protettivo. Riceve briefing e rapporti, autorizza risorse e mandati attraverso il PM, gestisce le pressioni mediatiche e politiche. Frase tipica: «Sedetevi. Raccontate.»</w:t>
            </w:r>
          </w:p>
          <w:p>
            <w:pPr>
              <w:spacing w:before="40"/>
              <w:pBdr>
                <w:bottom w:val="single" w:sz="8" w:color="333333"/>
              </w:pBdr>
            </w:pPr>
          </w:p>
          <w:p>
            <w:r>
              <w:rPr>
                <w:color w:val="666666"/>
                <w:sz w:val="16"/>
              </w:rPr>
              <w:t>Ufficio Piano 2 — Cercapersone, risponde &lt;10 min</w:t>
            </w:r>
          </w:p>
        </w:tc>
        <w:tc>
          <w:tcPr>
            <w:tcW w:type="dxa" w:w="4819"/>
            <w:vAlign w:val="top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9F6EC"/>
          </w:tcPr>
          <w:p>
            <w:r/>
            <w:r>
              <w:rPr>
                <w:b/>
                <w:sz w:val="22"/>
              </w:rPr>
              <w:t>YAMADA Tetsuo</w:t>
            </w:r>
            <w:r>
              <w:rPr>
                <w:color w:val="555555"/>
                <w:sz w:val="20"/>
              </w:rPr>
              <w:t xml:space="preserve">  山田 哲夫</w:t>
            </w:r>
          </w:p>
          <w:p>
            <w:r>
              <w:rPr>
                <w:b/>
                <w:color w:val="555555"/>
                <w:sz w:val="16"/>
              </w:rPr>
              <w:t>SERGENTE — ACCOMPAGNATORE PG</w:t>
            </w:r>
          </w:p>
          <w:p>
            <w:r>
              <w:rPr>
                <w:i/>
                <w:color w:val="888888"/>
                <w:sz w:val="16"/>
              </w:rPr>
              <w:t>Junsa-buchō (巡査部長) — 35 anni — 10+ anni servizio</w:t>
            </w:r>
          </w:p>
          <w:p>
            <w:r>
              <w:rPr>
                <w:sz w:val="18"/>
              </w:rPr>
              <w:t>Agente affidabile assegnato 24/7 ai PG come supporto operativo. Guida, prende appunti, fa da riferimento territoriale. Non investiga ma è prezioso per la logistica e i sopralluoghi sul campo.</w:t>
            </w:r>
          </w:p>
          <w:p>
            <w:pPr>
              <w:spacing w:before="40"/>
              <w:pBdr>
                <w:bottom w:val="single" w:sz="8" w:color="333333"/>
              </w:pBdr>
            </w:pPr>
          </w:p>
          <w:p>
            <w:r>
              <w:rPr>
                <w:color w:val="666666"/>
                <w:sz w:val="16"/>
              </w:rPr>
              <w:t>Sempre disponibile durante l'indagine — Cercapersone &lt;20 min</w:t>
            </w:r>
          </w:p>
        </w:tc>
      </w:tr>
      <w:tr>
        <w:tc>
          <w:tcPr>
            <w:tcW w:type="dxa" w:w="4819"/>
            <w:vAlign w:val="top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9F6EC"/>
          </w:tcPr>
          <w:p>
            <w:r/>
            <w:r>
              <w:rPr>
                <w:b/>
                <w:sz w:val="22"/>
              </w:rPr>
              <w:t>ITO Daisuke</w:t>
            </w:r>
            <w:r>
              <w:rPr>
                <w:color w:val="555555"/>
                <w:sz w:val="20"/>
              </w:rPr>
              <w:t xml:space="preserve">  伊藤 大介</w:t>
            </w:r>
          </w:p>
          <w:p>
            <w:r>
              <w:rPr>
                <w:b/>
                <w:color w:val="555555"/>
                <w:sz w:val="16"/>
              </w:rPr>
              <w:t>RESPONSABILE POLIZIA SCIENTIFICA</w:t>
            </w:r>
          </w:p>
          <w:p>
            <w:r>
              <w:rPr>
                <w:i/>
                <w:color w:val="888888"/>
                <w:sz w:val="16"/>
              </w:rPr>
              <w:t>Kanshiki-kan Cl.1 (鑑識官一級) — 52 anni — 15+ anni</w:t>
            </w:r>
          </w:p>
          <w:p>
            <w:r>
              <w:rPr>
                <w:sz w:val="18"/>
              </w:rPr>
              <w:t>Capo della squadra scientifica (Kanshiki-ka). Metodico, fattuale, mai speculativo. Riferisce dati, mai opinioni. Punto di contatto coi laboratori esterni per medicina legale, tossicologia, balistica.</w:t>
            </w:r>
          </w:p>
          <w:p>
            <w:pPr>
              <w:spacing w:before="40"/>
              <w:pBdr>
                <w:bottom w:val="single" w:sz="8" w:color="333333"/>
              </w:pBdr>
            </w:pPr>
          </w:p>
          <w:p>
            <w:r>
              <w:rPr>
                <w:color w:val="666666"/>
                <w:sz w:val="16"/>
              </w:rPr>
              <w:t>Lab seminterrato — Su scena del crimine in 45 min</w:t>
            </w:r>
          </w:p>
        </w:tc>
        <w:tc>
          <w:tcPr>
            <w:tcW w:type="dxa" w:w="4819"/>
            <w:vAlign w:val="top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9F6EC"/>
          </w:tcPr>
          <w:p>
            <w:r/>
            <w:r>
              <w:rPr>
                <w:b/>
                <w:sz w:val="22"/>
              </w:rPr>
              <w:t>WATANABE Hideo</w:t>
            </w:r>
            <w:r>
              <w:rPr>
                <w:color w:val="555555"/>
                <w:sz w:val="20"/>
              </w:rPr>
              <w:t xml:space="preserve">  渡辺 秀夫</w:t>
            </w:r>
          </w:p>
          <w:p>
            <w:r>
              <w:rPr>
                <w:b/>
                <w:color w:val="555555"/>
                <w:sz w:val="16"/>
              </w:rPr>
              <w:t>PROCURATORE — PUBBLICO MINISTERO</w:t>
            </w:r>
          </w:p>
          <w:p>
            <w:r>
              <w:rPr>
                <w:i/>
                <w:color w:val="888888"/>
                <w:sz w:val="16"/>
              </w:rPr>
              <w:t>Kenji (検事) — 51 anni — magistrato dal 1971</w:t>
            </w:r>
          </w:p>
          <w:p>
            <w:r>
              <w:rPr>
                <w:sz w:val="18"/>
              </w:rPr>
              <w:t>Magistrato del PM di riferimento. Imparziale, scrupoloso, lento per principio. Firma o respinge mandati e autorizzazioni. Non si contatta direttamente — sempre tramite Taniguchi. Frase tipica: «Lo valuterò.»</w:t>
            </w:r>
          </w:p>
          <w:p>
            <w:pPr>
              <w:spacing w:before="40"/>
              <w:pBdr>
                <w:bottom w:val="single" w:sz="8" w:color="333333"/>
              </w:pBdr>
            </w:pPr>
          </w:p>
          <w:p>
            <w:r>
              <w:rPr>
                <w:color w:val="666666"/>
                <w:sz w:val="16"/>
              </w:rPr>
              <w:t>Procura Tribunale Prefetturale, 4° piano — solo orari ufficio</w:t>
            </w:r>
          </w:p>
        </w:tc>
      </w:tr>
    </w:tbl>
    <w:p>
      <w:pPr>
        <w:spacing w:before="160" w:after="40"/>
        <w:pBdr>
          <w:bottom w:val="single" w:sz="8" w:color="333333"/>
        </w:pBdr>
      </w:pPr>
      <w:r>
        <w:rPr>
          <w:rFonts w:ascii="Courier New" w:hAnsi="Courier New"/>
          <w:b/>
          <w:sz w:val="22"/>
        </w:rPr>
        <w:t>AGENDA — CALENDARIO OPERATIVO</w:t>
      </w:r>
    </w:p>
    <w:p>
      <w:r>
        <w:rPr>
          <w:i/>
          <w:color w:val="777777"/>
          <w:sz w:val="16"/>
        </w:rPr>
        <w:t>Compilare giorno per giorno: fatti, interrogatori, decisioni, consegne, eventi.</w:t>
      </w:r>
    </w:p>
    <w:p>
      <w:r>
        <w:rPr>
          <w:b/>
          <w:sz w:val="20"/>
        </w:rPr>
        <w:t>Mese / Anno: ____________________________     Caso: ____________________________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680"/>
            <w:shd w:val="clear" w:color="auto" w:fill="DDDDDD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b/>
                <w:sz w:val="16"/>
              </w:rPr>
              <w:t>GIORNO</w:t>
            </w:r>
          </w:p>
        </w:tc>
        <w:tc>
          <w:tcPr>
            <w:tcW w:type="dxa" w:w="1247"/>
            <w:shd w:val="clear" w:color="auto" w:fill="DDDDDD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b/>
                <w:sz w:val="16"/>
              </w:rPr>
              <w:t>SETT.</w:t>
            </w:r>
          </w:p>
        </w:tc>
        <w:tc>
          <w:tcPr>
            <w:tcW w:type="dxa" w:w="7994"/>
            <w:shd w:val="clear" w:color="auto" w:fill="DDDDDD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>
            <w:pPr>
              <w:jc w:val="center"/>
            </w:pPr>
            <w:r>
              <w:rPr>
                <w:b/>
                <w:sz w:val="16"/>
              </w:rPr>
              <w:t>EVENTI / ANNOTAZIONI</w:t>
            </w:r>
          </w:p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1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2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3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4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5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6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7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8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9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10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11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12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13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14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15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16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17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18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19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20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21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22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23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24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25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26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27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28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29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30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  <w:tr>
        <w:trPr>
          <w:trHeight w:val="480" w:hRule="atLeast"/>
        </w:trPr>
        <w:tc>
          <w:tcPr>
            <w:tcW w:type="dxa" w:w="68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31</w:t>
            </w:r>
          </w:p>
        </w:tc>
        <w:tc>
          <w:tcPr>
            <w:tcW w:type="dxa" w:w="1247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vAlign w:val="center"/>
          </w:tcPr>
          <w:p/>
        </w:tc>
        <w:tc>
          <w:tcPr>
            <w:tcW w:type="dxa" w:w="7994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</w:tcPr>
          <w:p/>
        </w:tc>
      </w:tr>
    </w:tbl>
    <w:p>
      <w:pPr>
        <w:spacing w:before="160" w:after="40"/>
        <w:pBdr>
          <w:bottom w:val="single" w:sz="8" w:color="333333"/>
        </w:pBdr>
      </w:pPr>
      <w:r>
        <w:rPr>
          <w:rFonts w:ascii="Courier New" w:hAnsi="Courier New"/>
          <w:b/>
          <w:sz w:val="22"/>
        </w:rPr>
        <w:t>NOTE LIBERE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540"/>
      </w:tblGrid>
      <w:tr>
        <w:trPr>
          <w:trHeight w:val="4000" w:hRule="atLeast"/>
        </w:trPr>
        <w:tc>
          <w:tcPr>
            <w:tcW w:type="dxa" w:w="10540"/>
            <w:tcBorders>
              <w:top w:val="single" w:sz="6" w:color="555555"/>
              <w:left w:val="single" w:sz="6" w:color="555555"/>
              <w:bottom w:val="single" w:sz="6" w:color="555555"/>
              <w:right w:val="single" w:sz="6" w:color="555555"/>
            </w:tcBorders>
            <w:shd w:val="clear" w:color="auto" w:fill="FAFAF4"/>
          </w:tcPr>
          <w:p>
            <w:r>
              <w:rPr>
                <w:i/>
                <w:color w:val="AAAAAA"/>
                <w:sz w:val="16"/>
              </w:rPr>
              <w:t>Spazio libero per teorie, ipotesi, collegamenti, schemi, link tra sospettati, idee in corso…</w:t>
            </w:r>
          </w:p>
        </w:tc>
      </w:tr>
    </w:tbl>
    <w:p>
      <w:pPr>
        <w:spacing w:before="240"/>
        <w:jc w:val="center"/>
        <w:pBdr>
          <w:bottom w:val="single" w:sz="8" w:color="333333"/>
        </w:pBdr>
      </w:pPr>
      <w:r>
        <w:rPr>
          <w:i/>
          <w:color w:val="777777"/>
          <w:sz w:val="16"/>
        </w:rPr>
        <w:t>Sezione Investigativa Centrale — Scheda Distretto + Agenda Operativa — uso GM/PG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