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限界  ·  GENKAI v1.3  ·  限界</w:t>
      </w:r>
    </w:p>
    <w:p>
      <w:pPr>
        <w:spacing w:after="120" w:before="0"/>
        <w:jc w:val="center"/>
      </w:pPr>
      <w:r>
        <w:rPr>
          <w:rFonts w:ascii="Calibri" w:hAnsi="Calibri"/>
          <w:b w:val="0"/>
          <w:i w:val="0"/>
          <w:color w:val="8B0000"/>
          <w:sz w:val="14"/>
        </w:rPr>
        <w:t>▸ SCHEDA PNG RICORRENTE 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783"/>
        <w:gridCol w:w="5783"/>
      </w:tblGrid>
      <w:tr>
        <w:tc>
          <w:tcPr>
            <w:tcW w:type="dxa" w:w="7937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56"/>
              </w:rPr>
              <w:t>谷口 治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8"/>
              </w:rPr>
              <w:t>TANIGUCHI Osamu</w:t>
            </w:r>
          </w:p>
        </w:tc>
        <w:tc>
          <w:tcPr>
            <w:tcW w:type="dxa" w:w="181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Borders>
              <w:top w:val="single" w:sz="4" w:space="0" w:color="B49650"/>
              <w:bottom w:val="single" w:sz="4" w:space="0" w:color="B49650"/>
              <w:left w:val="single" w:sz="4" w:space="0" w:color="B49650"/>
              <w:right w:val="single" w:sz="4" w:space="0" w:color="B49650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NG_01_Taniguchi_Osamu_f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787878"/>
          <w:sz w:val="16"/>
        </w:rPr>
        <w:t xml:space="preserve">Età </w:t>
      </w:r>
      <w:r>
        <w:rPr>
          <w:rFonts w:ascii="Calibri" w:hAnsi="Calibri"/>
          <w:b w:val="0"/>
          <w:i w:val="0"/>
          <w:color w:val="1A1A2E"/>
          <w:sz w:val="16"/>
        </w:rPr>
        <w:t>56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/>
          <w:i w:val="0"/>
          <w:color w:val="787878"/>
          <w:sz w:val="16"/>
        </w:rPr>
        <w:t xml:space="preserve">Ruolo </w:t>
      </w:r>
      <w:r>
        <w:rPr>
          <w:rFonts w:ascii="Calibri" w:hAnsi="Calibri"/>
          <w:b w:val="0"/>
          <w:i w:val="0"/>
          <w:color w:val="1A1A2E"/>
          <w:sz w:val="16"/>
        </w:rPr>
        <w:t>Commissario, Sezione Omicidi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/>
          <w:i w:val="0"/>
          <w:color w:val="787878"/>
          <w:sz w:val="16"/>
        </w:rPr>
        <w:t xml:space="preserve">Grado </w:t>
      </w:r>
      <w:r>
        <w:rPr>
          <w:rFonts w:ascii="Calibri" w:hAnsi="Calibri"/>
          <w:b w:val="0"/>
          <w:i w:val="0"/>
          <w:color w:val="1A1A2E"/>
          <w:sz w:val="16"/>
        </w:rPr>
        <w:t>Keishi (警視) — Commissario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/>
          <w:i w:val="0"/>
          <w:color w:val="787878"/>
          <w:sz w:val="16"/>
        </w:rPr>
        <w:t xml:space="preserve">Servizio </w:t>
      </w:r>
      <w:r>
        <w:rPr>
          <w:rFonts w:ascii="Calibri" w:hAnsi="Calibri"/>
          <w:b w:val="0"/>
          <w:i w:val="0"/>
          <w:color w:val="1A1A2E"/>
          <w:sz w:val="16"/>
        </w:rPr>
        <w:t>34 anni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能力  </w:t>
      </w:r>
      <w:r>
        <w:rPr>
          <w:rFonts w:ascii="Calibri" w:hAnsi="Calibri"/>
          <w:b/>
          <w:i w:val="0"/>
          <w:color w:val="1A1A2E"/>
          <w:sz w:val="20"/>
        </w:rPr>
        <w:t>ATTRIBUTI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6" w:space="0" w:color="B49650"/>
          <w:right w:val="none" w:sz="0" w:space="0" w:color="auto"/>
          <w:insideH w:val="single" w:sz="2" w:space="0" w:color="D0C8B0"/>
          <w:insideV w:val="none" w:sz="0" w:space="0" w:color="auto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3855"/>
        <w:gridCol w:w="3855"/>
        <w:gridCol w:w="3855"/>
      </w:tblGrid>
      <w:tr>
        <w:tc>
          <w:tcPr>
            <w:tcW w:type="dxa" w:w="1417"/>
            <w:shd w:fill="1A1A2E" w:val="clear"/>
            <w:tcBorders>
              <w:bottom w:val="single" w:sz="6" w:space="0" w:color="B4965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Attributo</w:t>
            </w:r>
          </w:p>
        </w:tc>
        <w:tc>
          <w:tcPr>
            <w:tcW w:type="dxa" w:w="850"/>
            <w:shd w:fill="1A1A2E" w:val="clear"/>
            <w:tcBorders>
              <w:bottom w:val="single" w:sz="6" w:space="0" w:color="B4965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Valore</w:t>
            </w:r>
          </w:p>
        </w:tc>
        <w:tc>
          <w:tcPr>
            <w:tcW w:type="dxa" w:w="7370"/>
            <w:shd w:fill="1A1A2E" w:val="clear"/>
            <w:tcBorders>
              <w:bottom w:val="single" w:sz="6" w:space="0" w:color="B4965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1417"/>
            <w:shd w:fill="F5F3EB" w:val="clear"/>
          </w:tcPr>
          <w:p>
            <w:r>
              <w:rPr>
                <w:rFonts w:ascii="Calibri" w:hAnsi="Calibri"/>
                <w:b/>
                <w:color w:val="1A1A2E"/>
                <w:sz w:val="18"/>
              </w:rPr>
              <w:t>Distacco</w:t>
            </w:r>
          </w:p>
        </w:tc>
        <w:tc>
          <w:tcPr>
            <w:tcW w:type="dxa" w:w="850"/>
            <w:shd w:fill="F5F3EB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8B0000"/>
                <w:sz w:val="22"/>
              </w:rPr>
              <w:t>7</w:t>
            </w:r>
          </w:p>
        </w:tc>
        <w:tc>
          <w:tcPr>
            <w:tcW w:type="dxa" w:w="7370"/>
            <w:shd w:fill="F5F3EB" w:val="clear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Ha visto tutto, niente lo sorprende più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 w:val="0"/>
                <w:color w:val="1A1A2E"/>
                <w:sz w:val="18"/>
              </w:rPr>
              <w:t>Pazienza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1A2E"/>
                <w:sz w:val="22"/>
              </w:rPr>
              <w:t>6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Impaziente per natura, temperato dall'esperienza</w:t>
            </w:r>
          </w:p>
        </w:tc>
      </w:tr>
      <w:tr>
        <w:tc>
          <w:tcPr>
            <w:tcW w:type="dxa" w:w="1417"/>
            <w:shd w:fill="F5F3EB" w:val="clear"/>
          </w:tcPr>
          <w:p>
            <w:r>
              <w:rPr>
                <w:rFonts w:ascii="Calibri" w:hAnsi="Calibri"/>
                <w:b/>
                <w:color w:val="1A1A2E"/>
                <w:sz w:val="18"/>
              </w:rPr>
              <w:t>Silenzio</w:t>
            </w:r>
          </w:p>
        </w:tc>
        <w:tc>
          <w:tcPr>
            <w:tcW w:type="dxa" w:w="850"/>
            <w:shd w:fill="F5F3EB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8B0000"/>
                <w:sz w:val="22"/>
              </w:rPr>
              <w:t>8</w:t>
            </w:r>
          </w:p>
        </w:tc>
        <w:tc>
          <w:tcPr>
            <w:tcW w:type="dxa" w:w="7370"/>
            <w:shd w:fill="F5F3EB" w:val="clear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Non mostra mai le sue carte — la voce non tradisce nulla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color w:val="1A1A2E"/>
                <w:sz w:val="18"/>
              </w:rPr>
              <w:t>Lucidità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/>
                <w:color w:val="8B0000"/>
                <w:sz w:val="22"/>
              </w:rPr>
              <w:t>7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Trent'anni di casi gli hanno affinato lo sguardo</w:t>
            </w:r>
          </w:p>
        </w:tc>
      </w:tr>
      <w:tr>
        <w:tc>
          <w:tcPr>
            <w:tcW w:type="dxa" w:w="1417"/>
            <w:shd w:fill="F5F3EB" w:val="clear"/>
          </w:tcPr>
          <w:p>
            <w:r>
              <w:rPr>
                <w:rFonts w:ascii="Calibri" w:hAnsi="Calibri"/>
                <w:b w:val="0"/>
                <w:color w:val="1A1A2E"/>
                <w:sz w:val="18"/>
              </w:rPr>
              <w:t>Ascolto</w:t>
            </w:r>
          </w:p>
        </w:tc>
        <w:tc>
          <w:tcPr>
            <w:tcW w:type="dxa" w:w="850"/>
            <w:shd w:fill="F5F3EB" w:val="clea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1A2E"/>
                <w:sz w:val="22"/>
              </w:rPr>
              <w:t>5</w:t>
            </w:r>
          </w:p>
        </w:tc>
        <w:tc>
          <w:tcPr>
            <w:tcW w:type="dxa" w:w="7370"/>
            <w:shd w:fill="F5F3EB" w:val="clear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Più comandante che ascoltatore — delega l'ascolto ai suoi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color w:val="1A1A2E"/>
                <w:sz w:val="18"/>
              </w:rPr>
              <w:t>Presenza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/>
                <w:color w:val="8B0000"/>
                <w:sz w:val="22"/>
              </w:rPr>
              <w:t>8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Riempie la stanza senza alzare la voce</w:t>
            </w:r>
          </w:p>
        </w:tc>
      </w:tr>
    </w:tbl>
    <w:p>
      <w:pPr>
        <w:spacing w:before="120" w:after="80"/>
        <w:jc w:val="center"/>
      </w:pPr>
      <w:r>
        <w:rPr>
          <w:rFonts w:ascii="Calibri" w:hAnsi="Calibri"/>
          <w:b/>
          <w:i w:val="0"/>
          <w:color w:val="787878"/>
          <w:sz w:val="16"/>
        </w:rPr>
        <w:t xml:space="preserve">Distribuzione: </w:t>
      </w:r>
      <w:r>
        <w:rPr>
          <w:rFonts w:ascii="Calibri" w:hAnsi="Calibri"/>
          <w:b w:val="0"/>
          <w:i w:val="0"/>
          <w:color w:val="787878"/>
          <w:sz w:val="16"/>
        </w:rPr>
        <w:t>distribuzione: metodo diretto — il GM assegna i valori che servono al ruolo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気  </w:t>
      </w:r>
      <w:r>
        <w:rPr>
          <w:rFonts w:ascii="Calibri" w:hAnsi="Calibri"/>
          <w:b/>
          <w:i w:val="0"/>
          <w:color w:val="1A1A2E"/>
          <w:sz w:val="20"/>
        </w:rPr>
        <w:t>KI — TENUTA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80"/>
        <w:ind w:left="170"/>
      </w:pPr>
      <w:r>
        <w:rPr>
          <w:rFonts w:ascii="Calibri" w:hAnsi="Calibri"/>
          <w:b/>
          <w:i w:val="0"/>
          <w:color w:val="1A1A2E"/>
          <w:sz w:val="22"/>
        </w:rPr>
        <w:t>Ki Max:  9</w:t>
      </w:r>
      <w:r>
        <w:rPr>
          <w:rFonts w:ascii="Calibri" w:hAnsi="Calibri"/>
          <w:b w:val="0"/>
          <w:i w:val="0"/>
          <w:color w:val="1A1A2E"/>
          <w:sz w:val="22"/>
        </w:rPr>
        <w:t xml:space="preserve">          </w:t>
      </w:r>
      <w:r>
        <w:rPr>
          <w:rFonts w:ascii="Calibri" w:hAnsi="Calibri"/>
          <w:b w:val="0"/>
          <w:i/>
          <w:color w:val="787878"/>
          <w:sz w:val="16"/>
        </w:rPr>
        <w:t>≤ 3 Genkai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 w:val="0"/>
          <w:i/>
          <w:color w:val="787878"/>
          <w:sz w:val="16"/>
        </w:rPr>
        <w:t>= 1 Critico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 w:val="0"/>
          <w:i/>
          <w:color w:val="787878"/>
          <w:sz w:val="16"/>
        </w:rPr>
        <w:t>&lt; 1 Fuori gioco</w:t>
      </w:r>
    </w:p>
    <w:p>
      <w:pPr>
        <w:spacing w:before="80" w:after="80"/>
        <w:ind w:left="170"/>
      </w:pPr>
      <w:r>
        <w:rPr>
          <w:rFonts w:ascii="Calibri" w:hAnsi="Calibri"/>
          <w:b/>
          <w:i w:val="0"/>
          <w:color w:val="1A1A2E"/>
          <w:sz w:val="22"/>
        </w:rPr>
        <w:t xml:space="preserve">Ki attuale:  </w:t>
      </w:r>
      <w:r>
        <w:rPr>
          <w:rFonts w:ascii="Calibri" w:hAnsi="Calibri"/>
          <w:b w:val="0"/>
          <w:i w:val="0"/>
          <w:color w:val="C8C8C8"/>
          <w:sz w:val="22"/>
        </w:rPr>
        <w:t>_______________________________________________________________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専門  </w:t>
      </w:r>
      <w:r>
        <w:rPr>
          <w:rFonts w:ascii="Calibri" w:hAnsi="Calibri"/>
          <w:b/>
          <w:i w:val="0"/>
          <w:color w:val="1A1A2E"/>
          <w:sz w:val="20"/>
        </w:rPr>
        <w:t>SENMON — SPECIALIZZAZIONI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 w:val="0"/>
          <w:i/>
          <w:color w:val="787878"/>
          <w:sz w:val="16"/>
        </w:rPr>
        <w:t>I PNG notevoli non hanno Gou — il Gou è il dono dei protagonisti. Hanno mestiere.</w:t>
      </w:r>
    </w:p>
    <w:p>
      <w:pPr>
        <w:spacing w:before="100" w:after="20"/>
        <w:ind w:left="170"/>
      </w:pPr>
      <w:r>
        <w:rPr>
          <w:rFonts w:ascii="Calibri" w:hAnsi="Calibri"/>
          <w:b w:val="0"/>
          <w:i w:val="0"/>
          <w:color w:val="B49650"/>
          <w:sz w:val="18"/>
        </w:rPr>
        <w:t xml:space="preserve">▸ </w:t>
      </w:r>
      <w:r>
        <w:rPr>
          <w:rFonts w:ascii="Calibri" w:hAnsi="Calibri"/>
          <w:b/>
          <w:i w:val="0"/>
          <w:color w:val="1A1A2E"/>
          <w:sz w:val="20"/>
        </w:rPr>
        <w:t>Interrogatorio 2 — Esperto</w:t>
      </w:r>
      <w:r>
        <w:rPr>
          <w:rFonts w:ascii="Calibri" w:hAnsi="Calibri"/>
          <w:b w:val="0"/>
          <w:i w:val="0"/>
          <w:color w:val="787878"/>
          <w:sz w:val="16"/>
        </w:rPr>
        <w:t xml:space="preserve">   (Pazienza)</w:t>
      </w:r>
    </w:p>
    <w:p>
      <w:pPr>
        <w:spacing w:after="60"/>
        <w:ind w:left="340"/>
      </w:pPr>
      <w:r>
        <w:rPr>
          <w:rFonts w:ascii="Calibri" w:hAnsi="Calibri"/>
          <w:b w:val="0"/>
          <w:i w:val="0"/>
          <w:color w:val="1A1A2E"/>
          <w:sz w:val="16"/>
        </w:rPr>
        <w:t>Trent'anni di stanze chiuse: +2 ai tiri pertinenti, sceglie la tecnica giusta per la persona giusta senza tentativi.</w:t>
      </w:r>
    </w:p>
    <w:p>
      <w:pPr>
        <w:spacing w:before="100" w:after="20"/>
        <w:ind w:left="170"/>
      </w:pPr>
      <w:r>
        <w:rPr>
          <w:rFonts w:ascii="Calibri" w:hAnsi="Calibri"/>
          <w:b w:val="0"/>
          <w:i w:val="0"/>
          <w:color w:val="B49650"/>
          <w:sz w:val="18"/>
        </w:rPr>
        <w:t xml:space="preserve">▸ </w:t>
      </w:r>
      <w:r>
        <w:rPr>
          <w:rFonts w:ascii="Calibri" w:hAnsi="Calibri"/>
          <w:b/>
          <w:i w:val="0"/>
          <w:color w:val="1A1A2E"/>
          <w:sz w:val="20"/>
        </w:rPr>
        <w:t>Stampa e media 2 — Esperto</w:t>
      </w:r>
      <w:r>
        <w:rPr>
          <w:rFonts w:ascii="Calibri" w:hAnsi="Calibri"/>
          <w:b w:val="0"/>
          <w:i w:val="0"/>
          <w:color w:val="787878"/>
          <w:sz w:val="16"/>
        </w:rPr>
        <w:t xml:space="preserve">   (Presenza 8)</w:t>
      </w:r>
    </w:p>
    <w:p>
      <w:pPr>
        <w:spacing w:after="60"/>
        <w:ind w:left="340"/>
      </w:pPr>
      <w:r>
        <w:rPr>
          <w:rFonts w:ascii="Calibri" w:hAnsi="Calibri"/>
          <w:b w:val="0"/>
          <w:i w:val="0"/>
          <w:color w:val="1A1A2E"/>
          <w:sz w:val="16"/>
        </w:rPr>
        <w:t>Sa cosa fa notizia, cosa può aspettare, e come si tiene un giornale al guinzaglio per 48 ore. +2 ai tiri pertinenti.</w:t>
      </w:r>
    </w:p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80" w:after="40"/>
        <w:jc w:val="center"/>
      </w:pPr>
      <w:r>
        <w:rPr>
          <w:rFonts w:ascii="Calibri" w:hAnsi="Calibri"/>
          <w:b w:val="0"/>
          <w:i w:val="0"/>
          <w:color w:val="B49650"/>
          <w:sz w:val="20"/>
        </w:rPr>
        <w:t xml:space="preserve">悟り  </w:t>
      </w:r>
      <w:r>
        <w:rPr>
          <w:rFonts w:ascii="Calibri" w:hAnsi="Calibri"/>
          <w:b w:val="0"/>
          <w:i w:val="0"/>
          <w:color w:val="787878"/>
          <w:sz w:val="16"/>
        </w:rPr>
        <w:t xml:space="preserve">SATORI — Successo automatico, 1 volta per sessione:  </w:t>
      </w:r>
      <w:r>
        <w:rPr>
          <w:rFonts w:ascii="Calibri" w:hAnsi="Calibri"/>
          <w:b w:val="0"/>
          <w:i w:val="0"/>
          <w:color w:val="1A1A2E"/>
          <w:sz w:val="18"/>
        </w:rPr>
        <w:t>□ Usato</w:t>
      </w:r>
    </w:p>
    <w:p>
      <w:r>
        <w:br w:type="page"/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color w:val="B49650"/>
          <w:sz w:val="28"/>
        </w:rPr>
        <w:t>谷口 治</w:t>
      </w:r>
      <w:r>
        <w:rPr>
          <w:rFonts w:ascii="Calibri" w:hAnsi="Calibri"/>
          <w:b w:val="0"/>
          <w:i w:val="0"/>
          <w:color w:val="787878"/>
          <w:sz w:val="20"/>
        </w:rPr>
        <w:t xml:space="preserve">  ·  </w:t>
      </w:r>
      <w:r>
        <w:rPr>
          <w:rFonts w:ascii="Calibri" w:hAnsi="Calibri"/>
          <w:b/>
          <w:i w:val="0"/>
          <w:color w:val="1A1A2E"/>
          <w:sz w:val="22"/>
        </w:rPr>
        <w:t>TANIGUCHI Osamu</w:t>
      </w:r>
    </w:p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人  </w:t>
      </w:r>
      <w:r>
        <w:rPr>
          <w:rFonts w:ascii="Calibri" w:hAnsi="Calibri"/>
          <w:b/>
          <w:i w:val="0"/>
          <w:color w:val="1A1A2E"/>
          <w:sz w:val="20"/>
        </w:rPr>
        <w:t>CHI SEI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Sei un veterano. Hai scalato i ranghi della polizia in trent'anni di servizio, da pattuglia a commissario. Hai risolto casi importanti, hai protetto la tua squadra, hai tenuto a bada media e politici.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Sei la roccia della Sezione Omicidi. I tuoi uomini ti rispettano. I tuoi superiori si fidano. Nessuno vede le crepe.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Ma le crepe ci sono. A casa, tua moglie Fumiko sta peggiorando. La demenza precoce sta avanzando. E tu fingi che vada tutto bene.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影  </w:t>
      </w:r>
      <w:r>
        <w:rPr>
          <w:rFonts w:ascii="Calibri" w:hAnsi="Calibri"/>
          <w:b/>
          <w:i w:val="0"/>
          <w:color w:val="1A1A2E"/>
          <w:sz w:val="20"/>
        </w:rPr>
        <w:t>IL TUO PROBLEMA — LA MOGLIE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Tua moglie Taniguchi Fumiko ha iniziato a dimenticare le cose. Prima le chiavi, poi i nomi, poi gli appuntamenti. Tre mesi fa il dottore ha detto la parola che non volevi sentire: demenza precoce. Ha 54 anni.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Non l'hai detto a nessuno. Al lavoro sei lo stesso di sempre. Ma la sera torni a casa e trovi i fornelli accesi, le pentole vuote, Fumiko che sorride come se niente fosse.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Il problema: se al lavoro scoprono della malattia di Fumiko, qualcuno potrebbe usarla per metterti in pensione anticipata. E ogni ora che resti in ufficio, ti chiedi se Fumiko sta bene.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縁  </w:t>
      </w:r>
      <w:r>
        <w:rPr>
          <w:rFonts w:ascii="Calibri" w:hAnsi="Calibri"/>
          <w:b/>
          <w:i w:val="0"/>
          <w:color w:val="1A1A2E"/>
          <w:sz w:val="20"/>
        </w:rPr>
        <w:t>TANIGUCHI FUMIKO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783"/>
        <w:gridCol w:w="5783"/>
      </w:tblGrid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Età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54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Occupazione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Ex insegnante di calligrafia, ora a casa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Relazione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Moglie da 30 anni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Cosa vuole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Che Osamu smetta di fingere che vada tutto bene. Non ha paura della malattia — ha paura di affrontarla da sola.</w:t>
            </w:r>
          </w:p>
        </w:tc>
      </w:tr>
    </w:tbl>
    <w:p>
      <w:pPr>
        <w:spacing w:before="80"/>
        <w:ind w:left="170"/>
      </w:pPr>
      <w:r>
        <w:rPr>
          <w:rFonts w:ascii="Calibri" w:hAnsi="Calibri"/>
          <w:b w:val="0"/>
          <w:i/>
          <w:color w:val="1A1A2E"/>
          <w:sz w:val="18"/>
        </w:rPr>
        <w:t>Nei momenti lucidi è la donna forte e ironica di sempre. Nei momenti di vuoto si confonde, ripete le domande, si arrabbia con se stessa. Non fa scene — si vergogna.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縁者  </w:t>
      </w:r>
      <w:r>
        <w:rPr>
          <w:rFonts w:ascii="Calibri" w:hAnsi="Calibri"/>
          <w:b/>
          <w:i w:val="0"/>
          <w:color w:val="1A1A2E"/>
          <w:sz w:val="20"/>
        </w:rPr>
        <w:t>CONOSCENZA — MORIYAMA GENZO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 w:val="0"/>
          <w:i/>
          <w:color w:val="787878"/>
          <w:sz w:val="18"/>
        </w:rPr>
        <w:t>Procuratore Capo in pensione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Ex procuratore capo di Kyoto. Ha lavorato con Taniguchi per vent'anni. Conoscenze nel mondo legale e politico, sa come funziona il sistema.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6"/>
        </w:rPr>
        <w:t xml:space="preserve">Contatto: </w:t>
      </w:r>
      <w:r>
        <w:rPr>
          <w:rFonts w:ascii="Calibri" w:hAnsi="Calibri"/>
          <w:b w:val="0"/>
          <w:i w:val="0"/>
          <w:color w:val="1A1A2E"/>
          <w:sz w:val="16"/>
        </w:rPr>
        <w:t>Telefono di casa. Risponde sempre, anche se finge di essere seccato.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6"/>
        </w:rPr>
        <w:t xml:space="preserve">Costo: </w:t>
      </w:r>
      <w:r>
        <w:rPr>
          <w:rFonts w:ascii="Calibri" w:hAnsi="Calibri"/>
          <w:b w:val="0"/>
          <w:i w:val="0"/>
          <w:color w:val="1A1A2E"/>
          <w:sz w:val="16"/>
        </w:rPr>
        <w:t>Nulla di materiale — si aspetta che Taniguchi faccia sempre la cosa giusta.</w:t>
      </w:r>
    </w:p>
    <w:p>
      <w:pPr>
        <w:ind w:left="170"/>
      </w:pPr>
      <w:r>
        <w:rPr>
          <w:rFonts w:ascii="Calibri" w:hAnsi="Calibri"/>
          <w:b w:val="0"/>
          <w:i/>
          <w:color w:val="787878"/>
          <w:sz w:val="14"/>
        </w:rPr>
        <w:t>1 volta per sessione senza conseguenze. La seconda volta → chiede qualcosa in cambio.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面  </w:t>
      </w:r>
      <w:r>
        <w:rPr>
          <w:rFonts w:ascii="Calibri" w:hAnsi="Calibri"/>
          <w:b/>
          <w:i w:val="0"/>
          <w:color w:val="1A1A2E"/>
          <w:sz w:val="20"/>
        </w:rPr>
        <w:t>COME TI COMPORTI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B49650"/>
          <w:sz w:val="18"/>
        </w:rPr>
        <w:t xml:space="preserve">建前  In pubblico:  </w:t>
      </w:r>
      <w:r>
        <w:rPr>
          <w:rFonts w:ascii="Calibri" w:hAnsi="Calibri"/>
          <w:b w:val="0"/>
          <w:i w:val="0"/>
          <w:color w:val="1A1A2E"/>
          <w:sz w:val="18"/>
        </w:rPr>
        <w:t>Il commissario. Freddo, efficiente, inattaccabile. Le decisioni sono prese, i dubbi non esistono.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B49650"/>
          <w:sz w:val="18"/>
        </w:rPr>
        <w:t xml:space="preserve">本音  In privato:  </w:t>
      </w:r>
      <w:r>
        <w:rPr>
          <w:rFonts w:ascii="Calibri" w:hAnsi="Calibri"/>
          <w:b w:val="0"/>
          <w:i w:val="0"/>
          <w:color w:val="1A1A2E"/>
          <w:sz w:val="18"/>
        </w:rPr>
        <w:t>Sei esausto. La notte dormi poco — ascolti Fumiko muoversi per casa. Ti senti in colpa per ogni ora passata in ufficio.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Frase tipica:  </w:t>
      </w:r>
      <w:r>
        <w:rPr>
          <w:rFonts w:ascii="Calibri" w:hAnsi="Calibri"/>
          <w:b w:val="0"/>
          <w:i/>
          <w:color w:val="1A1A2E"/>
          <w:sz w:val="18"/>
        </w:rPr>
        <w:t>"Abbiamo un lavoro da fare." (la dice anche a se stesso)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8B0000"/>
          <w:sz w:val="18"/>
        </w:rPr>
        <w:t xml:space="preserve">Sotto pressione:  </w:t>
      </w:r>
      <w:r>
        <w:rPr>
          <w:rFonts w:ascii="Calibri" w:hAnsi="Calibri"/>
          <w:b w:val="0"/>
          <w:i w:val="0"/>
          <w:color w:val="1A1A2E"/>
          <w:sz w:val="18"/>
        </w:rPr>
        <w:t>Ti chiudi ancora di più. Fumi di più. Le frasi diventano più corte. Il tamburellare accelera.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8B0000"/>
          <w:sz w:val="18"/>
        </w:rPr>
        <w:t xml:space="preserve">Debolezza:  </w:t>
      </w:r>
      <w:r>
        <w:rPr>
          <w:rFonts w:ascii="Calibri" w:hAnsi="Calibri"/>
          <w:b w:val="0"/>
          <w:i w:val="0"/>
          <w:color w:val="1A1A2E"/>
          <w:sz w:val="18"/>
        </w:rPr>
        <w:t>Qualsiasi riferimento alla malattia, alla vecchiaia, al perdere il controllo.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癖  </w:t>
      </w:r>
      <w:r>
        <w:rPr>
          <w:rFonts w:ascii="Calibri" w:hAnsi="Calibri"/>
          <w:b/>
          <w:i w:val="0"/>
          <w:color w:val="1A1A2E"/>
          <w:sz w:val="20"/>
        </w:rPr>
        <w:t>TRATTI PERSONALI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Vizio:  </w:t>
      </w:r>
      <w:r>
        <w:rPr>
          <w:rFonts w:ascii="Calibri" w:hAnsi="Calibri"/>
          <w:b w:val="0"/>
          <w:i w:val="0"/>
          <w:color w:val="1A1A2E"/>
          <w:sz w:val="18"/>
        </w:rPr>
        <w:t>Fuma — Seven Stars, sempre lo stesso pacchetto. Non ha mai provato a smettere.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Tic:  </w:t>
      </w:r>
      <w:r>
        <w:rPr>
          <w:rFonts w:ascii="Calibri" w:hAnsi="Calibri"/>
          <w:b w:val="0"/>
          <w:i w:val="0"/>
          <w:color w:val="1A1A2E"/>
          <w:sz w:val="18"/>
        </w:rPr>
        <w:t>Tamburella le dita sulla scrivania quando pensa. Più tamburella, più è serio.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Oggetto personale:  </w:t>
      </w:r>
      <w:r>
        <w:rPr>
          <w:rFonts w:ascii="Calibri" w:hAnsi="Calibri"/>
          <w:b w:val="0"/>
          <w:i w:val="0"/>
          <w:color w:val="1A1A2E"/>
          <w:sz w:val="18"/>
        </w:rPr>
        <w:t>Accendino Zippo in ottone, regalo di Fumiko. Inciso: "K+F 1967".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Gusto:  </w:t>
      </w:r>
      <w:r>
        <w:rPr>
          <w:rFonts w:ascii="Calibri" w:hAnsi="Calibri"/>
          <w:b w:val="0"/>
          <w:i w:val="0"/>
          <w:color w:val="1A1A2E"/>
          <w:sz w:val="18"/>
        </w:rPr>
        <w:t>Tè verde bollente, sempre. Mai caffè. "Il caffè è per chi ha fretta."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Rituale:  </w:t>
      </w:r>
      <w:r>
        <w:rPr>
          <w:rFonts w:ascii="Calibri" w:hAnsi="Calibri"/>
          <w:b w:val="0"/>
          <w:i w:val="0"/>
          <w:color w:val="1A1A2E"/>
          <w:sz w:val="18"/>
        </w:rPr>
        <w:t>Ogni mattina arriva in ufficio mezz'ora prima di tutti. Legge i rapporti della notte in silenzio.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絆  </w:t>
      </w:r>
      <w:r>
        <w:rPr>
          <w:rFonts w:ascii="Calibri" w:hAnsi="Calibri"/>
          <w:b/>
          <w:i w:val="0"/>
          <w:color w:val="1A1A2E"/>
          <w:sz w:val="20"/>
        </w:rPr>
        <w:t>RAPPORTI NEL DISTRETTO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I PG:  </w:t>
      </w:r>
      <w:r>
        <w:rPr>
          <w:rFonts w:ascii="Calibri" w:hAnsi="Calibri"/>
          <w:b w:val="0"/>
          <w:i/>
          <w:color w:val="1A1A2E"/>
          <w:sz w:val="18"/>
        </w:rPr>
        <w:t>“Superiore diretto. Li rispetta se lavorano bene. Diretto, esigente, mai crudele.”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Yamada Tetsuo:  </w:t>
      </w:r>
      <w:r>
        <w:rPr>
          <w:rFonts w:ascii="Calibri" w:hAnsi="Calibri"/>
          <w:b w:val="0"/>
          <w:i/>
          <w:color w:val="1A1A2E"/>
          <w:sz w:val="18"/>
        </w:rPr>
        <w:t>“Lo conosce come agente affidabile. "Yamada è un bravo poliziotto."”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Ito Daisuke:  </w:t>
      </w:r>
      <w:r>
        <w:rPr>
          <w:rFonts w:ascii="Calibri" w:hAnsi="Calibri"/>
          <w:b w:val="0"/>
          <w:i/>
          <w:color w:val="1A1A2E"/>
          <w:sz w:val="18"/>
        </w:rPr>
        <w:t>“Rispetto professionale reciproco. "Se lo dice Ito, è così."”</w:t>
      </w:r>
    </w:p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b w:val="0"/>
          <w:i w:val="0"/>
          <w:color w:val="787878"/>
          <w:sz w:val="14"/>
        </w:rPr>
        <w:t>GENKAI 限界 v1.2  ·  PNG RICORRENTE</w:t>
      </w:r>
    </w:p>
    <w:sectPr w:rsidR="00FC693F" w:rsidRPr="0006063C" w:rsidSect="00034616">
      <w:pgSz w:w="11906" w:h="16838"/>
      <w:pgMar w:top="170" w:right="170" w:bottom="170" w:left="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