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porterebbe a 0 o sotto, il Gou non si attiva.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Lo spirito del samurai che non cede. Attivabile solo a Ki 4-5; il costo non innesca il Genkai: si verifica a fine scena.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Ambienti yakuza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Diciott'anni a Kyoto: sai chi comanda in quali strade e come si parla a un kumichō senza perdere la faccia.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Stampa e media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Sai come ragionano le redazioni, cosa fa notizia e cosa può aspettare. E hai un amico al Kyoto Shimbun.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Diciott'anni di stanze chiuse: sblocca le tecniche di apertura — il terreno emotivo che si prepara prima delle domande vere.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Pazienza o Silenzio · vel. 2/1 · danno 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