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/>
          <w:b w:val="0"/>
          <w:i w:val="0"/>
          <w:color w:val="B49650"/>
          <w:sz w:val="14"/>
        </w:rPr>
        <w:t>限界  ·  GENKAI v1.2  ·  限界</w:t>
      </w:r>
    </w:p>
    <w:p>
      <w:pPr>
        <w:spacing w:after="120" w:before="0"/>
        <w:jc w:val="center"/>
      </w:pPr>
      <w:r>
        <w:rPr>
          <w:rFonts w:ascii="Calibri" w:hAnsi="Calibri"/>
          <w:b w:val="0"/>
          <w:i w:val="0"/>
          <w:color w:val="8B0000"/>
          <w:sz w:val="14"/>
        </w:rPr>
        <w:t>▸ SCHEDA PNG RICORRENTE 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783"/>
        <w:gridCol w:w="5783"/>
      </w:tblGrid>
      <w:tr>
        <w:tc>
          <w:tcPr>
            <w:tcW w:type="dxa" w:w="7937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56"/>
              </w:rPr>
              <w:t>山田 哲夫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8"/>
              </w:rPr>
              <w:t>YAMADA Tetsuo</w:t>
            </w:r>
          </w:p>
        </w:tc>
        <w:tc>
          <w:tcPr>
            <w:tcW w:type="dxa" w:w="181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Borders>
              <w:top w:val="single" w:sz="4" w:space="0" w:color="B49650"/>
              <w:bottom w:val="single" w:sz="4" w:space="0" w:color="B49650"/>
              <w:left w:val="single" w:sz="4" w:space="0" w:color="B49650"/>
              <w:right w:val="single" w:sz="4" w:space="0" w:color="B49650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NG_02_Yamada_Tetsuo_fo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 w:before="120"/>
        <w:jc w:val="center"/>
      </w:pPr>
      <w:r>
        <w:rPr>
          <w:rFonts w:ascii="Calibri" w:hAnsi="Calibri"/>
          <w:b w:val="0"/>
          <w:i w:val="0"/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787878"/>
          <w:sz w:val="16"/>
        </w:rPr>
        <w:t xml:space="preserve">Età </w:t>
      </w:r>
      <w:r>
        <w:rPr>
          <w:rFonts w:ascii="Calibri" w:hAnsi="Calibri"/>
          <w:b w:val="0"/>
          <w:i w:val="0"/>
          <w:color w:val="1A1A2E"/>
          <w:sz w:val="16"/>
        </w:rPr>
        <w:t>35</w:t>
      </w:r>
      <w:r>
        <w:rPr>
          <w:rFonts w:ascii="Calibri" w:hAnsi="Calibri"/>
          <w:b w:val="0"/>
          <w:i w:val="0"/>
          <w:color w:val="B49650"/>
          <w:sz w:val="16"/>
        </w:rPr>
        <w:t xml:space="preserve">  ·  </w:t>
      </w:r>
      <w:r>
        <w:rPr>
          <w:rFonts w:ascii="Calibri" w:hAnsi="Calibri"/>
          <w:b/>
          <w:i w:val="0"/>
          <w:color w:val="787878"/>
          <w:sz w:val="16"/>
        </w:rPr>
        <w:t xml:space="preserve">Ruolo </w:t>
      </w:r>
      <w:r>
        <w:rPr>
          <w:rFonts w:ascii="Calibri" w:hAnsi="Calibri"/>
          <w:b w:val="0"/>
          <w:i w:val="0"/>
          <w:color w:val="1A1A2E"/>
          <w:sz w:val="16"/>
        </w:rPr>
        <w:t>Accompagnatore e supporto operativo</w:t>
      </w:r>
      <w:r>
        <w:rPr>
          <w:rFonts w:ascii="Calibri" w:hAnsi="Calibri"/>
          <w:b w:val="0"/>
          <w:i w:val="0"/>
          <w:color w:val="B49650"/>
          <w:sz w:val="16"/>
        </w:rPr>
        <w:t xml:space="preserve">  ·  </w:t>
      </w:r>
      <w:r>
        <w:rPr>
          <w:rFonts w:ascii="Calibri" w:hAnsi="Calibri"/>
          <w:b/>
          <w:i w:val="0"/>
          <w:color w:val="787878"/>
          <w:sz w:val="16"/>
        </w:rPr>
        <w:t xml:space="preserve">Grado </w:t>
      </w:r>
      <w:r>
        <w:rPr>
          <w:rFonts w:ascii="Calibri" w:hAnsi="Calibri"/>
          <w:b w:val="0"/>
          <w:i w:val="0"/>
          <w:color w:val="1A1A2E"/>
          <w:sz w:val="16"/>
        </w:rPr>
        <w:t>Junsa-buchō (巡査部長) — Sergente</w:t>
      </w:r>
      <w:r>
        <w:rPr>
          <w:rFonts w:ascii="Calibri" w:hAnsi="Calibri"/>
          <w:b w:val="0"/>
          <w:i w:val="0"/>
          <w:color w:val="B49650"/>
          <w:sz w:val="16"/>
        </w:rPr>
        <w:t xml:space="preserve">  ·  </w:t>
      </w:r>
      <w:r>
        <w:rPr>
          <w:rFonts w:ascii="Calibri" w:hAnsi="Calibri"/>
          <w:b/>
          <w:i w:val="0"/>
          <w:color w:val="787878"/>
          <w:sz w:val="16"/>
        </w:rPr>
        <w:t xml:space="preserve">Servizio </w:t>
      </w:r>
      <w:r>
        <w:rPr>
          <w:rFonts w:ascii="Calibri" w:hAnsi="Calibri"/>
          <w:b w:val="0"/>
          <w:i w:val="0"/>
          <w:color w:val="1A1A2E"/>
          <w:sz w:val="16"/>
        </w:rPr>
        <w:t>10 anni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能力  </w:t>
      </w:r>
      <w:r>
        <w:rPr>
          <w:rFonts w:ascii="Calibri" w:hAnsi="Calibri"/>
          <w:b/>
          <w:i w:val="0"/>
          <w:color w:val="1A1A2E"/>
          <w:sz w:val="20"/>
        </w:rPr>
        <w:t>ATTRIBUTI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6" w:space="0" w:color="B49650"/>
          <w:right w:val="none" w:sz="0" w:space="0" w:color="auto"/>
          <w:insideH w:val="single" w:sz="2" w:space="0" w:color="D0C8B0"/>
          <w:insideV w:val="none" w:sz="0" w:space="0" w:color="auto"/>
        </w:tblBorders>
        <w:tblCellMar>
          <w:top w:w="30" w:type="dxa"/>
          <w:bottom w:w="30" w:type="dxa"/>
          <w:left w:w="80" w:type="dxa"/>
          <w:right w:w="80" w:type="dxa"/>
        </w:tblCellMar>
      </w:tblPr>
      <w:tblGrid>
        <w:gridCol w:w="3855"/>
        <w:gridCol w:w="3855"/>
        <w:gridCol w:w="3855"/>
      </w:tblGrid>
      <w:tr>
        <w:tc>
          <w:tcPr>
            <w:tcW w:type="dxa" w:w="1417"/>
            <w:shd w:fill="1A1A2E" w:val="clear"/>
            <w:tcBorders>
              <w:bottom w:val="single" w:sz="6" w:space="0" w:color="B4965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Attributo</w:t>
            </w:r>
          </w:p>
        </w:tc>
        <w:tc>
          <w:tcPr>
            <w:tcW w:type="dxa" w:w="850"/>
            <w:shd w:fill="1A1A2E" w:val="clear"/>
            <w:tcBorders>
              <w:bottom w:val="single" w:sz="6" w:space="0" w:color="B4965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Valore</w:t>
            </w:r>
          </w:p>
        </w:tc>
        <w:tc>
          <w:tcPr>
            <w:tcW w:type="dxa" w:w="7370"/>
            <w:shd w:fill="1A1A2E" w:val="clear"/>
            <w:tcBorders>
              <w:bottom w:val="single" w:sz="6" w:space="0" w:color="B4965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Note</w:t>
            </w:r>
          </w:p>
        </w:tc>
      </w:tr>
      <w:tr>
        <w:tc>
          <w:tcPr>
            <w:tcW w:type="dxa" w:w="1417"/>
            <w:shd w:fill="F5F3EB" w:val="clear"/>
          </w:tcPr>
          <w:p>
            <w:r>
              <w:rPr>
                <w:rFonts w:ascii="Calibri" w:hAnsi="Calibri"/>
                <w:b w:val="0"/>
                <w:color w:val="1A1A2E"/>
                <w:sz w:val="18"/>
              </w:rPr>
              <w:t>Distacco</w:t>
            </w:r>
          </w:p>
        </w:tc>
        <w:tc>
          <w:tcPr>
            <w:tcW w:type="dxa" w:w="850"/>
            <w:shd w:fill="F5F3EB" w:val="clea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A1A2E"/>
                <w:sz w:val="22"/>
              </w:rPr>
              <w:t>6</w:t>
            </w:r>
          </w:p>
        </w:tc>
        <w:tc>
          <w:tcPr>
            <w:tcW w:type="dxa" w:w="7370"/>
            <w:shd w:fill="F5F3EB" w:val="clear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Solido, ma non freddo — le cose lo toccano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/>
                <w:color w:val="1A1A2E"/>
                <w:sz w:val="18"/>
              </w:rPr>
              <w:t>Pazienza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Calibri" w:hAnsi="Calibri"/>
                <w:b/>
                <w:color w:val="8B0000"/>
                <w:sz w:val="22"/>
              </w:rPr>
              <w:t>8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Aspetta senza agitarsi, mai. Il suo tratto migliore</w:t>
            </w:r>
          </w:p>
        </w:tc>
      </w:tr>
      <w:tr>
        <w:tc>
          <w:tcPr>
            <w:tcW w:type="dxa" w:w="1417"/>
            <w:shd w:fill="F5F3EB" w:val="clear"/>
          </w:tcPr>
          <w:p>
            <w:r>
              <w:rPr>
                <w:rFonts w:ascii="Calibri" w:hAnsi="Calibri"/>
                <w:b/>
                <w:color w:val="1A1A2E"/>
                <w:sz w:val="18"/>
              </w:rPr>
              <w:t>Silenzio</w:t>
            </w:r>
          </w:p>
        </w:tc>
        <w:tc>
          <w:tcPr>
            <w:tcW w:type="dxa" w:w="850"/>
            <w:shd w:fill="F5F3EB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8B0000"/>
                <w:sz w:val="22"/>
              </w:rPr>
              <w:t>7</w:t>
            </w:r>
          </w:p>
        </w:tc>
        <w:tc>
          <w:tcPr>
            <w:tcW w:type="dxa" w:w="7370"/>
            <w:shd w:fill="F5F3EB" w:val="clear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Calmo, voce ferma, non reagisce d'impulso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/>
                <w:color w:val="1A1A2E"/>
                <w:sz w:val="18"/>
              </w:rPr>
              <w:t>Lucidità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Calibri" w:hAnsi="Calibri"/>
                <w:b/>
                <w:color w:val="8B0000"/>
                <w:sz w:val="22"/>
              </w:rPr>
              <w:t>7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Buon occhio da poliziotto di strada — nota i dettagli</w:t>
            </w:r>
          </w:p>
        </w:tc>
      </w:tr>
      <w:tr>
        <w:tc>
          <w:tcPr>
            <w:tcW w:type="dxa" w:w="1417"/>
            <w:shd w:fill="F5F3EB" w:val="clear"/>
          </w:tcPr>
          <w:p>
            <w:r>
              <w:rPr>
                <w:rFonts w:ascii="Calibri" w:hAnsi="Calibri"/>
                <w:b w:val="0"/>
                <w:color w:val="1A1A2E"/>
                <w:sz w:val="18"/>
              </w:rPr>
              <w:t>Ascolto</w:t>
            </w:r>
          </w:p>
        </w:tc>
        <w:tc>
          <w:tcPr>
            <w:tcW w:type="dxa" w:w="850"/>
            <w:shd w:fill="F5F3EB" w:val="clea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A1A2E"/>
                <w:sz w:val="22"/>
              </w:rPr>
              <w:t>5</w:t>
            </w:r>
          </w:p>
        </w:tc>
        <w:tc>
          <w:tcPr>
            <w:tcW w:type="dxa" w:w="7370"/>
            <w:shd w:fill="F5F3EB" w:val="clear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Ascolta per obbedire, non per leggere le persone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 w:val="0"/>
                <w:color w:val="1A1A2E"/>
                <w:sz w:val="18"/>
              </w:rPr>
              <w:t>Presenza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A1A2E"/>
                <w:sz w:val="22"/>
              </w:rPr>
              <w:t>6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Rispettato ma non imponente</w:t>
            </w:r>
          </w:p>
        </w:tc>
      </w:tr>
    </w:tbl>
    <w:p>
      <w:pPr>
        <w:spacing w:before="120" w:after="80"/>
        <w:jc w:val="center"/>
      </w:pPr>
      <w:r>
        <w:rPr>
          <w:rFonts w:ascii="Calibri" w:hAnsi="Calibri"/>
          <w:b/>
          <w:i w:val="0"/>
          <w:color w:val="787878"/>
          <w:sz w:val="16"/>
        </w:rPr>
        <w:t xml:space="preserve">Distribuzione: </w:t>
      </w:r>
      <w:r>
        <w:rPr>
          <w:rFonts w:ascii="Calibri" w:hAnsi="Calibri"/>
          <w:b w:val="0"/>
          <w:i w:val="0"/>
          <w:color w:val="787878"/>
          <w:sz w:val="16"/>
        </w:rPr>
        <w:t>base 4 × 6 = 24  +  12 punti  +  3 bonus (d6)  =  39 totale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気  </w:t>
      </w:r>
      <w:r>
        <w:rPr>
          <w:rFonts w:ascii="Calibri" w:hAnsi="Calibri"/>
          <w:b/>
          <w:i w:val="0"/>
          <w:color w:val="1A1A2E"/>
          <w:sz w:val="20"/>
        </w:rPr>
        <w:t>KI — TENUTA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80"/>
        <w:ind w:left="170"/>
      </w:pPr>
      <w:r>
        <w:rPr>
          <w:rFonts w:ascii="Calibri" w:hAnsi="Calibri"/>
          <w:b/>
          <w:i w:val="0"/>
          <w:color w:val="1A1A2E"/>
          <w:sz w:val="22"/>
        </w:rPr>
        <w:t>Ki Max:  8</w:t>
      </w:r>
      <w:r>
        <w:rPr>
          <w:rFonts w:ascii="Calibri" w:hAnsi="Calibri"/>
          <w:b w:val="0"/>
          <w:i w:val="0"/>
          <w:color w:val="1A1A2E"/>
          <w:sz w:val="22"/>
        </w:rPr>
        <w:t xml:space="preserve">          </w:t>
      </w:r>
      <w:r>
        <w:rPr>
          <w:rFonts w:ascii="Calibri" w:hAnsi="Calibri"/>
          <w:b w:val="0"/>
          <w:i/>
          <w:color w:val="787878"/>
          <w:sz w:val="16"/>
        </w:rPr>
        <w:t>≤ 3 Genkai</w:t>
      </w:r>
      <w:r>
        <w:rPr>
          <w:rFonts w:ascii="Calibri" w:hAnsi="Calibri"/>
          <w:b w:val="0"/>
          <w:i w:val="0"/>
          <w:color w:val="B49650"/>
          <w:sz w:val="16"/>
        </w:rPr>
        <w:t xml:space="preserve">  ·  </w:t>
      </w:r>
      <w:r>
        <w:rPr>
          <w:rFonts w:ascii="Calibri" w:hAnsi="Calibri"/>
          <w:b w:val="0"/>
          <w:i/>
          <w:color w:val="787878"/>
          <w:sz w:val="16"/>
        </w:rPr>
        <w:t>= 1 Critico</w:t>
      </w:r>
      <w:r>
        <w:rPr>
          <w:rFonts w:ascii="Calibri" w:hAnsi="Calibri"/>
          <w:b w:val="0"/>
          <w:i w:val="0"/>
          <w:color w:val="B49650"/>
          <w:sz w:val="16"/>
        </w:rPr>
        <w:t xml:space="preserve">  ·  </w:t>
      </w:r>
      <w:r>
        <w:rPr>
          <w:rFonts w:ascii="Calibri" w:hAnsi="Calibri"/>
          <w:b w:val="0"/>
          <w:i/>
          <w:color w:val="787878"/>
          <w:sz w:val="16"/>
        </w:rPr>
        <w:t>&lt; 1 Fuori gioco</w:t>
      </w:r>
    </w:p>
    <w:p>
      <w:pPr>
        <w:spacing w:before="80" w:after="80"/>
        <w:ind w:left="170"/>
      </w:pPr>
      <w:r>
        <w:rPr>
          <w:rFonts w:ascii="Calibri" w:hAnsi="Calibri"/>
          <w:b/>
          <w:i w:val="0"/>
          <w:color w:val="1A1A2E"/>
          <w:sz w:val="22"/>
        </w:rPr>
        <w:t xml:space="preserve">Ki attuale:  </w:t>
      </w:r>
      <w:r>
        <w:rPr>
          <w:rFonts w:ascii="Calibri" w:hAnsi="Calibri"/>
          <w:b w:val="0"/>
          <w:i w:val="0"/>
          <w:color w:val="C8C8C8"/>
          <w:sz w:val="22"/>
        </w:rPr>
        <w:t>_______________________________________________________________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業  </w:t>
      </w:r>
      <w:r>
        <w:rPr>
          <w:rFonts w:ascii="Calibri" w:hAnsi="Calibri"/>
          <w:b/>
          <w:i w:val="0"/>
          <w:color w:val="1A1A2E"/>
          <w:sz w:val="20"/>
        </w:rPr>
        <w:t>GOU — IL DEBITO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40"/>
        <w:ind w:left="170"/>
      </w:pPr>
      <w:r>
        <w:rPr>
          <w:rFonts w:ascii="Calibri" w:hAnsi="Calibri"/>
          <w:b w:val="0"/>
          <w:i/>
          <w:color w:val="787878"/>
          <w:sz w:val="16"/>
        </w:rPr>
        <w:t>Il Gou funziona SEMPRE. Successo = dettagli precisi. Fallimento = dettagli vaghi.</w:t>
      </w:r>
    </w:p>
    <w:p>
      <w:pPr>
        <w:spacing w:before="140" w:after="40"/>
        <w:ind w:left="170"/>
      </w:pPr>
      <w:r>
        <w:rPr>
          <w:rFonts w:ascii="Calibri" w:hAnsi="Calibri"/>
          <w:b w:val="0"/>
          <w:i w:val="0"/>
          <w:color w:val="B49650"/>
          <w:sz w:val="18"/>
        </w:rPr>
        <w:t xml:space="preserve">▸ </w:t>
      </w:r>
      <w:r>
        <w:rPr>
          <w:rFonts w:ascii="Calibri" w:hAnsi="Calibri"/>
          <w:b/>
          <w:i w:val="0"/>
          <w:color w:val="1A1A2E"/>
          <w:sz w:val="20"/>
        </w:rPr>
        <w:t>Palazzo della Memoria  記憶の宮殿</w:t>
      </w:r>
    </w:p>
    <w:p>
      <w:pPr>
        <w:spacing w:after="20"/>
        <w:ind w:left="340"/>
      </w:pPr>
      <w:r>
        <w:rPr>
          <w:rFonts w:ascii="Calibri" w:hAnsi="Calibri"/>
          <w:b w:val="0"/>
          <w:i/>
          <w:color w:val="787878"/>
          <w:sz w:val="18"/>
        </w:rPr>
        <w:t>Puoi richiamare con precisione fotografica qualcosa che hai visto o sentito.</w:t>
      </w:r>
    </w:p>
    <w:p>
      <w:pPr>
        <w:spacing w:after="20"/>
        <w:ind w:left="340"/>
      </w:pPr>
      <w:r>
        <w:rPr>
          <w:rFonts w:ascii="Calibri" w:hAnsi="Calibri"/>
          <w:b/>
          <w:i w:val="0"/>
          <w:color w:val="787878"/>
          <w:sz w:val="16"/>
        </w:rPr>
        <w:t xml:space="preserve">Attributo: </w:t>
      </w:r>
      <w:r>
        <w:rPr>
          <w:rFonts w:ascii="Calibri" w:hAnsi="Calibri"/>
          <w:b w:val="0"/>
          <w:i w:val="0"/>
          <w:color w:val="1A1A2E"/>
          <w:sz w:val="16"/>
        </w:rPr>
        <w:t>Lucidità (7)</w:t>
      </w:r>
      <w:r>
        <w:rPr>
          <w:rFonts w:ascii="Calibri" w:hAnsi="Calibri"/>
          <w:b w:val="0"/>
          <w:i w:val="0"/>
          <w:color w:val="B49650"/>
          <w:sz w:val="16"/>
        </w:rPr>
        <w:t xml:space="preserve">  ·  </w:t>
      </w:r>
      <w:r>
        <w:rPr>
          <w:rFonts w:ascii="Calibri" w:hAnsi="Calibri"/>
          <w:b/>
          <w:i w:val="0"/>
          <w:color w:val="787878"/>
          <w:sz w:val="16"/>
        </w:rPr>
        <w:t xml:space="preserve">Costo: </w:t>
      </w:r>
      <w:r>
        <w:rPr>
          <w:rFonts w:ascii="Calibri" w:hAnsi="Calibri"/>
          <w:b w:val="0"/>
          <w:i w:val="0"/>
          <w:color w:val="8B0000"/>
          <w:sz w:val="16"/>
        </w:rPr>
        <w:t>2 Ki</w:t>
      </w:r>
    </w:p>
    <w:p>
      <w:pPr>
        <w:spacing w:after="20"/>
        <w:ind w:left="340"/>
      </w:pPr>
      <w:r>
        <w:rPr>
          <w:rFonts w:ascii="Calibri" w:hAnsi="Calibri"/>
          <w:b/>
          <w:i w:val="0"/>
          <w:color w:val="787878"/>
          <w:sz w:val="16"/>
        </w:rPr>
        <w:t xml:space="preserve">Successo: </w:t>
      </w:r>
      <w:r>
        <w:rPr>
          <w:rFonts w:ascii="Calibri" w:hAnsi="Calibri"/>
          <w:b w:val="0"/>
          <w:i w:val="0"/>
          <w:color w:val="1A1A2E"/>
          <w:sz w:val="16"/>
        </w:rPr>
        <w:t>Ricordi il dettaglio e anche elementi periferici che non avevi notato consciamente</w:t>
      </w:r>
    </w:p>
    <w:p>
      <w:pPr>
        <w:spacing w:after="80"/>
        <w:ind w:left="340"/>
      </w:pPr>
      <w:r>
        <w:rPr>
          <w:rFonts w:ascii="Calibri" w:hAnsi="Calibri"/>
          <w:b/>
          <w:i w:val="0"/>
          <w:color w:val="787878"/>
          <w:sz w:val="16"/>
        </w:rPr>
        <w:t xml:space="preserve">Fallimento: </w:t>
      </w:r>
      <w:r>
        <w:rPr>
          <w:rFonts w:ascii="Calibri" w:hAnsi="Calibri"/>
          <w:b w:val="0"/>
          <w:i w:val="0"/>
          <w:color w:val="1A1A2E"/>
          <w:sz w:val="16"/>
        </w:rPr>
        <w:t>Ricordi il dettaglio principale, ma sfocato o incompleto</w:t>
      </w:r>
    </w:p>
    <w:p>
      <w:pPr>
        <w:spacing w:after="120" w:before="120"/>
        <w:jc w:val="center"/>
      </w:pPr>
      <w:r>
        <w:rPr>
          <w:rFonts w:ascii="Calibri" w:hAnsi="Calibri"/>
          <w:b w:val="0"/>
          <w:i w:val="0"/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>
      <w:pPr>
        <w:spacing w:before="80" w:after="40"/>
        <w:jc w:val="center"/>
      </w:pPr>
      <w:r>
        <w:rPr>
          <w:rFonts w:ascii="Calibri" w:hAnsi="Calibri"/>
          <w:b w:val="0"/>
          <w:i w:val="0"/>
          <w:color w:val="B49650"/>
          <w:sz w:val="20"/>
        </w:rPr>
        <w:t xml:space="preserve">悟り  </w:t>
      </w:r>
      <w:r>
        <w:rPr>
          <w:rFonts w:ascii="Calibri" w:hAnsi="Calibri"/>
          <w:b w:val="0"/>
          <w:i w:val="0"/>
          <w:color w:val="787878"/>
          <w:sz w:val="16"/>
        </w:rPr>
        <w:t xml:space="preserve">SATORI — Successo automatico, 1 volta per sessione:  </w:t>
      </w:r>
      <w:r>
        <w:rPr>
          <w:rFonts w:ascii="Calibri" w:hAnsi="Calibri"/>
          <w:b w:val="0"/>
          <w:i w:val="0"/>
          <w:color w:val="1A1A2E"/>
          <w:sz w:val="18"/>
        </w:rPr>
        <w:t>□ Usato</w:t>
      </w:r>
    </w:p>
    <w:p>
      <w:r>
        <w:br w:type="page"/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color w:val="B49650"/>
          <w:sz w:val="28"/>
        </w:rPr>
        <w:t>山田 哲夫</w:t>
      </w:r>
      <w:r>
        <w:rPr>
          <w:rFonts w:ascii="Calibri" w:hAnsi="Calibri"/>
          <w:b w:val="0"/>
          <w:i w:val="0"/>
          <w:color w:val="787878"/>
          <w:sz w:val="20"/>
        </w:rPr>
        <w:t xml:space="preserve">  ·  </w:t>
      </w:r>
      <w:r>
        <w:rPr>
          <w:rFonts w:ascii="Calibri" w:hAnsi="Calibri"/>
          <w:b/>
          <w:i w:val="0"/>
          <w:color w:val="1A1A2E"/>
          <w:sz w:val="22"/>
        </w:rPr>
        <w:t>YAMADA Tetsuo</w:t>
      </w:r>
    </w:p>
    <w:p>
      <w:pPr>
        <w:spacing w:after="120" w:before="120"/>
        <w:jc w:val="center"/>
      </w:pPr>
      <w:r>
        <w:rPr>
          <w:rFonts w:ascii="Calibri" w:hAnsi="Calibri"/>
          <w:b w:val="0"/>
          <w:i w:val="0"/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人  </w:t>
      </w:r>
      <w:r>
        <w:rPr>
          <w:rFonts w:ascii="Calibri" w:hAnsi="Calibri"/>
          <w:b/>
          <w:i w:val="0"/>
          <w:color w:val="1A1A2E"/>
          <w:sz w:val="20"/>
        </w:rPr>
        <w:t>CHI SEI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Sei poliziotto da dieci anni. Hai iniziato come agente di pattuglia e lo sei ancora — non per mancanza di capacità, ma perché ami la strada. O almeno, è quello che dici.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Conosci Kyoto come le tue tasche. Ogni quartiere, ogni scorciatoia, ogni izakaya dove si trovano informazioni. Quando la Sezione Omicidi apre un caso, il commissario Taniguchi ti assegna come supporto.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Sei quello che facilita tutto: spostamenti, contatti, archivi, territorio. Un bravo poliziotto. Ma non un detective.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影  </w:t>
      </w:r>
      <w:r>
        <w:rPr>
          <w:rFonts w:ascii="Calibri" w:hAnsi="Calibri"/>
          <w:b/>
          <w:i w:val="0"/>
          <w:color w:val="1A1A2E"/>
          <w:sz w:val="20"/>
        </w:rPr>
        <w:t>IL TUO PROBLEMA — L'ESAME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Hai fallito l'esame per detective due volte. La prima a 28 anni, la seconda a 31. Non per stupidità — per ansia. Davanti al foglio d'esame ti si blocca tutto.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La tua fidanzata Kawano Miki ti vuole bene, ma è stanca di aspettare. Ha 32 anni, vuole sposarsi, vuole una famiglia. E un agente di pattuglia che non avanza di grado non è il futuro che aveva in mente.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Miki vuole che riprovi l'esame. Tu hai paura di fallire una terza volta. E ogni volta che i PG ti trattano da "semplice agente", la ferita si riapre.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縁  </w:t>
      </w:r>
      <w:r>
        <w:rPr>
          <w:rFonts w:ascii="Calibri" w:hAnsi="Calibri"/>
          <w:b/>
          <w:i w:val="0"/>
          <w:color w:val="1A1A2E"/>
          <w:sz w:val="20"/>
        </w:rPr>
        <w:t>KAWANO MIKI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783"/>
        <w:gridCol w:w="5783"/>
      </w:tblGrid>
      <w:tr>
        <w:tc>
          <w:tcPr>
            <w:tcW w:type="dxa" w:w="1417"/>
          </w:tcPr>
          <w:p>
            <w:r>
              <w:rPr>
                <w:rFonts w:ascii="Calibri" w:hAnsi="Calibri"/>
                <w:b/>
                <w:i w:val="0"/>
                <w:color w:val="787878"/>
                <w:sz w:val="16"/>
              </w:rPr>
              <w:t>Età</w:t>
            </w:r>
          </w:p>
        </w:tc>
        <w:tc>
          <w:tcPr>
            <w:tcW w:type="dxa" w:w="578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32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/>
                <w:i w:val="0"/>
                <w:color w:val="787878"/>
                <w:sz w:val="16"/>
              </w:rPr>
              <w:t>Occupazione</w:t>
            </w:r>
          </w:p>
        </w:tc>
        <w:tc>
          <w:tcPr>
            <w:tcW w:type="dxa" w:w="578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Impiegata alla Posta Centrale di Kyoto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/>
                <w:i w:val="0"/>
                <w:color w:val="787878"/>
                <w:sz w:val="16"/>
              </w:rPr>
              <w:t>Relazione</w:t>
            </w:r>
          </w:p>
        </w:tc>
        <w:tc>
          <w:tcPr>
            <w:tcW w:type="dxa" w:w="578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Fidanzata da 4 anni, conviventi da 2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/>
                <w:i w:val="0"/>
                <w:color w:val="787878"/>
                <w:sz w:val="16"/>
              </w:rPr>
              <w:t>Cosa vuole</w:t>
            </w:r>
          </w:p>
        </w:tc>
        <w:tc>
          <w:tcPr>
            <w:tcW w:type="dxa" w:w="578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Che Tetsuo riprovi l'esame. Non per i soldi — per lui, per il futuro, per dimostrare che vale.</w:t>
            </w:r>
          </w:p>
        </w:tc>
      </w:tr>
    </w:tbl>
    <w:p>
      <w:pPr>
        <w:spacing w:before="80"/>
        <w:ind w:left="170"/>
      </w:pPr>
      <w:r>
        <w:rPr>
          <w:rFonts w:ascii="Calibri" w:hAnsi="Calibri"/>
          <w:b w:val="0"/>
          <w:i/>
          <w:color w:val="1A1A2E"/>
          <w:sz w:val="18"/>
        </w:rPr>
        <w:t>Non fa scenate. È pratica, diretta, un po' tagliente quando è stanca. Quando Tetsuo rientra tardi, sospira forte e non dice nulla — il che è peggio.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縁者  </w:t>
      </w:r>
      <w:r>
        <w:rPr>
          <w:rFonts w:ascii="Calibri" w:hAnsi="Calibri"/>
          <w:b/>
          <w:i w:val="0"/>
          <w:color w:val="1A1A2E"/>
          <w:sz w:val="20"/>
        </w:rPr>
        <w:t>CONOSCENZA — KATO JIRO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40"/>
        <w:ind w:left="170"/>
      </w:pPr>
      <w:r>
        <w:rPr>
          <w:rFonts w:ascii="Calibri" w:hAnsi="Calibri"/>
          <w:b w:val="0"/>
          <w:i/>
          <w:color w:val="787878"/>
          <w:sz w:val="18"/>
        </w:rPr>
        <w:t>Proprietario di izakaya, ex informatore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Proprietario dell'izakaya "Tsukimi" a Gion. Ex informatore della polizia. Conosce voci dalla strada, movimenti nel quartiere.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6"/>
        </w:rPr>
        <w:t xml:space="preserve">Contatto: </w:t>
      </w:r>
      <w:r>
        <w:rPr>
          <w:rFonts w:ascii="Calibri" w:hAnsi="Calibri"/>
          <w:b w:val="0"/>
          <w:i w:val="0"/>
          <w:color w:val="1A1A2E"/>
          <w:sz w:val="16"/>
        </w:rPr>
        <w:t>Di persona, al locale. Non al telefono — "le pareti hanno orecchie".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6"/>
        </w:rPr>
        <w:t xml:space="preserve">Costo: </w:t>
      </w:r>
      <w:r>
        <w:rPr>
          <w:rFonts w:ascii="Calibri" w:hAnsi="Calibri"/>
          <w:b w:val="0"/>
          <w:i w:val="0"/>
          <w:color w:val="1A1A2E"/>
          <w:sz w:val="16"/>
        </w:rPr>
        <w:t>Che la polizia non ficchi il naso nel suo locale.</w:t>
      </w:r>
    </w:p>
    <w:p>
      <w:pPr>
        <w:ind w:left="170"/>
      </w:pPr>
      <w:r>
        <w:rPr>
          <w:rFonts w:ascii="Calibri" w:hAnsi="Calibri"/>
          <w:b w:val="0"/>
          <w:i/>
          <w:color w:val="787878"/>
          <w:sz w:val="14"/>
        </w:rPr>
        <w:t>1 volta per sessione senza conseguenze. La seconda volta → chiede qualcosa in cambio.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面  </w:t>
      </w:r>
      <w:r>
        <w:rPr>
          <w:rFonts w:ascii="Calibri" w:hAnsi="Calibri"/>
          <w:b/>
          <w:i w:val="0"/>
          <w:color w:val="1A1A2E"/>
          <w:sz w:val="20"/>
        </w:rPr>
        <w:t>COME TI COMPORTI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B49650"/>
          <w:sz w:val="18"/>
        </w:rPr>
        <w:t xml:space="preserve">建前  In pubblico:  </w:t>
      </w:r>
      <w:r>
        <w:rPr>
          <w:rFonts w:ascii="Calibri" w:hAnsi="Calibri"/>
          <w:b w:val="0"/>
          <w:i w:val="0"/>
          <w:color w:val="1A1A2E"/>
          <w:sz w:val="18"/>
        </w:rPr>
        <w:t>L'agente perfetto. Affidabile, discreto, sempre un passo indietro. Mai una lamentela.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B49650"/>
          <w:sz w:val="18"/>
        </w:rPr>
        <w:t xml:space="preserve">本音  In privato:  </w:t>
      </w:r>
      <w:r>
        <w:rPr>
          <w:rFonts w:ascii="Calibri" w:hAnsi="Calibri"/>
          <w:b w:val="0"/>
          <w:i w:val="0"/>
          <w:color w:val="1A1A2E"/>
          <w:sz w:val="18"/>
        </w:rPr>
        <w:t>Ti chiedi se sarai un agente di pattuglia per tutta la vita. La notte ripassi mentalmente le domande dell'esame che non hai saputo rispondere.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Frase tipica:  </w:t>
      </w:r>
      <w:r>
        <w:rPr>
          <w:rFonts w:ascii="Calibri" w:hAnsi="Calibri"/>
          <w:b w:val="0"/>
          <w:i/>
          <w:color w:val="1A1A2E"/>
          <w:sz w:val="18"/>
        </w:rPr>
        <w:t>"Se posso permettermi..." (prima di ogni opinione, come a chiedere il permesso di esistere)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8B0000"/>
          <w:sz w:val="18"/>
        </w:rPr>
        <w:t xml:space="preserve">Sotto pressione:  </w:t>
      </w:r>
      <w:r>
        <w:rPr>
          <w:rFonts w:ascii="Calibri" w:hAnsi="Calibri"/>
          <w:b w:val="0"/>
          <w:i w:val="0"/>
          <w:color w:val="1A1A2E"/>
          <w:sz w:val="18"/>
        </w:rPr>
        <w:t>Diventi più silenzioso. Annuisci di più. Scrivi di più sul taccuino. Stringi il taccuino più forte.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8B0000"/>
          <w:sz w:val="18"/>
        </w:rPr>
        <w:t xml:space="preserve">Debolezza:  </w:t>
      </w:r>
      <w:r>
        <w:rPr>
          <w:rFonts w:ascii="Calibri" w:hAnsi="Calibri"/>
          <w:b w:val="0"/>
          <w:i w:val="0"/>
          <w:color w:val="1A1A2E"/>
          <w:sz w:val="18"/>
        </w:rPr>
        <w:t>Qualsiasi commento sulla sua posizione, sul fatto che "è solo un agente", o paragoni con detective più giovani.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癖  </w:t>
      </w:r>
      <w:r>
        <w:rPr>
          <w:rFonts w:ascii="Calibri" w:hAnsi="Calibri"/>
          <w:b/>
          <w:i w:val="0"/>
          <w:color w:val="1A1A2E"/>
          <w:sz w:val="20"/>
        </w:rPr>
        <w:t>TRATTI PERSONALI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Vizio:  </w:t>
      </w:r>
      <w:r>
        <w:rPr>
          <w:rFonts w:ascii="Calibri" w:hAnsi="Calibri"/>
          <w:b w:val="0"/>
          <w:i w:val="0"/>
          <w:color w:val="1A1A2E"/>
          <w:sz w:val="18"/>
        </w:rPr>
        <w:t>Onigiri al tonno dal konbini. Ne mangia almeno due al giorno.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Tic:  </w:t>
      </w:r>
      <w:r>
        <w:rPr>
          <w:rFonts w:ascii="Calibri" w:hAnsi="Calibri"/>
          <w:b w:val="0"/>
          <w:i w:val="0"/>
          <w:color w:val="1A1A2E"/>
          <w:sz w:val="18"/>
        </w:rPr>
        <w:t>Si tocca il taccuino nella tasca interna quando è nervoso.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Oggetto personale:  </w:t>
      </w:r>
      <w:r>
        <w:rPr>
          <w:rFonts w:ascii="Calibri" w:hAnsi="Calibri"/>
          <w:b w:val="0"/>
          <w:i w:val="0"/>
          <w:color w:val="1A1A2E"/>
          <w:sz w:val="18"/>
        </w:rPr>
        <w:t>Il taccuino a spirale. Ne ha riempiti una ventina in dieci anni.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Gusto:  </w:t>
      </w:r>
      <w:r>
        <w:rPr>
          <w:rFonts w:ascii="Calibri" w:hAnsi="Calibri"/>
          <w:b w:val="0"/>
          <w:i w:val="0"/>
          <w:color w:val="1A1A2E"/>
          <w:sz w:val="18"/>
        </w:rPr>
        <w:t>Ramen miso con extra chashu dalla bancarella di fronte alla centrale.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Rituale:  </w:t>
      </w:r>
      <w:r>
        <w:rPr>
          <w:rFonts w:ascii="Calibri" w:hAnsi="Calibri"/>
          <w:b w:val="0"/>
          <w:i w:val="0"/>
          <w:color w:val="1A1A2E"/>
          <w:sz w:val="18"/>
        </w:rPr>
        <w:t>Ogni mattina controlla l'auto di servizio — olio, pneumatici, carburante.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絆  </w:t>
      </w:r>
      <w:r>
        <w:rPr>
          <w:rFonts w:ascii="Calibri" w:hAnsi="Calibri"/>
          <w:b/>
          <w:i w:val="0"/>
          <w:color w:val="1A1A2E"/>
          <w:sz w:val="20"/>
        </w:rPr>
        <w:t>RAPPORTI NEL DISTRETTO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I PG:  </w:t>
      </w:r>
      <w:r>
        <w:rPr>
          <w:rFonts w:ascii="Calibri" w:hAnsi="Calibri"/>
          <w:b w:val="0"/>
          <w:i/>
          <w:color w:val="1A1A2E"/>
          <w:sz w:val="18"/>
        </w:rPr>
        <w:t>“Li supporta come superiori. Li rispetta. "A disposizione, signore."”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Commissario Taniguchi:  </w:t>
      </w:r>
      <w:r>
        <w:rPr>
          <w:rFonts w:ascii="Calibri" w:hAnsi="Calibri"/>
          <w:b w:val="0"/>
          <w:i/>
          <w:color w:val="1A1A2E"/>
          <w:sz w:val="18"/>
        </w:rPr>
        <w:t>“Lo rispetta profondamente. Taniguchi sa dell'esame e non ne parla.”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Ito Daisuke:  </w:t>
      </w:r>
      <w:r>
        <w:rPr>
          <w:rFonts w:ascii="Calibri" w:hAnsi="Calibri"/>
          <w:b w:val="0"/>
          <w:i/>
          <w:color w:val="1A1A2E"/>
          <w:sz w:val="18"/>
        </w:rPr>
        <w:t>“Lo conosce dalla centrale. "Ito-san è il migliore nel suo campo."”</w:t>
      </w:r>
    </w:p>
    <w:p>
      <w:pPr>
        <w:spacing w:after="120" w:before="120"/>
        <w:jc w:val="center"/>
      </w:pPr>
      <w:r>
        <w:rPr>
          <w:rFonts w:ascii="Calibri" w:hAnsi="Calibri"/>
          <w:b w:val="0"/>
          <w:i w:val="0"/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Calibri" w:hAnsi="Calibri"/>
          <w:b w:val="0"/>
          <w:i w:val="0"/>
          <w:color w:val="787878"/>
          <w:sz w:val="14"/>
        </w:rPr>
        <w:t>GENKAI 限界 v1.2  ·  PNG RICORRENTE</w:t>
      </w:r>
    </w:p>
    <w:sectPr w:rsidR="00FC693F" w:rsidRPr="0006063C" w:rsidSect="00034616">
      <w:pgSz w:w="11906" w:h="16838"/>
      <w:pgMar w:top="170" w:right="170" w:bottom="170" w:left="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