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9E" w:rsidRPr="00203F8A" w:rsidRDefault="00D77819" w:rsidP="00DF199E">
      <w:pPr>
        <w:jc w:val="center"/>
        <w:rPr>
          <w:sz w:val="24"/>
        </w:rPr>
      </w:pPr>
      <w:r>
        <w:rPr>
          <w:rFonts w:hint="eastAsia"/>
          <w:b/>
          <w:bCs/>
          <w:sz w:val="28"/>
        </w:rPr>
        <w:t>MF 803 Homework 5</w:t>
      </w:r>
      <w:r w:rsidR="00DF199E" w:rsidRPr="00203F8A">
        <w:rPr>
          <w:sz w:val="28"/>
        </w:rPr>
        <w:br/>
      </w:r>
      <w:r w:rsidR="00DF199E">
        <w:rPr>
          <w:sz w:val="24"/>
        </w:rPr>
        <w:t xml:space="preserve">Due: Wednesday, </w:t>
      </w:r>
      <w:r w:rsidR="00DF199E">
        <w:rPr>
          <w:rFonts w:hint="eastAsia"/>
          <w:sz w:val="24"/>
        </w:rPr>
        <w:t>October</w:t>
      </w:r>
      <w:r w:rsidR="00DF199E">
        <w:rPr>
          <w:sz w:val="24"/>
        </w:rPr>
        <w:t xml:space="preserve"> </w:t>
      </w:r>
      <w:r w:rsidR="00DF199E">
        <w:rPr>
          <w:rFonts w:hint="eastAsia"/>
          <w:sz w:val="24"/>
        </w:rPr>
        <w:t>30th</w:t>
      </w:r>
      <w:r w:rsidR="00DF199E" w:rsidRPr="00203F8A">
        <w:rPr>
          <w:sz w:val="24"/>
        </w:rPr>
        <w:t>, by 6:30pm</w:t>
      </w:r>
    </w:p>
    <w:p w:rsidR="00DF199E" w:rsidRPr="00A31CF4" w:rsidRDefault="00DF199E" w:rsidP="00DF199E">
      <w:pPr>
        <w:jc w:val="left"/>
        <w:rPr>
          <w:b/>
          <w:sz w:val="22"/>
        </w:rPr>
      </w:pPr>
      <w:proofErr w:type="spellStart"/>
      <w:r w:rsidRPr="00A31CF4">
        <w:rPr>
          <w:rFonts w:hint="eastAsia"/>
          <w:b/>
          <w:sz w:val="22"/>
        </w:rPr>
        <w:t>Xinyu</w:t>
      </w:r>
      <w:proofErr w:type="spellEnd"/>
      <w:r w:rsidRPr="00A31CF4">
        <w:rPr>
          <w:rFonts w:hint="eastAsia"/>
          <w:b/>
          <w:sz w:val="22"/>
        </w:rPr>
        <w:t xml:space="preserve"> </w:t>
      </w:r>
      <w:proofErr w:type="spellStart"/>
      <w:r w:rsidRPr="00A31CF4">
        <w:rPr>
          <w:rFonts w:hint="eastAsia"/>
          <w:b/>
          <w:sz w:val="22"/>
        </w:rPr>
        <w:t>Guo</w:t>
      </w:r>
      <w:proofErr w:type="spellEnd"/>
    </w:p>
    <w:p w:rsidR="00DF199E" w:rsidRPr="00A31CF4" w:rsidRDefault="00D77819" w:rsidP="00DF199E">
      <w:pPr>
        <w:jc w:val="left"/>
        <w:rPr>
          <w:b/>
          <w:sz w:val="22"/>
        </w:rPr>
      </w:pPr>
      <w:hyperlink r:id="rId6" w:history="1">
        <w:r w:rsidR="00DF199E" w:rsidRPr="00A31CF4">
          <w:rPr>
            <w:rFonts w:hint="eastAsia"/>
            <w:b/>
            <w:sz w:val="22"/>
          </w:rPr>
          <w:t>xyguo@bu.edu</w:t>
        </w:r>
      </w:hyperlink>
    </w:p>
    <w:p w:rsidR="00DF199E" w:rsidRDefault="00DF199E" w:rsidP="00DF199E">
      <w:pPr>
        <w:jc w:val="left"/>
        <w:rPr>
          <w:b/>
          <w:sz w:val="22"/>
        </w:rPr>
      </w:pPr>
      <w:r w:rsidRPr="00A31CF4">
        <w:rPr>
          <w:rFonts w:hint="eastAsia"/>
          <w:b/>
          <w:sz w:val="22"/>
        </w:rPr>
        <w:t>U03375769</w:t>
      </w:r>
    </w:p>
    <w:p w:rsidR="00DF199E" w:rsidRPr="00FA7604" w:rsidRDefault="00DF199E" w:rsidP="00DF199E">
      <w:pPr>
        <w:jc w:val="left"/>
        <w:rPr>
          <w:b/>
          <w:bCs/>
          <w:sz w:val="32"/>
        </w:rPr>
      </w:pPr>
      <w:r w:rsidRPr="00FA7604">
        <w:rPr>
          <w:rFonts w:hint="eastAsia"/>
          <w:b/>
          <w:bCs/>
          <w:sz w:val="32"/>
        </w:rPr>
        <w:t xml:space="preserve">1. </w:t>
      </w:r>
      <w:r>
        <w:rPr>
          <w:rFonts w:hint="eastAsia"/>
          <w:b/>
          <w:sz w:val="32"/>
        </w:rPr>
        <w:t>Yield Curve</w:t>
      </w:r>
    </w:p>
    <w:p w:rsidR="00DF199E" w:rsidRPr="00910379" w:rsidRDefault="00DF199E" w:rsidP="00DF199E">
      <w:pPr>
        <w:jc w:val="left"/>
        <w:rPr>
          <w:b/>
          <w:sz w:val="24"/>
        </w:rPr>
      </w:pPr>
      <w:r w:rsidRPr="00910379">
        <w:rPr>
          <w:rFonts w:hint="eastAsia"/>
          <w:b/>
          <w:sz w:val="24"/>
        </w:rPr>
        <w:t>(</w:t>
      </w:r>
      <w:proofErr w:type="gramStart"/>
      <w:r w:rsidRPr="00910379">
        <w:rPr>
          <w:rFonts w:hint="eastAsia"/>
          <w:b/>
          <w:sz w:val="24"/>
        </w:rPr>
        <w:t>a</w:t>
      </w:r>
      <w:proofErr w:type="gramEnd"/>
      <w:r w:rsidRPr="00910379">
        <w:rPr>
          <w:rFonts w:hint="eastAsia"/>
          <w:b/>
          <w:sz w:val="24"/>
        </w:rPr>
        <w:t xml:space="preserve">) </w:t>
      </w:r>
      <w:r w:rsidRPr="00910379">
        <w:rPr>
          <w:b/>
          <w:sz w:val="24"/>
        </w:rPr>
        <w:t>–</w:t>
      </w:r>
      <w:r w:rsidRPr="00910379">
        <w:rPr>
          <w:rFonts w:hint="eastAsia"/>
          <w:b/>
          <w:sz w:val="24"/>
        </w:rPr>
        <w:t xml:space="preserve"> (c) Forward Rate</w:t>
      </w:r>
      <w:r w:rsidR="00F42773" w:rsidRPr="00910379">
        <w:rPr>
          <w:rFonts w:hint="eastAsia"/>
          <w:b/>
          <w:sz w:val="24"/>
        </w:rPr>
        <w:t>s</w:t>
      </w:r>
      <w:r w:rsidRPr="00910379">
        <w:rPr>
          <w:rFonts w:hint="eastAsia"/>
          <w:b/>
          <w:sz w:val="24"/>
        </w:rPr>
        <w:t xml:space="preserve"> </w:t>
      </w:r>
    </w:p>
    <w:p w:rsidR="00F42773" w:rsidRPr="00F42773" w:rsidRDefault="00DF199E" w:rsidP="00F42773">
      <w:pPr>
        <w:pStyle w:val="a3"/>
        <w:spacing w:beforeLines="50" w:before="156" w:afterLines="50" w:after="156"/>
        <w:ind w:left="357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The </w:t>
      </w:r>
      <w:r w:rsidR="00F42773">
        <w:rPr>
          <w:rFonts w:hint="eastAsia"/>
          <w:sz w:val="24"/>
        </w:rPr>
        <w:t xml:space="preserve">calculated </w:t>
      </w:r>
      <w:r>
        <w:rPr>
          <w:rFonts w:hint="eastAsia"/>
          <w:sz w:val="24"/>
        </w:rPr>
        <w:t xml:space="preserve">forward rates for the entire </w:t>
      </w:r>
      <w:r w:rsidR="00F42773">
        <w:rPr>
          <w:rFonts w:hint="eastAsia"/>
          <w:sz w:val="24"/>
        </w:rPr>
        <w:t>curve are:</w:t>
      </w:r>
    </w:p>
    <w:tbl>
      <w:tblPr>
        <w:tblStyle w:val="a5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1096"/>
        <w:gridCol w:w="2135"/>
      </w:tblGrid>
      <w:tr w:rsidR="00F42773" w:rsidRPr="00F42773" w:rsidTr="00133C8E">
        <w:trPr>
          <w:jc w:val="center"/>
        </w:trPr>
        <w:tc>
          <w:tcPr>
            <w:tcW w:w="1096" w:type="dxa"/>
            <w:vAlign w:val="center"/>
          </w:tcPr>
          <w:p w:rsidR="00F42773" w:rsidRPr="00F42773" w:rsidRDefault="00F42773" w:rsidP="00F42773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 w:rsidRPr="00F42773">
              <w:rPr>
                <w:rFonts w:hint="eastAsia"/>
                <w:b/>
                <w:sz w:val="24"/>
              </w:rPr>
              <w:t>Maturity</w:t>
            </w:r>
          </w:p>
        </w:tc>
        <w:tc>
          <w:tcPr>
            <w:tcW w:w="2135" w:type="dxa"/>
            <w:vAlign w:val="center"/>
          </w:tcPr>
          <w:p w:rsidR="00F42773" w:rsidRPr="00F42773" w:rsidRDefault="00F42773" w:rsidP="00F42773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 w:rsidRPr="00F42773">
              <w:rPr>
                <w:rFonts w:hint="eastAsia"/>
                <w:b/>
                <w:sz w:val="24"/>
              </w:rPr>
              <w:t xml:space="preserve">Forward </w:t>
            </w:r>
            <w:proofErr w:type="gramStart"/>
            <w:r w:rsidRPr="00F42773">
              <w:rPr>
                <w:rFonts w:hint="eastAsia"/>
                <w:b/>
                <w:sz w:val="24"/>
              </w:rPr>
              <w:t>Rates</w:t>
            </w:r>
            <w:r w:rsidR="00133C8E">
              <w:rPr>
                <w:rFonts w:hint="eastAsia"/>
                <w:b/>
                <w:sz w:val="24"/>
              </w:rPr>
              <w:t>(</w:t>
            </w:r>
            <w:proofErr w:type="gramEnd"/>
            <w:r w:rsidR="00133C8E">
              <w:rPr>
                <w:rFonts w:hint="eastAsia"/>
                <w:b/>
                <w:sz w:val="24"/>
              </w:rPr>
              <w:t>%)</w:t>
            </w:r>
          </w:p>
        </w:tc>
      </w:tr>
      <w:tr w:rsidR="00F42773" w:rsidRPr="00F42773" w:rsidTr="00133C8E">
        <w:trPr>
          <w:jc w:val="center"/>
        </w:trPr>
        <w:tc>
          <w:tcPr>
            <w:tcW w:w="1096" w:type="dxa"/>
            <w:vAlign w:val="center"/>
          </w:tcPr>
          <w:p w:rsidR="00F42773" w:rsidRPr="00F42773" w:rsidRDefault="00F42773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1</w:t>
            </w:r>
          </w:p>
        </w:tc>
        <w:tc>
          <w:tcPr>
            <w:tcW w:w="2135" w:type="dxa"/>
            <w:vAlign w:val="center"/>
          </w:tcPr>
          <w:p w:rsidR="00F42773" w:rsidRPr="00F42773" w:rsidRDefault="00133C8E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133C8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 w:rsidRPr="00133C8E">
              <w:rPr>
                <w:sz w:val="24"/>
              </w:rPr>
              <w:t>82377</w:t>
            </w:r>
          </w:p>
        </w:tc>
      </w:tr>
      <w:tr w:rsidR="00F42773" w:rsidRPr="00F42773" w:rsidTr="00133C8E">
        <w:trPr>
          <w:jc w:val="center"/>
        </w:trPr>
        <w:tc>
          <w:tcPr>
            <w:tcW w:w="1096" w:type="dxa"/>
            <w:vAlign w:val="center"/>
          </w:tcPr>
          <w:p w:rsidR="00F42773" w:rsidRPr="00F42773" w:rsidRDefault="00F42773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2</w:t>
            </w:r>
          </w:p>
        </w:tc>
        <w:tc>
          <w:tcPr>
            <w:tcW w:w="2135" w:type="dxa"/>
            <w:vAlign w:val="center"/>
          </w:tcPr>
          <w:p w:rsidR="00F42773" w:rsidRPr="00F42773" w:rsidRDefault="00133C8E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2564</w:t>
            </w:r>
            <w:r>
              <w:rPr>
                <w:rFonts w:hint="eastAsia"/>
                <w:sz w:val="24"/>
              </w:rPr>
              <w:t>6</w:t>
            </w:r>
          </w:p>
        </w:tc>
      </w:tr>
      <w:tr w:rsidR="00F42773" w:rsidRPr="00F42773" w:rsidTr="00133C8E">
        <w:trPr>
          <w:jc w:val="center"/>
        </w:trPr>
        <w:tc>
          <w:tcPr>
            <w:tcW w:w="1096" w:type="dxa"/>
            <w:vAlign w:val="center"/>
          </w:tcPr>
          <w:p w:rsidR="00F42773" w:rsidRPr="00F42773" w:rsidRDefault="00F42773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3</w:t>
            </w:r>
          </w:p>
        </w:tc>
        <w:tc>
          <w:tcPr>
            <w:tcW w:w="2135" w:type="dxa"/>
            <w:vAlign w:val="center"/>
          </w:tcPr>
          <w:p w:rsidR="00F42773" w:rsidRPr="00F42773" w:rsidRDefault="00133C8E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133C8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 w:rsidRPr="00133C8E">
              <w:rPr>
                <w:sz w:val="24"/>
              </w:rPr>
              <w:t>23817</w:t>
            </w:r>
          </w:p>
        </w:tc>
      </w:tr>
      <w:tr w:rsidR="00F42773" w:rsidRPr="00F42773" w:rsidTr="00133C8E">
        <w:trPr>
          <w:jc w:val="center"/>
        </w:trPr>
        <w:tc>
          <w:tcPr>
            <w:tcW w:w="1096" w:type="dxa"/>
            <w:vAlign w:val="center"/>
          </w:tcPr>
          <w:p w:rsidR="00F42773" w:rsidRPr="00F42773" w:rsidRDefault="00F42773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4</w:t>
            </w:r>
          </w:p>
        </w:tc>
        <w:tc>
          <w:tcPr>
            <w:tcW w:w="2135" w:type="dxa"/>
            <w:vAlign w:val="center"/>
          </w:tcPr>
          <w:p w:rsidR="00F42773" w:rsidRPr="00F42773" w:rsidRDefault="00133C8E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1762</w:t>
            </w:r>
            <w:r>
              <w:rPr>
                <w:rFonts w:hint="eastAsia"/>
                <w:sz w:val="24"/>
              </w:rPr>
              <w:t>4</w:t>
            </w:r>
          </w:p>
        </w:tc>
      </w:tr>
      <w:tr w:rsidR="00F42773" w:rsidRPr="00F42773" w:rsidTr="00133C8E">
        <w:trPr>
          <w:jc w:val="center"/>
        </w:trPr>
        <w:tc>
          <w:tcPr>
            <w:tcW w:w="1096" w:type="dxa"/>
            <w:vAlign w:val="center"/>
          </w:tcPr>
          <w:p w:rsidR="00F42773" w:rsidRPr="00F42773" w:rsidRDefault="00F42773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5</w:t>
            </w:r>
          </w:p>
        </w:tc>
        <w:tc>
          <w:tcPr>
            <w:tcW w:w="2135" w:type="dxa"/>
            <w:vAlign w:val="center"/>
          </w:tcPr>
          <w:p w:rsidR="00F42773" w:rsidRPr="00F42773" w:rsidRDefault="00133C8E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133C8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 w:rsidRPr="00133C8E">
              <w:rPr>
                <w:sz w:val="24"/>
              </w:rPr>
              <w:t>15105</w:t>
            </w:r>
          </w:p>
        </w:tc>
      </w:tr>
      <w:tr w:rsidR="00F42773" w:rsidRPr="00F42773" w:rsidTr="00133C8E">
        <w:trPr>
          <w:jc w:val="center"/>
        </w:trPr>
        <w:tc>
          <w:tcPr>
            <w:tcW w:w="1096" w:type="dxa"/>
            <w:vAlign w:val="center"/>
          </w:tcPr>
          <w:p w:rsidR="00F42773" w:rsidRPr="00F42773" w:rsidRDefault="00F42773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7</w:t>
            </w:r>
          </w:p>
        </w:tc>
        <w:tc>
          <w:tcPr>
            <w:tcW w:w="2135" w:type="dxa"/>
            <w:vAlign w:val="center"/>
          </w:tcPr>
          <w:p w:rsidR="00F42773" w:rsidRPr="00F42773" w:rsidRDefault="00133C8E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133C8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 w:rsidRPr="00133C8E">
              <w:rPr>
                <w:sz w:val="24"/>
              </w:rPr>
              <w:t>19647</w:t>
            </w:r>
          </w:p>
        </w:tc>
      </w:tr>
      <w:tr w:rsidR="00F42773" w:rsidRPr="00F42773" w:rsidTr="007600F4">
        <w:trPr>
          <w:trHeight w:val="45"/>
          <w:jc w:val="center"/>
        </w:trPr>
        <w:tc>
          <w:tcPr>
            <w:tcW w:w="1096" w:type="dxa"/>
            <w:vAlign w:val="center"/>
          </w:tcPr>
          <w:p w:rsidR="00F42773" w:rsidRPr="00F42773" w:rsidRDefault="00F42773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10</w:t>
            </w:r>
          </w:p>
        </w:tc>
        <w:tc>
          <w:tcPr>
            <w:tcW w:w="2135" w:type="dxa"/>
            <w:vAlign w:val="center"/>
          </w:tcPr>
          <w:p w:rsidR="00F42773" w:rsidRPr="00F42773" w:rsidRDefault="00133C8E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133C8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 w:rsidRPr="00133C8E">
              <w:rPr>
                <w:sz w:val="24"/>
              </w:rPr>
              <w:t>29530</w:t>
            </w:r>
          </w:p>
        </w:tc>
      </w:tr>
      <w:tr w:rsidR="00F42773" w:rsidRPr="00F42773" w:rsidTr="007600F4">
        <w:trPr>
          <w:trHeight w:val="45"/>
          <w:jc w:val="center"/>
        </w:trPr>
        <w:tc>
          <w:tcPr>
            <w:tcW w:w="1096" w:type="dxa"/>
            <w:vAlign w:val="center"/>
          </w:tcPr>
          <w:p w:rsidR="00F42773" w:rsidRPr="00F42773" w:rsidRDefault="00F42773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30</w:t>
            </w:r>
          </w:p>
        </w:tc>
        <w:tc>
          <w:tcPr>
            <w:tcW w:w="2135" w:type="dxa"/>
            <w:vAlign w:val="center"/>
          </w:tcPr>
          <w:p w:rsidR="00F42773" w:rsidRPr="00F42773" w:rsidRDefault="00133C8E" w:rsidP="00F42773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2323</w:t>
            </w:r>
            <w:r>
              <w:rPr>
                <w:rFonts w:hint="eastAsia"/>
                <w:sz w:val="24"/>
              </w:rPr>
              <w:t>9</w:t>
            </w:r>
          </w:p>
        </w:tc>
      </w:tr>
    </w:tbl>
    <w:p w:rsidR="00DF199E" w:rsidRPr="00A80D28" w:rsidRDefault="00133C8E" w:rsidP="00DF199E">
      <w:pPr>
        <w:pStyle w:val="a3"/>
        <w:spacing w:beforeLines="50" w:before="156"/>
        <w:ind w:left="357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31D52F12" wp14:editId="4AE591BB">
            <wp:extent cx="5274310" cy="25986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73" w:rsidRDefault="00F42773" w:rsidP="00F42773">
      <w:pPr>
        <w:pStyle w:val="a3"/>
        <w:ind w:left="359" w:firstLineChars="0" w:firstLine="0"/>
        <w:jc w:val="left"/>
        <w:rPr>
          <w:sz w:val="24"/>
        </w:rPr>
      </w:pPr>
      <w:r w:rsidRPr="00D63D1C">
        <w:rPr>
          <w:rFonts w:hint="eastAsia"/>
          <w:sz w:val="24"/>
        </w:rPr>
        <w:t>From the plot</w:t>
      </w:r>
      <w:r w:rsidR="00D63D1C">
        <w:rPr>
          <w:rFonts w:hint="eastAsia"/>
          <w:sz w:val="24"/>
        </w:rPr>
        <w:t>, we could see that the forward rate</w:t>
      </w:r>
      <w:r w:rsidR="00910379">
        <w:rPr>
          <w:rFonts w:hint="eastAsia"/>
          <w:sz w:val="24"/>
        </w:rPr>
        <w:t>s are</w:t>
      </w:r>
      <w:r w:rsidR="00D63D1C">
        <w:rPr>
          <w:rFonts w:hint="eastAsia"/>
          <w:sz w:val="24"/>
        </w:rPr>
        <w:t xml:space="preserve"> </w:t>
      </w:r>
      <w:r w:rsidR="00133C8E">
        <w:rPr>
          <w:rFonts w:hint="eastAsia"/>
          <w:sz w:val="24"/>
        </w:rPr>
        <w:t xml:space="preserve">mostly </w:t>
      </w:r>
      <w:r w:rsidR="00910379">
        <w:rPr>
          <w:rFonts w:hint="eastAsia"/>
          <w:sz w:val="24"/>
        </w:rPr>
        <w:t>higher than the swap rates. The premium between forward rates and swap rates is generally due to the market</w:t>
      </w:r>
      <w:r w:rsidR="00910379">
        <w:rPr>
          <w:sz w:val="24"/>
        </w:rPr>
        <w:t>’</w:t>
      </w:r>
      <w:r w:rsidR="00910379">
        <w:rPr>
          <w:rFonts w:hint="eastAsia"/>
          <w:sz w:val="24"/>
        </w:rPr>
        <w:t xml:space="preserve">s expectation of risk of rising interest rate in the future. </w:t>
      </w:r>
    </w:p>
    <w:p w:rsidR="00910379" w:rsidRDefault="00743DC0" w:rsidP="00910379">
      <w:pPr>
        <w:spacing w:beforeLines="50" w:before="156"/>
        <w:jc w:val="left"/>
        <w:rPr>
          <w:b/>
          <w:sz w:val="24"/>
        </w:rPr>
      </w:pPr>
      <w:r>
        <w:rPr>
          <w:rFonts w:hint="eastAsia"/>
          <w:b/>
          <w:sz w:val="24"/>
        </w:rPr>
        <w:t>(d</w:t>
      </w:r>
      <w:r w:rsidR="00910379" w:rsidRPr="00910379">
        <w:rPr>
          <w:rFonts w:hint="eastAsia"/>
          <w:b/>
          <w:sz w:val="24"/>
        </w:rPr>
        <w:t xml:space="preserve">) </w:t>
      </w:r>
      <w:r w:rsidR="00910379">
        <w:rPr>
          <w:rFonts w:hint="eastAsia"/>
          <w:b/>
          <w:sz w:val="24"/>
        </w:rPr>
        <w:t>B</w:t>
      </w:r>
      <w:r w:rsidR="00910379" w:rsidRPr="00910379">
        <w:rPr>
          <w:b/>
          <w:sz w:val="24"/>
        </w:rPr>
        <w:t>reakeven swap rate of a 15Y swap</w:t>
      </w:r>
    </w:p>
    <w:p w:rsidR="00DF199E" w:rsidRDefault="00743DC0" w:rsidP="00743DC0">
      <w:pPr>
        <w:spacing w:beforeLines="50" w:before="156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>B</w:t>
      </w:r>
      <w:r w:rsidRPr="00743DC0">
        <w:rPr>
          <w:sz w:val="24"/>
        </w:rPr>
        <w:t>reakeven</w:t>
      </w:r>
      <w:r>
        <w:rPr>
          <w:sz w:val="24"/>
        </w:rPr>
        <w:t xml:space="preserve"> swap rate of a 15Y swap is: </w:t>
      </w:r>
      <w:r w:rsidRPr="00743DC0">
        <w:rPr>
          <w:sz w:val="24"/>
        </w:rPr>
        <w:t>3</w:t>
      </w:r>
      <w:r>
        <w:rPr>
          <w:rFonts w:hint="eastAsia"/>
          <w:sz w:val="24"/>
        </w:rPr>
        <w:t>.</w:t>
      </w:r>
      <w:r>
        <w:rPr>
          <w:sz w:val="24"/>
        </w:rPr>
        <w:t>223</w:t>
      </w:r>
      <w:r>
        <w:rPr>
          <w:rFonts w:hint="eastAsia"/>
          <w:sz w:val="24"/>
        </w:rPr>
        <w:t>7%</w:t>
      </w:r>
    </w:p>
    <w:p w:rsidR="00743DC0" w:rsidRPr="00743DC0" w:rsidRDefault="00743DC0" w:rsidP="00743DC0">
      <w:pPr>
        <w:spacing w:beforeLines="50" w:before="156"/>
        <w:jc w:val="left"/>
        <w:rPr>
          <w:b/>
          <w:sz w:val="24"/>
        </w:rPr>
      </w:pPr>
      <w:r w:rsidRPr="00743DC0">
        <w:rPr>
          <w:rFonts w:hint="eastAsia"/>
          <w:b/>
          <w:sz w:val="24"/>
        </w:rPr>
        <w:t>(e) Zero Rates and discount factors</w:t>
      </w:r>
      <w:r w:rsidRPr="00743DC0">
        <w:rPr>
          <w:b/>
          <w:sz w:val="24"/>
        </w:rPr>
        <w:t xml:space="preserve"> </w:t>
      </w:r>
    </w:p>
    <w:p w:rsidR="00743DC0" w:rsidRDefault="00743DC0" w:rsidP="00743DC0">
      <w:pPr>
        <w:spacing w:beforeLines="50" w:before="156"/>
        <w:jc w:val="left"/>
        <w:rPr>
          <w:sz w:val="24"/>
        </w:rPr>
      </w:pPr>
    </w:p>
    <w:tbl>
      <w:tblPr>
        <w:tblStyle w:val="a5"/>
        <w:tblW w:w="0" w:type="auto"/>
        <w:tblInd w:w="1384" w:type="dxa"/>
        <w:tblLook w:val="04A0" w:firstRow="1" w:lastRow="0" w:firstColumn="1" w:lastColumn="0" w:noHBand="0" w:noVBand="1"/>
      </w:tblPr>
      <w:tblGrid>
        <w:gridCol w:w="1134"/>
        <w:gridCol w:w="2126"/>
        <w:gridCol w:w="1747"/>
      </w:tblGrid>
      <w:tr w:rsidR="00743DC0" w:rsidRPr="00743DC0" w:rsidTr="00743DC0">
        <w:tc>
          <w:tcPr>
            <w:tcW w:w="1134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Discount Factor</w:t>
            </w:r>
          </w:p>
        </w:tc>
        <w:tc>
          <w:tcPr>
            <w:tcW w:w="1747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Zero</w:t>
            </w:r>
            <w:r>
              <w:rPr>
                <w:rFonts w:hint="eastAsia"/>
                <w:sz w:val="24"/>
              </w:rPr>
              <w:t xml:space="preserve"> </w:t>
            </w:r>
            <w:r w:rsidRPr="00743DC0">
              <w:rPr>
                <w:sz w:val="24"/>
              </w:rPr>
              <w:t>Rates</w:t>
            </w:r>
          </w:p>
        </w:tc>
      </w:tr>
      <w:tr w:rsidR="00743DC0" w:rsidRPr="00743DC0" w:rsidTr="00743DC0">
        <w:tc>
          <w:tcPr>
            <w:tcW w:w="1134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0.5</w:t>
            </w:r>
          </w:p>
        </w:tc>
        <w:tc>
          <w:tcPr>
            <w:tcW w:w="2126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0.985980</w:t>
            </w:r>
          </w:p>
        </w:tc>
        <w:tc>
          <w:tcPr>
            <w:tcW w:w="1747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0.028438</w:t>
            </w:r>
          </w:p>
        </w:tc>
      </w:tr>
      <w:tr w:rsidR="00743DC0" w:rsidRPr="00743DC0" w:rsidTr="00743DC0">
        <w:tc>
          <w:tcPr>
            <w:tcW w:w="1134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1.0</w:t>
            </w:r>
          </w:p>
        </w:tc>
        <w:tc>
          <w:tcPr>
            <w:tcW w:w="2126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0.972157</w:t>
            </w:r>
          </w:p>
        </w:tc>
        <w:tc>
          <w:tcPr>
            <w:tcW w:w="1747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0.028438</w:t>
            </w:r>
          </w:p>
        </w:tc>
      </w:tr>
      <w:tr w:rsidR="00743DC0" w:rsidRPr="00743DC0" w:rsidTr="00743DC0">
        <w:tc>
          <w:tcPr>
            <w:tcW w:w="1134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1.5</w:t>
            </w:r>
          </w:p>
        </w:tc>
        <w:tc>
          <w:tcPr>
            <w:tcW w:w="2126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0.956456</w:t>
            </w:r>
          </w:p>
        </w:tc>
        <w:tc>
          <w:tcPr>
            <w:tcW w:w="1747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0.029901</w:t>
            </w:r>
          </w:p>
        </w:tc>
      </w:tr>
      <w:tr w:rsidR="00743DC0" w:rsidRPr="00743DC0" w:rsidTr="00743DC0">
        <w:tc>
          <w:tcPr>
            <w:tcW w:w="1134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2.0</w:t>
            </w:r>
          </w:p>
        </w:tc>
        <w:tc>
          <w:tcPr>
            <w:tcW w:w="2126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0.941009</w:t>
            </w:r>
          </w:p>
        </w:tc>
        <w:tc>
          <w:tcPr>
            <w:tcW w:w="1747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0.030633</w:t>
            </w:r>
          </w:p>
        </w:tc>
      </w:tr>
      <w:tr w:rsidR="00743DC0" w:rsidRPr="00743DC0" w:rsidTr="00743DC0">
        <w:tc>
          <w:tcPr>
            <w:tcW w:w="1134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2.5</w:t>
            </w:r>
          </w:p>
        </w:tc>
        <w:tc>
          <w:tcPr>
            <w:tcW w:w="2126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0.925896</w:t>
            </w:r>
          </w:p>
        </w:tc>
        <w:tc>
          <w:tcPr>
            <w:tcW w:w="1747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0.031036</w:t>
            </w:r>
          </w:p>
        </w:tc>
      </w:tr>
      <w:tr w:rsidR="00743DC0" w:rsidRPr="00743DC0" w:rsidTr="00743DC0">
        <w:tc>
          <w:tcPr>
            <w:tcW w:w="1134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…</w:t>
            </w:r>
          </w:p>
        </w:tc>
        <w:tc>
          <w:tcPr>
            <w:tcW w:w="2126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…</w:t>
            </w:r>
          </w:p>
        </w:tc>
        <w:tc>
          <w:tcPr>
            <w:tcW w:w="1747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…</w:t>
            </w:r>
          </w:p>
        </w:tc>
      </w:tr>
      <w:tr w:rsidR="00743DC0" w:rsidRPr="00743DC0" w:rsidTr="00743DC0">
        <w:tc>
          <w:tcPr>
            <w:tcW w:w="1134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28.0</w:t>
            </w:r>
          </w:p>
        </w:tc>
        <w:tc>
          <w:tcPr>
            <w:tcW w:w="2126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0.406133</w:t>
            </w:r>
          </w:p>
        </w:tc>
        <w:tc>
          <w:tcPr>
            <w:tcW w:w="1747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0.032442</w:t>
            </w:r>
          </w:p>
        </w:tc>
      </w:tr>
      <w:tr w:rsidR="00743DC0" w:rsidRPr="00743DC0" w:rsidTr="00743DC0">
        <w:tc>
          <w:tcPr>
            <w:tcW w:w="1134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28.5</w:t>
            </w:r>
          </w:p>
        </w:tc>
        <w:tc>
          <w:tcPr>
            <w:tcW w:w="2126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0.399622</w:t>
            </w:r>
          </w:p>
        </w:tc>
        <w:tc>
          <w:tcPr>
            <w:tcW w:w="1747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0.032444</w:t>
            </w:r>
          </w:p>
        </w:tc>
      </w:tr>
      <w:tr w:rsidR="00743DC0" w:rsidRPr="00743DC0" w:rsidTr="00743DC0">
        <w:tc>
          <w:tcPr>
            <w:tcW w:w="1134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29.0</w:t>
            </w:r>
          </w:p>
        </w:tc>
        <w:tc>
          <w:tcPr>
            <w:tcW w:w="2126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0.393215</w:t>
            </w:r>
          </w:p>
        </w:tc>
        <w:tc>
          <w:tcPr>
            <w:tcW w:w="1747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0.032447</w:t>
            </w:r>
          </w:p>
        </w:tc>
      </w:tr>
      <w:tr w:rsidR="00743DC0" w:rsidRPr="00743DC0" w:rsidTr="00743DC0">
        <w:tc>
          <w:tcPr>
            <w:tcW w:w="1134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29.5</w:t>
            </w:r>
          </w:p>
        </w:tc>
        <w:tc>
          <w:tcPr>
            <w:tcW w:w="2126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0.386911</w:t>
            </w:r>
          </w:p>
        </w:tc>
        <w:tc>
          <w:tcPr>
            <w:tcW w:w="1747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0.032449</w:t>
            </w:r>
          </w:p>
        </w:tc>
      </w:tr>
      <w:tr w:rsidR="00743DC0" w:rsidRPr="00743DC0" w:rsidTr="00743DC0">
        <w:tc>
          <w:tcPr>
            <w:tcW w:w="1134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30.0</w:t>
            </w:r>
          </w:p>
        </w:tc>
        <w:tc>
          <w:tcPr>
            <w:tcW w:w="2126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0.380708</w:t>
            </w:r>
          </w:p>
        </w:tc>
        <w:tc>
          <w:tcPr>
            <w:tcW w:w="1747" w:type="dxa"/>
            <w:vAlign w:val="center"/>
          </w:tcPr>
          <w:p w:rsidR="00743DC0" w:rsidRPr="00743DC0" w:rsidRDefault="00743DC0" w:rsidP="00743DC0">
            <w:pPr>
              <w:jc w:val="center"/>
              <w:rPr>
                <w:sz w:val="24"/>
              </w:rPr>
            </w:pPr>
            <w:r w:rsidRPr="00743DC0">
              <w:rPr>
                <w:sz w:val="24"/>
              </w:rPr>
              <w:t>0.032451</w:t>
            </w:r>
          </w:p>
        </w:tc>
      </w:tr>
    </w:tbl>
    <w:p w:rsidR="005A4F33" w:rsidRDefault="00743DC0" w:rsidP="00743DC0">
      <w:pPr>
        <w:jc w:val="center"/>
      </w:pPr>
      <w:r>
        <w:rPr>
          <w:noProof/>
        </w:rPr>
        <w:drawing>
          <wp:inline distT="0" distB="0" distL="0" distR="0" wp14:anchorId="1FD1ACCA" wp14:editId="79F60265">
            <wp:extent cx="5407863" cy="274649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225" cy="274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C0" w:rsidRPr="007600F4" w:rsidRDefault="00743DC0" w:rsidP="00743DC0">
      <w:pPr>
        <w:rPr>
          <w:sz w:val="24"/>
        </w:rPr>
      </w:pPr>
      <w:r w:rsidRPr="007600F4">
        <w:rPr>
          <w:rFonts w:hint="eastAsia"/>
          <w:sz w:val="24"/>
        </w:rPr>
        <w:t xml:space="preserve">From the plot above, we can see that zero rates are also </w:t>
      </w:r>
      <w:r w:rsidRPr="007600F4">
        <w:rPr>
          <w:sz w:val="24"/>
        </w:rPr>
        <w:t>slightly</w:t>
      </w:r>
      <w:r w:rsidRPr="007600F4">
        <w:rPr>
          <w:rFonts w:hint="eastAsia"/>
          <w:sz w:val="24"/>
        </w:rPr>
        <w:t xml:space="preserve"> higher than swap rates, since zero rates are calculated through the weighted sum of forward rates.</w:t>
      </w:r>
    </w:p>
    <w:p w:rsidR="00743DC0" w:rsidRDefault="00C50C8C" w:rsidP="00743DC0">
      <w:pPr>
        <w:spacing w:beforeLines="50" w:before="156"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(f</w:t>
      </w:r>
      <w:r w:rsidR="00743DC0" w:rsidRPr="00743DC0">
        <w:rPr>
          <w:rFonts w:hint="eastAsia"/>
          <w:b/>
          <w:sz w:val="24"/>
        </w:rPr>
        <w:t xml:space="preserve">) </w:t>
      </w:r>
      <w:r w:rsidR="00743DC0">
        <w:rPr>
          <w:rFonts w:hint="eastAsia"/>
          <w:b/>
          <w:sz w:val="24"/>
        </w:rPr>
        <w:t>Upshift of forward rates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743DC0" w:rsidRPr="00743DC0" w:rsidTr="00743DC0">
        <w:trPr>
          <w:jc w:val="center"/>
        </w:trPr>
        <w:tc>
          <w:tcPr>
            <w:tcW w:w="1704" w:type="dxa"/>
            <w:vAlign w:val="center"/>
          </w:tcPr>
          <w:p w:rsidR="00743DC0" w:rsidRPr="00743DC0" w:rsidRDefault="00743DC0" w:rsidP="00743D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4" w:type="dxa"/>
            <w:vAlign w:val="center"/>
          </w:tcPr>
          <w:p w:rsidR="00743DC0" w:rsidRPr="00743DC0" w:rsidRDefault="00743DC0" w:rsidP="00743DC0">
            <w:pPr>
              <w:jc w:val="center"/>
              <w:rPr>
                <w:b/>
                <w:sz w:val="24"/>
              </w:rPr>
            </w:pPr>
            <w:r w:rsidRPr="00743DC0">
              <w:rPr>
                <w:b/>
                <w:sz w:val="24"/>
              </w:rPr>
              <w:t>Old Swap (%)</w:t>
            </w:r>
          </w:p>
        </w:tc>
        <w:tc>
          <w:tcPr>
            <w:tcW w:w="1704" w:type="dxa"/>
            <w:vAlign w:val="center"/>
          </w:tcPr>
          <w:p w:rsidR="00743DC0" w:rsidRPr="00743DC0" w:rsidRDefault="00743DC0" w:rsidP="00743DC0">
            <w:pPr>
              <w:jc w:val="center"/>
              <w:rPr>
                <w:b/>
                <w:sz w:val="24"/>
              </w:rPr>
            </w:pPr>
            <w:r w:rsidRPr="00743DC0">
              <w:rPr>
                <w:b/>
                <w:sz w:val="24"/>
              </w:rPr>
              <w:t>New Swap (%)</w:t>
            </w:r>
          </w:p>
        </w:tc>
        <w:tc>
          <w:tcPr>
            <w:tcW w:w="1705" w:type="dxa"/>
            <w:vAlign w:val="center"/>
          </w:tcPr>
          <w:p w:rsidR="00743DC0" w:rsidRPr="00743DC0" w:rsidRDefault="00743DC0" w:rsidP="00743DC0">
            <w:pPr>
              <w:jc w:val="center"/>
              <w:rPr>
                <w:b/>
                <w:sz w:val="24"/>
              </w:rPr>
            </w:pPr>
            <w:r w:rsidRPr="00743DC0">
              <w:rPr>
                <w:b/>
                <w:sz w:val="24"/>
              </w:rPr>
              <w:t>difference (</w:t>
            </w:r>
            <w:proofErr w:type="spellStart"/>
            <w:r w:rsidRPr="00743DC0">
              <w:rPr>
                <w:b/>
                <w:sz w:val="24"/>
              </w:rPr>
              <w:t>bp</w:t>
            </w:r>
            <w:proofErr w:type="spellEnd"/>
            <w:r w:rsidRPr="00743DC0">
              <w:rPr>
                <w:b/>
                <w:sz w:val="24"/>
              </w:rPr>
              <w:t>)</w:t>
            </w:r>
          </w:p>
        </w:tc>
      </w:tr>
      <w:tr w:rsidR="00743DC0" w:rsidRPr="00743DC0" w:rsidTr="00743DC0">
        <w:trPr>
          <w:jc w:val="center"/>
        </w:trPr>
        <w:tc>
          <w:tcPr>
            <w:tcW w:w="1704" w:type="dxa"/>
            <w:vAlign w:val="center"/>
          </w:tcPr>
          <w:p w:rsidR="00743DC0" w:rsidRPr="00743DC0" w:rsidRDefault="00743DC0" w:rsidP="00743DC0">
            <w:pPr>
              <w:jc w:val="center"/>
              <w:rPr>
                <w:b/>
                <w:sz w:val="24"/>
              </w:rPr>
            </w:pPr>
            <w:r w:rsidRPr="00743DC0">
              <w:rPr>
                <w:b/>
                <w:sz w:val="24"/>
              </w:rPr>
              <w:t>1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2.8438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3.860559</w:t>
            </w:r>
          </w:p>
        </w:tc>
        <w:tc>
          <w:tcPr>
            <w:tcW w:w="1705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101.675878</w:t>
            </w:r>
          </w:p>
        </w:tc>
      </w:tr>
      <w:tr w:rsidR="00743DC0" w:rsidRPr="00743DC0" w:rsidTr="00743DC0">
        <w:trPr>
          <w:jc w:val="center"/>
        </w:trPr>
        <w:tc>
          <w:tcPr>
            <w:tcW w:w="1704" w:type="dxa"/>
            <w:vAlign w:val="center"/>
          </w:tcPr>
          <w:p w:rsidR="00743DC0" w:rsidRPr="00743DC0" w:rsidRDefault="00743DC0" w:rsidP="00743DC0">
            <w:pPr>
              <w:jc w:val="center"/>
              <w:rPr>
                <w:b/>
                <w:sz w:val="24"/>
              </w:rPr>
            </w:pPr>
            <w:r w:rsidRPr="00743DC0">
              <w:rPr>
                <w:b/>
                <w:sz w:val="24"/>
              </w:rPr>
              <w:t>2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3.0600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4.078946</w:t>
            </w:r>
          </w:p>
        </w:tc>
        <w:tc>
          <w:tcPr>
            <w:tcW w:w="1705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101.894578</w:t>
            </w:r>
          </w:p>
        </w:tc>
      </w:tr>
      <w:tr w:rsidR="00743DC0" w:rsidRPr="00743DC0" w:rsidTr="00743DC0">
        <w:trPr>
          <w:jc w:val="center"/>
        </w:trPr>
        <w:tc>
          <w:tcPr>
            <w:tcW w:w="1704" w:type="dxa"/>
            <w:vAlign w:val="center"/>
          </w:tcPr>
          <w:p w:rsidR="00743DC0" w:rsidRPr="00743DC0" w:rsidRDefault="00743DC0" w:rsidP="00743DC0">
            <w:pPr>
              <w:jc w:val="center"/>
              <w:rPr>
                <w:b/>
                <w:sz w:val="24"/>
              </w:rPr>
            </w:pPr>
            <w:r w:rsidRPr="00743DC0">
              <w:rPr>
                <w:b/>
                <w:sz w:val="24"/>
              </w:rPr>
              <w:t>3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3.1260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4.145596</w:t>
            </w:r>
          </w:p>
        </w:tc>
        <w:tc>
          <w:tcPr>
            <w:tcW w:w="1705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101.959556</w:t>
            </w:r>
          </w:p>
        </w:tc>
      </w:tr>
      <w:tr w:rsidR="00743DC0" w:rsidRPr="00743DC0" w:rsidTr="00743DC0">
        <w:trPr>
          <w:jc w:val="center"/>
        </w:trPr>
        <w:tc>
          <w:tcPr>
            <w:tcW w:w="1704" w:type="dxa"/>
            <w:vAlign w:val="center"/>
          </w:tcPr>
          <w:p w:rsidR="00743DC0" w:rsidRPr="00743DC0" w:rsidRDefault="00743DC0" w:rsidP="00743DC0">
            <w:pPr>
              <w:jc w:val="center"/>
              <w:rPr>
                <w:b/>
                <w:sz w:val="24"/>
              </w:rPr>
            </w:pPr>
            <w:r w:rsidRPr="00743DC0">
              <w:rPr>
                <w:b/>
                <w:sz w:val="24"/>
              </w:rPr>
              <w:t>4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3.1440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4.163621</w:t>
            </w:r>
          </w:p>
        </w:tc>
        <w:tc>
          <w:tcPr>
            <w:tcW w:w="1705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101.962146</w:t>
            </w:r>
          </w:p>
        </w:tc>
      </w:tr>
      <w:tr w:rsidR="00743DC0" w:rsidRPr="00743DC0" w:rsidTr="00743DC0">
        <w:trPr>
          <w:jc w:val="center"/>
        </w:trPr>
        <w:tc>
          <w:tcPr>
            <w:tcW w:w="1704" w:type="dxa"/>
            <w:vAlign w:val="center"/>
          </w:tcPr>
          <w:p w:rsidR="00743DC0" w:rsidRPr="00743DC0" w:rsidRDefault="00743DC0" w:rsidP="00743DC0">
            <w:pPr>
              <w:jc w:val="center"/>
              <w:rPr>
                <w:b/>
                <w:sz w:val="24"/>
              </w:rPr>
            </w:pPr>
            <w:r w:rsidRPr="00743DC0">
              <w:rPr>
                <w:b/>
                <w:sz w:val="24"/>
              </w:rPr>
              <w:t>5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3.1500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4.169517</w:t>
            </w:r>
          </w:p>
        </w:tc>
        <w:tc>
          <w:tcPr>
            <w:tcW w:w="1705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101.951681</w:t>
            </w:r>
          </w:p>
        </w:tc>
      </w:tr>
      <w:tr w:rsidR="00743DC0" w:rsidRPr="00743DC0" w:rsidTr="00743DC0">
        <w:trPr>
          <w:jc w:val="center"/>
        </w:trPr>
        <w:tc>
          <w:tcPr>
            <w:tcW w:w="1704" w:type="dxa"/>
            <w:vAlign w:val="center"/>
          </w:tcPr>
          <w:p w:rsidR="00743DC0" w:rsidRPr="00743DC0" w:rsidRDefault="00743DC0" w:rsidP="00743DC0">
            <w:pPr>
              <w:jc w:val="center"/>
              <w:rPr>
                <w:b/>
                <w:sz w:val="24"/>
              </w:rPr>
            </w:pPr>
            <w:r w:rsidRPr="00743DC0">
              <w:rPr>
                <w:b/>
                <w:sz w:val="24"/>
              </w:rPr>
              <w:t>7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3.1690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4.188785</w:t>
            </w:r>
          </w:p>
        </w:tc>
        <w:tc>
          <w:tcPr>
            <w:tcW w:w="1705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101.978457</w:t>
            </w:r>
          </w:p>
        </w:tc>
      </w:tr>
      <w:tr w:rsidR="00743DC0" w:rsidRPr="00743DC0" w:rsidTr="00743DC0">
        <w:trPr>
          <w:jc w:val="center"/>
        </w:trPr>
        <w:tc>
          <w:tcPr>
            <w:tcW w:w="1704" w:type="dxa"/>
            <w:vAlign w:val="center"/>
          </w:tcPr>
          <w:p w:rsidR="00743DC0" w:rsidRPr="00743DC0" w:rsidRDefault="00743DC0" w:rsidP="00743DC0">
            <w:pPr>
              <w:jc w:val="center"/>
              <w:rPr>
                <w:b/>
                <w:sz w:val="24"/>
              </w:rPr>
            </w:pPr>
            <w:r w:rsidRPr="00743DC0">
              <w:rPr>
                <w:b/>
                <w:sz w:val="24"/>
              </w:rPr>
              <w:t>10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3.2100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4.231159</w:t>
            </w:r>
          </w:p>
        </w:tc>
        <w:tc>
          <w:tcPr>
            <w:tcW w:w="1705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102.115870</w:t>
            </w:r>
          </w:p>
        </w:tc>
      </w:tr>
      <w:tr w:rsidR="00743DC0" w:rsidRPr="00743DC0" w:rsidTr="00743DC0">
        <w:trPr>
          <w:jc w:val="center"/>
        </w:trPr>
        <w:tc>
          <w:tcPr>
            <w:tcW w:w="1704" w:type="dxa"/>
            <w:vAlign w:val="center"/>
          </w:tcPr>
          <w:p w:rsidR="00743DC0" w:rsidRPr="00743DC0" w:rsidRDefault="00743DC0" w:rsidP="00743DC0">
            <w:pPr>
              <w:jc w:val="center"/>
              <w:rPr>
                <w:b/>
                <w:sz w:val="24"/>
              </w:rPr>
            </w:pPr>
            <w:r w:rsidRPr="00743DC0">
              <w:rPr>
                <w:b/>
                <w:sz w:val="24"/>
              </w:rPr>
              <w:t>30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3.2370</w:t>
            </w:r>
          </w:p>
        </w:tc>
        <w:tc>
          <w:tcPr>
            <w:tcW w:w="1704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4.258494</w:t>
            </w:r>
          </w:p>
        </w:tc>
        <w:tc>
          <w:tcPr>
            <w:tcW w:w="1705" w:type="dxa"/>
            <w:vAlign w:val="center"/>
          </w:tcPr>
          <w:p w:rsidR="00743DC0" w:rsidRPr="00C50C8C" w:rsidRDefault="00743DC0" w:rsidP="00743DC0">
            <w:pPr>
              <w:jc w:val="center"/>
              <w:rPr>
                <w:sz w:val="24"/>
              </w:rPr>
            </w:pPr>
            <w:r w:rsidRPr="00C50C8C">
              <w:rPr>
                <w:sz w:val="24"/>
              </w:rPr>
              <w:t>102.149390</w:t>
            </w:r>
          </w:p>
        </w:tc>
      </w:tr>
    </w:tbl>
    <w:p w:rsidR="00743DC0" w:rsidRPr="007600F4" w:rsidRDefault="00C50C8C" w:rsidP="007600F4">
      <w:pPr>
        <w:spacing w:beforeLines="50" w:before="156"/>
        <w:rPr>
          <w:sz w:val="24"/>
        </w:rPr>
      </w:pPr>
      <w:r w:rsidRPr="007600F4">
        <w:rPr>
          <w:rFonts w:hint="eastAsia"/>
          <w:sz w:val="24"/>
        </w:rPr>
        <w:t xml:space="preserve">From the table, we could see that the difference between old swap rate and new calculated swap rate is nearly 100 </w:t>
      </w:r>
      <w:proofErr w:type="spellStart"/>
      <w:r w:rsidRPr="007600F4">
        <w:rPr>
          <w:rFonts w:hint="eastAsia"/>
          <w:sz w:val="24"/>
        </w:rPr>
        <w:t>bp</w:t>
      </w:r>
      <w:proofErr w:type="spellEnd"/>
      <w:r w:rsidRPr="007600F4">
        <w:rPr>
          <w:rFonts w:hint="eastAsia"/>
          <w:sz w:val="24"/>
        </w:rPr>
        <w:t>, but still has a little slight difference.</w:t>
      </w:r>
    </w:p>
    <w:p w:rsidR="003D40CA" w:rsidRDefault="003D40CA" w:rsidP="007600F4">
      <w:pPr>
        <w:spacing w:beforeLines="50" w:before="156"/>
        <w:rPr>
          <w:b/>
          <w:sz w:val="24"/>
        </w:rPr>
      </w:pPr>
      <w:r w:rsidRPr="003D40CA">
        <w:rPr>
          <w:rFonts w:hint="eastAsia"/>
          <w:b/>
          <w:sz w:val="24"/>
        </w:rPr>
        <w:t xml:space="preserve">(g) </w:t>
      </w:r>
      <w:r w:rsidRPr="003D40CA">
        <w:rPr>
          <w:b/>
          <w:sz w:val="24"/>
        </w:rPr>
        <w:t>–</w:t>
      </w:r>
      <w:r w:rsidRPr="003D40CA">
        <w:rPr>
          <w:rFonts w:hint="eastAsia"/>
          <w:b/>
          <w:sz w:val="24"/>
        </w:rPr>
        <w:t xml:space="preserve"> (h) </w:t>
      </w:r>
      <w:r>
        <w:rPr>
          <w:rFonts w:hint="eastAsia"/>
          <w:b/>
          <w:sz w:val="24"/>
        </w:rPr>
        <w:t>B</w:t>
      </w:r>
      <w:r w:rsidRPr="003D40CA">
        <w:rPr>
          <w:b/>
          <w:sz w:val="24"/>
        </w:rPr>
        <w:t xml:space="preserve">earish </w:t>
      </w:r>
      <w:proofErr w:type="spellStart"/>
      <w:r w:rsidRPr="003D40CA">
        <w:rPr>
          <w:b/>
          <w:sz w:val="24"/>
        </w:rPr>
        <w:t>steepener</w:t>
      </w:r>
      <w:proofErr w:type="spellEnd"/>
      <w:r w:rsidRPr="003D40CA">
        <w:rPr>
          <w:b/>
          <w:sz w:val="24"/>
        </w:rPr>
        <w:t xml:space="preserve"> to the swap rates</w:t>
      </w:r>
    </w:p>
    <w:p w:rsidR="007600F4" w:rsidRDefault="007600F4" w:rsidP="00743DC0">
      <w:pPr>
        <w:rPr>
          <w:b/>
          <w:sz w:val="24"/>
        </w:rPr>
      </w:pPr>
    </w:p>
    <w:p w:rsidR="007600F4" w:rsidRPr="003D40CA" w:rsidRDefault="007600F4" w:rsidP="00743DC0">
      <w:pPr>
        <w:rPr>
          <w:b/>
          <w:sz w:val="24"/>
        </w:rPr>
      </w:pPr>
    </w:p>
    <w:tbl>
      <w:tblPr>
        <w:tblStyle w:val="a5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1096"/>
        <w:gridCol w:w="2135"/>
      </w:tblGrid>
      <w:tr w:rsidR="007600F4" w:rsidRPr="00F42773" w:rsidTr="001F3824">
        <w:trPr>
          <w:jc w:val="center"/>
        </w:trPr>
        <w:tc>
          <w:tcPr>
            <w:tcW w:w="1096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 w:rsidRPr="00F42773">
              <w:rPr>
                <w:rFonts w:hint="eastAsia"/>
                <w:b/>
                <w:sz w:val="24"/>
              </w:rPr>
              <w:t>Maturity</w:t>
            </w:r>
          </w:p>
        </w:tc>
        <w:tc>
          <w:tcPr>
            <w:tcW w:w="2135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Forward</w:t>
            </w:r>
            <w:r w:rsidRPr="00F42773">
              <w:rPr>
                <w:rFonts w:hint="eastAsia"/>
                <w:b/>
                <w:sz w:val="24"/>
              </w:rPr>
              <w:t xml:space="preserve"> </w:t>
            </w:r>
            <w:proofErr w:type="gramStart"/>
            <w:r w:rsidRPr="00F42773">
              <w:rPr>
                <w:rFonts w:hint="eastAsia"/>
                <w:b/>
                <w:sz w:val="24"/>
              </w:rPr>
              <w:t>Rates</w:t>
            </w:r>
            <w:r>
              <w:rPr>
                <w:rFonts w:hint="eastAsia"/>
                <w:b/>
                <w:sz w:val="24"/>
              </w:rPr>
              <w:t>(</w:t>
            </w:r>
            <w:proofErr w:type="gramEnd"/>
            <w:r>
              <w:rPr>
                <w:rFonts w:hint="eastAsia"/>
                <w:b/>
                <w:sz w:val="24"/>
              </w:rPr>
              <w:t>%)</w:t>
            </w:r>
          </w:p>
        </w:tc>
      </w:tr>
      <w:tr w:rsidR="007600F4" w:rsidRPr="00F42773" w:rsidTr="001F3824">
        <w:trPr>
          <w:jc w:val="center"/>
        </w:trPr>
        <w:tc>
          <w:tcPr>
            <w:tcW w:w="1096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1</w:t>
            </w:r>
          </w:p>
        </w:tc>
        <w:tc>
          <w:tcPr>
            <w:tcW w:w="2135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133C8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 w:rsidRPr="00133C8E">
              <w:rPr>
                <w:sz w:val="24"/>
              </w:rPr>
              <w:t>82377</w:t>
            </w:r>
          </w:p>
        </w:tc>
      </w:tr>
      <w:tr w:rsidR="007600F4" w:rsidRPr="00F42773" w:rsidTr="001F3824">
        <w:trPr>
          <w:jc w:val="center"/>
        </w:trPr>
        <w:tc>
          <w:tcPr>
            <w:tcW w:w="1096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2</w:t>
            </w:r>
          </w:p>
        </w:tc>
        <w:tc>
          <w:tcPr>
            <w:tcW w:w="2135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2564</w:t>
            </w:r>
            <w:r>
              <w:rPr>
                <w:rFonts w:hint="eastAsia"/>
                <w:sz w:val="24"/>
              </w:rPr>
              <w:t>6</w:t>
            </w:r>
          </w:p>
        </w:tc>
      </w:tr>
      <w:tr w:rsidR="007600F4" w:rsidRPr="00F42773" w:rsidTr="001F3824">
        <w:trPr>
          <w:jc w:val="center"/>
        </w:trPr>
        <w:tc>
          <w:tcPr>
            <w:tcW w:w="1096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3</w:t>
            </w:r>
          </w:p>
        </w:tc>
        <w:tc>
          <w:tcPr>
            <w:tcW w:w="2135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133C8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 w:rsidRPr="00133C8E">
              <w:rPr>
                <w:sz w:val="24"/>
              </w:rPr>
              <w:t>23817</w:t>
            </w:r>
          </w:p>
        </w:tc>
      </w:tr>
      <w:tr w:rsidR="007600F4" w:rsidRPr="00F42773" w:rsidTr="001F3824">
        <w:trPr>
          <w:jc w:val="center"/>
        </w:trPr>
        <w:tc>
          <w:tcPr>
            <w:tcW w:w="1096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4</w:t>
            </w:r>
          </w:p>
        </w:tc>
        <w:tc>
          <w:tcPr>
            <w:tcW w:w="2135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600F4">
              <w:rPr>
                <w:sz w:val="24"/>
              </w:rPr>
              <w:t>3</w:t>
            </w:r>
            <w:r w:rsidRPr="007600F4">
              <w:rPr>
                <w:rFonts w:hint="eastAsia"/>
                <w:sz w:val="24"/>
              </w:rPr>
              <w:t>.</w:t>
            </w:r>
            <w:r w:rsidRPr="007600F4">
              <w:rPr>
                <w:sz w:val="24"/>
              </w:rPr>
              <w:t>38312</w:t>
            </w:r>
          </w:p>
        </w:tc>
      </w:tr>
      <w:tr w:rsidR="007600F4" w:rsidRPr="00F42773" w:rsidTr="001F3824">
        <w:trPr>
          <w:jc w:val="center"/>
        </w:trPr>
        <w:tc>
          <w:tcPr>
            <w:tcW w:w="1096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5</w:t>
            </w:r>
          </w:p>
        </w:tc>
        <w:tc>
          <w:tcPr>
            <w:tcW w:w="2135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600F4">
              <w:rPr>
                <w:sz w:val="24"/>
              </w:rPr>
              <w:t>3</w:t>
            </w:r>
            <w:r w:rsidRPr="007600F4">
              <w:rPr>
                <w:rFonts w:hint="eastAsia"/>
                <w:sz w:val="24"/>
              </w:rPr>
              <w:t>.</w:t>
            </w:r>
            <w:r w:rsidRPr="007600F4">
              <w:rPr>
                <w:sz w:val="24"/>
              </w:rPr>
              <w:t>46353</w:t>
            </w:r>
          </w:p>
        </w:tc>
      </w:tr>
      <w:tr w:rsidR="007600F4" w:rsidRPr="00F42773" w:rsidTr="001F3824">
        <w:trPr>
          <w:jc w:val="center"/>
        </w:trPr>
        <w:tc>
          <w:tcPr>
            <w:tcW w:w="1096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7</w:t>
            </w:r>
          </w:p>
        </w:tc>
        <w:tc>
          <w:tcPr>
            <w:tcW w:w="2135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600F4">
              <w:rPr>
                <w:sz w:val="24"/>
              </w:rPr>
              <w:t>3</w:t>
            </w:r>
            <w:r w:rsidRPr="007600F4">
              <w:rPr>
                <w:rFonts w:hint="eastAsia"/>
                <w:sz w:val="24"/>
              </w:rPr>
              <w:t>.</w:t>
            </w:r>
            <w:r w:rsidRPr="007600F4">
              <w:rPr>
                <w:sz w:val="24"/>
              </w:rPr>
              <w:t>48299</w:t>
            </w:r>
          </w:p>
        </w:tc>
      </w:tr>
      <w:tr w:rsidR="007600F4" w:rsidRPr="00F42773" w:rsidTr="001F3824">
        <w:trPr>
          <w:trHeight w:val="45"/>
          <w:jc w:val="center"/>
        </w:trPr>
        <w:tc>
          <w:tcPr>
            <w:tcW w:w="1096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10</w:t>
            </w:r>
          </w:p>
        </w:tc>
        <w:tc>
          <w:tcPr>
            <w:tcW w:w="2135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600F4">
              <w:rPr>
                <w:sz w:val="24"/>
              </w:rPr>
              <w:t>3</w:t>
            </w:r>
            <w:r w:rsidRPr="007600F4">
              <w:rPr>
                <w:rFonts w:hint="eastAsia"/>
                <w:sz w:val="24"/>
              </w:rPr>
              <w:t>.</w:t>
            </w:r>
            <w:r w:rsidRPr="007600F4">
              <w:rPr>
                <w:sz w:val="24"/>
              </w:rPr>
              <w:t>81713</w:t>
            </w:r>
          </w:p>
        </w:tc>
      </w:tr>
      <w:tr w:rsidR="007600F4" w:rsidRPr="00F42773" w:rsidTr="001F3824">
        <w:trPr>
          <w:trHeight w:val="45"/>
          <w:jc w:val="center"/>
        </w:trPr>
        <w:tc>
          <w:tcPr>
            <w:tcW w:w="1096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30</w:t>
            </w:r>
          </w:p>
        </w:tc>
        <w:tc>
          <w:tcPr>
            <w:tcW w:w="2135" w:type="dxa"/>
            <w:vAlign w:val="center"/>
          </w:tcPr>
          <w:p w:rsidR="007600F4" w:rsidRPr="00F42773" w:rsidRDefault="007600F4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600F4">
              <w:rPr>
                <w:sz w:val="24"/>
              </w:rPr>
              <w:t>3</w:t>
            </w:r>
            <w:r w:rsidRPr="007600F4">
              <w:rPr>
                <w:rFonts w:hint="eastAsia"/>
                <w:sz w:val="24"/>
              </w:rPr>
              <w:t>.</w:t>
            </w:r>
            <w:r w:rsidRPr="007600F4">
              <w:rPr>
                <w:sz w:val="24"/>
              </w:rPr>
              <w:t>93932</w:t>
            </w:r>
          </w:p>
        </w:tc>
      </w:tr>
    </w:tbl>
    <w:p w:rsidR="007600F4" w:rsidRDefault="007600F4" w:rsidP="007600F4">
      <w:r>
        <w:rPr>
          <w:noProof/>
        </w:rPr>
        <w:drawing>
          <wp:inline distT="0" distB="0" distL="0" distR="0" wp14:anchorId="4B60676E" wp14:editId="6822CFC3">
            <wp:extent cx="5274310" cy="3881257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AD" w:rsidRPr="00DA5E17" w:rsidRDefault="003F04AD" w:rsidP="007600F4">
      <w:pPr>
        <w:rPr>
          <w:sz w:val="24"/>
        </w:rPr>
      </w:pPr>
      <w:r w:rsidRPr="00DA5E17">
        <w:rPr>
          <w:rFonts w:hint="eastAsia"/>
          <w:sz w:val="24"/>
        </w:rPr>
        <w:t>The new forward rates are same as original forward rates at beginning, but they diverge from year 4. And the bearish forward rates become steeper from then on.</w:t>
      </w:r>
    </w:p>
    <w:p w:rsidR="003F04AD" w:rsidRDefault="003F04AD" w:rsidP="003F04AD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(i</w:t>
      </w:r>
      <w:r w:rsidRPr="003D40CA">
        <w:rPr>
          <w:rFonts w:hint="eastAsia"/>
          <w:b/>
          <w:sz w:val="24"/>
        </w:rPr>
        <w:t xml:space="preserve">) </w:t>
      </w:r>
      <w:r w:rsidRPr="003D40CA">
        <w:rPr>
          <w:b/>
          <w:sz w:val="24"/>
        </w:rPr>
        <w:t>–</w:t>
      </w:r>
      <w:r w:rsidRPr="003D40CA">
        <w:rPr>
          <w:rFonts w:hint="eastAsia"/>
          <w:b/>
          <w:sz w:val="24"/>
        </w:rPr>
        <w:t xml:space="preserve"> (</w:t>
      </w:r>
      <w:r>
        <w:rPr>
          <w:rFonts w:hint="eastAsia"/>
          <w:b/>
          <w:sz w:val="24"/>
        </w:rPr>
        <w:t>j</w:t>
      </w:r>
      <w:r w:rsidRPr="003D40CA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Bull</w:t>
      </w:r>
      <w:r w:rsidRPr="003D40CA">
        <w:rPr>
          <w:b/>
          <w:sz w:val="24"/>
        </w:rPr>
        <w:t xml:space="preserve"> </w:t>
      </w:r>
      <w:proofErr w:type="spellStart"/>
      <w:r w:rsidRPr="003D40CA">
        <w:rPr>
          <w:b/>
          <w:sz w:val="24"/>
        </w:rPr>
        <w:t>steepener</w:t>
      </w:r>
      <w:proofErr w:type="spellEnd"/>
      <w:r w:rsidRPr="003D40CA">
        <w:rPr>
          <w:b/>
          <w:sz w:val="24"/>
        </w:rPr>
        <w:t xml:space="preserve"> to the swap rates</w:t>
      </w:r>
    </w:p>
    <w:p w:rsidR="003F04AD" w:rsidRPr="003D40CA" w:rsidRDefault="003F04AD" w:rsidP="003F04AD">
      <w:pPr>
        <w:rPr>
          <w:b/>
          <w:sz w:val="24"/>
        </w:rPr>
      </w:pPr>
    </w:p>
    <w:tbl>
      <w:tblPr>
        <w:tblStyle w:val="a5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1096"/>
        <w:gridCol w:w="2135"/>
      </w:tblGrid>
      <w:tr w:rsidR="003F04AD" w:rsidRPr="00F42773" w:rsidTr="001F3824">
        <w:trPr>
          <w:jc w:val="center"/>
        </w:trPr>
        <w:tc>
          <w:tcPr>
            <w:tcW w:w="1096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 w:rsidRPr="00F42773">
              <w:rPr>
                <w:rFonts w:hint="eastAsia"/>
                <w:b/>
                <w:sz w:val="24"/>
              </w:rPr>
              <w:t>Maturity</w:t>
            </w:r>
          </w:p>
        </w:tc>
        <w:tc>
          <w:tcPr>
            <w:tcW w:w="2135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Forward</w:t>
            </w:r>
            <w:r w:rsidRPr="00F42773">
              <w:rPr>
                <w:rFonts w:hint="eastAsia"/>
                <w:b/>
                <w:sz w:val="24"/>
              </w:rPr>
              <w:t xml:space="preserve"> </w:t>
            </w:r>
            <w:proofErr w:type="gramStart"/>
            <w:r w:rsidRPr="00F42773">
              <w:rPr>
                <w:rFonts w:hint="eastAsia"/>
                <w:b/>
                <w:sz w:val="24"/>
              </w:rPr>
              <w:t>Rates</w:t>
            </w:r>
            <w:r>
              <w:rPr>
                <w:rFonts w:hint="eastAsia"/>
                <w:b/>
                <w:sz w:val="24"/>
              </w:rPr>
              <w:t>(</w:t>
            </w:r>
            <w:proofErr w:type="gramEnd"/>
            <w:r>
              <w:rPr>
                <w:rFonts w:hint="eastAsia"/>
                <w:b/>
                <w:sz w:val="24"/>
              </w:rPr>
              <w:t>%)</w:t>
            </w:r>
          </w:p>
        </w:tc>
      </w:tr>
      <w:tr w:rsidR="003F04AD" w:rsidRPr="00F42773" w:rsidTr="001F3824">
        <w:trPr>
          <w:jc w:val="center"/>
        </w:trPr>
        <w:tc>
          <w:tcPr>
            <w:tcW w:w="1096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1</w:t>
            </w:r>
          </w:p>
        </w:tc>
        <w:tc>
          <w:tcPr>
            <w:tcW w:w="2135" w:type="dxa"/>
            <w:vAlign w:val="center"/>
          </w:tcPr>
          <w:p w:rsidR="003F04AD" w:rsidRPr="00F42773" w:rsidRDefault="003F04AD" w:rsidP="003F04AD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133C8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.33017</w:t>
            </w:r>
          </w:p>
        </w:tc>
      </w:tr>
      <w:tr w:rsidR="003F04AD" w:rsidRPr="00F42773" w:rsidTr="001F3824">
        <w:trPr>
          <w:jc w:val="center"/>
        </w:trPr>
        <w:tc>
          <w:tcPr>
            <w:tcW w:w="1096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2</w:t>
            </w:r>
          </w:p>
        </w:tc>
        <w:tc>
          <w:tcPr>
            <w:tcW w:w="2135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.26376</w:t>
            </w:r>
          </w:p>
        </w:tc>
      </w:tr>
      <w:tr w:rsidR="003F04AD" w:rsidRPr="00F42773" w:rsidTr="001F3824">
        <w:trPr>
          <w:jc w:val="center"/>
        </w:trPr>
        <w:tc>
          <w:tcPr>
            <w:tcW w:w="1096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3</w:t>
            </w:r>
          </w:p>
        </w:tc>
        <w:tc>
          <w:tcPr>
            <w:tcW w:w="2135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133C8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.29705</w:t>
            </w:r>
          </w:p>
        </w:tc>
      </w:tr>
      <w:tr w:rsidR="003F04AD" w:rsidRPr="00F42773" w:rsidTr="001F3824">
        <w:trPr>
          <w:jc w:val="center"/>
        </w:trPr>
        <w:tc>
          <w:tcPr>
            <w:tcW w:w="1096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4</w:t>
            </w:r>
          </w:p>
        </w:tc>
        <w:tc>
          <w:tcPr>
            <w:tcW w:w="2135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600F4">
              <w:rPr>
                <w:sz w:val="24"/>
              </w:rPr>
              <w:t>3</w:t>
            </w:r>
            <w:r w:rsidRPr="007600F4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23536</w:t>
            </w:r>
          </w:p>
        </w:tc>
      </w:tr>
      <w:tr w:rsidR="003F04AD" w:rsidRPr="00F42773" w:rsidTr="001F3824">
        <w:trPr>
          <w:jc w:val="center"/>
        </w:trPr>
        <w:tc>
          <w:tcPr>
            <w:tcW w:w="1096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5</w:t>
            </w:r>
          </w:p>
        </w:tc>
        <w:tc>
          <w:tcPr>
            <w:tcW w:w="2135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600F4">
              <w:rPr>
                <w:sz w:val="24"/>
              </w:rPr>
              <w:t>3</w:t>
            </w:r>
            <w:r w:rsidRPr="007600F4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33155</w:t>
            </w:r>
          </w:p>
        </w:tc>
      </w:tr>
      <w:tr w:rsidR="003F04AD" w:rsidRPr="00F42773" w:rsidTr="001F3824">
        <w:trPr>
          <w:jc w:val="center"/>
        </w:trPr>
        <w:tc>
          <w:tcPr>
            <w:tcW w:w="1096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7</w:t>
            </w:r>
          </w:p>
        </w:tc>
        <w:tc>
          <w:tcPr>
            <w:tcW w:w="2135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600F4">
              <w:rPr>
                <w:sz w:val="24"/>
              </w:rPr>
              <w:t>3</w:t>
            </w:r>
            <w:r w:rsidRPr="007600F4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33475</w:t>
            </w:r>
          </w:p>
        </w:tc>
      </w:tr>
      <w:tr w:rsidR="003F04AD" w:rsidRPr="00F42773" w:rsidTr="001F3824">
        <w:trPr>
          <w:trHeight w:val="45"/>
          <w:jc w:val="center"/>
        </w:trPr>
        <w:tc>
          <w:tcPr>
            <w:tcW w:w="1096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10</w:t>
            </w:r>
          </w:p>
        </w:tc>
        <w:tc>
          <w:tcPr>
            <w:tcW w:w="2135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600F4">
              <w:rPr>
                <w:sz w:val="24"/>
              </w:rPr>
              <w:t>3</w:t>
            </w:r>
            <w:r w:rsidRPr="007600F4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29571</w:t>
            </w:r>
          </w:p>
        </w:tc>
      </w:tr>
      <w:tr w:rsidR="003F04AD" w:rsidRPr="00F42773" w:rsidTr="001F3824">
        <w:trPr>
          <w:trHeight w:val="45"/>
          <w:jc w:val="center"/>
        </w:trPr>
        <w:tc>
          <w:tcPr>
            <w:tcW w:w="1096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F42773">
              <w:rPr>
                <w:sz w:val="24"/>
              </w:rPr>
              <w:t>30</w:t>
            </w:r>
          </w:p>
        </w:tc>
        <w:tc>
          <w:tcPr>
            <w:tcW w:w="2135" w:type="dxa"/>
            <w:vAlign w:val="center"/>
          </w:tcPr>
          <w:p w:rsidR="003F04AD" w:rsidRPr="00F42773" w:rsidRDefault="003F04AD" w:rsidP="001F3824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7600F4">
              <w:rPr>
                <w:sz w:val="24"/>
              </w:rPr>
              <w:t>3</w:t>
            </w:r>
            <w:r w:rsidRPr="007600F4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23245</w:t>
            </w:r>
          </w:p>
        </w:tc>
      </w:tr>
    </w:tbl>
    <w:p w:rsidR="00DA5E17" w:rsidRDefault="00DA5E17" w:rsidP="007600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5FBD54" wp14:editId="03EF2499">
            <wp:extent cx="5274310" cy="3963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17" w:rsidRPr="00DA5E17" w:rsidRDefault="00DA5E17" w:rsidP="00DA5E17">
      <w:pPr>
        <w:rPr>
          <w:sz w:val="24"/>
        </w:rPr>
      </w:pPr>
      <w:r w:rsidRPr="00DA5E17">
        <w:rPr>
          <w:rFonts w:hint="eastAsia"/>
          <w:sz w:val="24"/>
        </w:rPr>
        <w:t xml:space="preserve">The new forward rates are not same as original forward rates at beginning, and then converge to the original swap </w:t>
      </w:r>
      <w:r w:rsidR="00D77819">
        <w:rPr>
          <w:rFonts w:hint="eastAsia"/>
          <w:sz w:val="24"/>
        </w:rPr>
        <w:t>rates as maturity increases.</w:t>
      </w:r>
      <w:bookmarkStart w:id="0" w:name="_GoBack"/>
      <w:bookmarkEnd w:id="0"/>
    </w:p>
    <w:p w:rsidR="00DA5E17" w:rsidRPr="00DA5E17" w:rsidRDefault="00DA5E17" w:rsidP="007600F4">
      <w:pPr>
        <w:rPr>
          <w:noProof/>
        </w:rPr>
      </w:pPr>
    </w:p>
    <w:p w:rsidR="003F04AD" w:rsidRPr="003F04AD" w:rsidRDefault="003F04AD" w:rsidP="007600F4"/>
    <w:sectPr w:rsidR="003F04AD" w:rsidRPr="003F0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4019E"/>
    <w:multiLevelType w:val="hybridMultilevel"/>
    <w:tmpl w:val="783C33F8"/>
    <w:lvl w:ilvl="0" w:tplc="48E4DE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B824B4"/>
    <w:multiLevelType w:val="hybridMultilevel"/>
    <w:tmpl w:val="5ED8E16A"/>
    <w:lvl w:ilvl="0" w:tplc="A0E85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B533FF"/>
    <w:multiLevelType w:val="hybridMultilevel"/>
    <w:tmpl w:val="7562B40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EF"/>
    <w:rsid w:val="00133C8E"/>
    <w:rsid w:val="001414C0"/>
    <w:rsid w:val="002E18EF"/>
    <w:rsid w:val="003D40CA"/>
    <w:rsid w:val="003F04AD"/>
    <w:rsid w:val="005A4F33"/>
    <w:rsid w:val="00743DC0"/>
    <w:rsid w:val="007600F4"/>
    <w:rsid w:val="00910379"/>
    <w:rsid w:val="00C50C8C"/>
    <w:rsid w:val="00D63D1C"/>
    <w:rsid w:val="00D77819"/>
    <w:rsid w:val="00DA5E17"/>
    <w:rsid w:val="00DF199E"/>
    <w:rsid w:val="00F4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99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19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99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199E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Char"/>
    <w:uiPriority w:val="99"/>
    <w:semiHidden/>
    <w:unhideWhenUsed/>
    <w:rsid w:val="00DF19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199E"/>
    <w:rPr>
      <w:sz w:val="18"/>
      <w:szCs w:val="18"/>
    </w:rPr>
  </w:style>
  <w:style w:type="table" w:styleId="a5">
    <w:name w:val="Table Grid"/>
    <w:basedOn w:val="a1"/>
    <w:uiPriority w:val="59"/>
    <w:rsid w:val="00F42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10379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99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19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99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199E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Char"/>
    <w:uiPriority w:val="99"/>
    <w:semiHidden/>
    <w:unhideWhenUsed/>
    <w:rsid w:val="00DF19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199E"/>
    <w:rPr>
      <w:sz w:val="18"/>
      <w:szCs w:val="18"/>
    </w:rPr>
  </w:style>
  <w:style w:type="table" w:styleId="a5">
    <w:name w:val="Table Grid"/>
    <w:basedOn w:val="a1"/>
    <w:uiPriority w:val="59"/>
    <w:rsid w:val="00F42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10379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guo@bu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郭新宇</dc:creator>
  <cp:lastModifiedBy>郭新宇</cp:lastModifiedBy>
  <cp:revision>6</cp:revision>
  <cp:lastPrinted>2019-10-30T12:04:00Z</cp:lastPrinted>
  <dcterms:created xsi:type="dcterms:W3CDTF">2019-10-28T14:29:00Z</dcterms:created>
  <dcterms:modified xsi:type="dcterms:W3CDTF">2019-10-30T12:06:00Z</dcterms:modified>
</cp:coreProperties>
</file>