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084" w:rsidRPr="00203F8A" w:rsidRDefault="007F2084" w:rsidP="007F2084">
      <w:pPr>
        <w:jc w:val="center"/>
        <w:rPr>
          <w:sz w:val="24"/>
        </w:rPr>
      </w:pPr>
      <w:r>
        <w:rPr>
          <w:rFonts w:hint="eastAsia"/>
          <w:b/>
          <w:bCs/>
          <w:sz w:val="28"/>
        </w:rPr>
        <w:t xml:space="preserve">MF 796 </w:t>
      </w:r>
      <w:proofErr w:type="gramStart"/>
      <w:r>
        <w:rPr>
          <w:rFonts w:hint="eastAsia"/>
          <w:b/>
          <w:bCs/>
          <w:sz w:val="28"/>
        </w:rPr>
        <w:t>Assignment</w:t>
      </w:r>
      <w:proofErr w:type="gramEnd"/>
      <w:r>
        <w:rPr>
          <w:rFonts w:hint="eastAsia"/>
          <w:b/>
          <w:bCs/>
          <w:sz w:val="28"/>
        </w:rPr>
        <w:t xml:space="preserve"> 2</w:t>
      </w:r>
    </w:p>
    <w:p w:rsidR="007F2084" w:rsidRPr="00A31CF4" w:rsidRDefault="007F2084" w:rsidP="007F2084">
      <w:pPr>
        <w:jc w:val="left"/>
        <w:rPr>
          <w:b/>
          <w:sz w:val="22"/>
        </w:rPr>
      </w:pPr>
      <w:proofErr w:type="spellStart"/>
      <w:r w:rsidRPr="00A31CF4">
        <w:rPr>
          <w:rFonts w:hint="eastAsia"/>
          <w:b/>
          <w:sz w:val="22"/>
        </w:rPr>
        <w:t>Xinyu</w:t>
      </w:r>
      <w:proofErr w:type="spellEnd"/>
      <w:r w:rsidRPr="00A31CF4">
        <w:rPr>
          <w:rFonts w:hint="eastAsia"/>
          <w:b/>
          <w:sz w:val="22"/>
        </w:rPr>
        <w:t xml:space="preserve"> </w:t>
      </w:r>
      <w:proofErr w:type="spellStart"/>
      <w:r w:rsidRPr="00A31CF4">
        <w:rPr>
          <w:rFonts w:hint="eastAsia"/>
          <w:b/>
          <w:sz w:val="22"/>
        </w:rPr>
        <w:t>Guo</w:t>
      </w:r>
      <w:proofErr w:type="spellEnd"/>
    </w:p>
    <w:p w:rsidR="007F2084" w:rsidRPr="00A31CF4" w:rsidRDefault="00152F38" w:rsidP="007F2084">
      <w:pPr>
        <w:jc w:val="left"/>
        <w:rPr>
          <w:b/>
          <w:sz w:val="22"/>
        </w:rPr>
      </w:pPr>
      <w:hyperlink r:id="rId6" w:history="1">
        <w:r w:rsidR="007F2084" w:rsidRPr="00A31CF4">
          <w:rPr>
            <w:rFonts w:hint="eastAsia"/>
            <w:b/>
            <w:sz w:val="22"/>
          </w:rPr>
          <w:t>xyguo@bu.edu</w:t>
        </w:r>
      </w:hyperlink>
    </w:p>
    <w:p w:rsidR="007F2084" w:rsidRDefault="007F2084" w:rsidP="007F2084">
      <w:pPr>
        <w:jc w:val="left"/>
        <w:rPr>
          <w:b/>
          <w:sz w:val="22"/>
        </w:rPr>
      </w:pPr>
      <w:r w:rsidRPr="00A31CF4">
        <w:rPr>
          <w:rFonts w:hint="eastAsia"/>
          <w:b/>
          <w:sz w:val="22"/>
        </w:rPr>
        <w:t>U03375769</w:t>
      </w:r>
    </w:p>
    <w:p w:rsidR="007F2084" w:rsidRDefault="007F2084" w:rsidP="007F2084"/>
    <w:p w:rsidR="002504BF" w:rsidRPr="00A85AA9" w:rsidRDefault="00A85AA9">
      <w:pPr>
        <w:rPr>
          <w:b/>
          <w:sz w:val="24"/>
        </w:rPr>
      </w:pPr>
      <w:r w:rsidRPr="00A85AA9">
        <w:rPr>
          <w:rFonts w:hint="eastAsia"/>
          <w:b/>
          <w:sz w:val="24"/>
        </w:rPr>
        <w:t>Pr</w:t>
      </w:r>
      <w:r w:rsidR="007F2084" w:rsidRPr="00A85AA9">
        <w:rPr>
          <w:rFonts w:hint="eastAsia"/>
          <w:b/>
          <w:sz w:val="24"/>
        </w:rPr>
        <w:t>oblem 1</w:t>
      </w:r>
    </w:p>
    <w:p w:rsidR="007F2084" w:rsidRDefault="007F2084" w:rsidP="008009D9">
      <w:pPr>
        <w:pStyle w:val="a3"/>
        <w:numPr>
          <w:ilvl w:val="0"/>
          <w:numId w:val="2"/>
        </w:numPr>
        <w:spacing w:beforeLines="50" w:before="156" w:afterLines="50" w:after="156"/>
        <w:ind w:left="357" w:hangingChars="170" w:hanging="357"/>
      </w:pPr>
      <w:r>
        <w:rPr>
          <w:rFonts w:hint="eastAsia"/>
        </w:rPr>
        <w:t>Price of Call calculated by BSM is: 0.0188</w:t>
      </w:r>
    </w:p>
    <w:p w:rsidR="007F2084" w:rsidRDefault="00005971" w:rsidP="008009D9">
      <w:pPr>
        <w:pStyle w:val="a3"/>
        <w:numPr>
          <w:ilvl w:val="0"/>
          <w:numId w:val="2"/>
        </w:numPr>
        <w:spacing w:beforeLines="50" w:before="156" w:afterLines="50" w:after="156"/>
        <w:ind w:left="357" w:hangingChars="170" w:hanging="357"/>
      </w:pPr>
      <w:r>
        <w:rPr>
          <w:rFonts w:hint="eastAsia"/>
        </w:rPr>
        <w:t>The absolute</w:t>
      </w:r>
      <w:r w:rsidR="007F2084">
        <w:rPr>
          <w:rFonts w:hint="eastAsia"/>
        </w:rPr>
        <w:t xml:space="preserve"> error of each method is shown as follows:</w:t>
      </w:r>
    </w:p>
    <w:tbl>
      <w:tblPr>
        <w:tblStyle w:val="a4"/>
        <w:tblW w:w="0" w:type="auto"/>
        <w:tblInd w:w="1101" w:type="dxa"/>
        <w:tblLook w:val="04A0" w:firstRow="1" w:lastRow="0" w:firstColumn="1" w:lastColumn="0" w:noHBand="0" w:noVBand="1"/>
      </w:tblPr>
      <w:tblGrid>
        <w:gridCol w:w="1283"/>
        <w:gridCol w:w="1552"/>
        <w:gridCol w:w="1559"/>
        <w:gridCol w:w="1701"/>
      </w:tblGrid>
      <w:tr w:rsidR="007F2084" w:rsidRPr="007F2084" w:rsidTr="007F2084">
        <w:tc>
          <w:tcPr>
            <w:tcW w:w="1283" w:type="dxa"/>
          </w:tcPr>
          <w:p w:rsidR="007F2084" w:rsidRPr="00005971" w:rsidRDefault="00005971" w:rsidP="007F2084">
            <w:pPr>
              <w:pStyle w:val="a3"/>
              <w:ind w:firstLineChars="0" w:firstLine="0"/>
              <w:jc w:val="center"/>
              <w:rPr>
                <w:b/>
              </w:rPr>
            </w:pPr>
            <w:r w:rsidRPr="00005971">
              <w:rPr>
                <w:rFonts w:hint="eastAsia"/>
                <w:b/>
              </w:rPr>
              <w:t>N</w:t>
            </w:r>
          </w:p>
        </w:tc>
        <w:tc>
          <w:tcPr>
            <w:tcW w:w="1552" w:type="dxa"/>
          </w:tcPr>
          <w:p w:rsidR="007F2084" w:rsidRPr="00005971" w:rsidRDefault="007F2084" w:rsidP="007F2084">
            <w:pPr>
              <w:pStyle w:val="a3"/>
              <w:ind w:firstLineChars="0" w:firstLine="0"/>
              <w:jc w:val="center"/>
              <w:rPr>
                <w:b/>
              </w:rPr>
            </w:pPr>
            <w:r w:rsidRPr="00005971">
              <w:rPr>
                <w:b/>
              </w:rPr>
              <w:t>Left</w:t>
            </w:r>
          </w:p>
        </w:tc>
        <w:tc>
          <w:tcPr>
            <w:tcW w:w="1559" w:type="dxa"/>
          </w:tcPr>
          <w:p w:rsidR="007F2084" w:rsidRPr="00005971" w:rsidRDefault="007F2084" w:rsidP="007F2084">
            <w:pPr>
              <w:pStyle w:val="a3"/>
              <w:ind w:firstLineChars="0" w:firstLine="0"/>
              <w:jc w:val="center"/>
              <w:rPr>
                <w:b/>
              </w:rPr>
            </w:pPr>
            <w:r w:rsidRPr="00005971">
              <w:rPr>
                <w:b/>
              </w:rPr>
              <w:t>Middle</w:t>
            </w:r>
          </w:p>
        </w:tc>
        <w:tc>
          <w:tcPr>
            <w:tcW w:w="1701" w:type="dxa"/>
          </w:tcPr>
          <w:p w:rsidR="007F2084" w:rsidRPr="00005971" w:rsidRDefault="007F2084" w:rsidP="007F2084">
            <w:pPr>
              <w:pStyle w:val="a3"/>
              <w:ind w:firstLineChars="0" w:firstLine="0"/>
              <w:jc w:val="center"/>
              <w:rPr>
                <w:b/>
              </w:rPr>
            </w:pPr>
            <w:r w:rsidRPr="00005971">
              <w:rPr>
                <w:b/>
              </w:rPr>
              <w:t>Gaussian</w:t>
            </w:r>
          </w:p>
        </w:tc>
      </w:tr>
      <w:tr w:rsidR="007F2084" w:rsidRPr="007F2084" w:rsidTr="007F2084">
        <w:tc>
          <w:tcPr>
            <w:tcW w:w="1283" w:type="dxa"/>
          </w:tcPr>
          <w:p w:rsidR="007F2084" w:rsidRPr="007F2084" w:rsidRDefault="007F2084" w:rsidP="007F2084">
            <w:pPr>
              <w:pStyle w:val="a3"/>
              <w:ind w:firstLineChars="0" w:firstLine="0"/>
              <w:jc w:val="center"/>
            </w:pPr>
            <w:r w:rsidRPr="007F2084">
              <w:t>5</w:t>
            </w:r>
          </w:p>
        </w:tc>
        <w:tc>
          <w:tcPr>
            <w:tcW w:w="1552" w:type="dxa"/>
          </w:tcPr>
          <w:p w:rsidR="007F2084" w:rsidRPr="007F2084" w:rsidRDefault="007F2084" w:rsidP="007F2084">
            <w:pPr>
              <w:pStyle w:val="a3"/>
              <w:ind w:firstLineChars="0" w:firstLine="0"/>
              <w:jc w:val="center"/>
            </w:pPr>
            <w:r w:rsidRPr="007F2084">
              <w:t>0.0033</w:t>
            </w:r>
          </w:p>
        </w:tc>
        <w:tc>
          <w:tcPr>
            <w:tcW w:w="1559" w:type="dxa"/>
          </w:tcPr>
          <w:p w:rsidR="007F2084" w:rsidRPr="007F2084" w:rsidRDefault="007F2084" w:rsidP="007F2084">
            <w:pPr>
              <w:pStyle w:val="a3"/>
              <w:ind w:firstLineChars="0" w:firstLine="0"/>
              <w:jc w:val="center"/>
            </w:pPr>
            <w:r w:rsidRPr="007F2084">
              <w:t>0.0016</w:t>
            </w:r>
          </w:p>
        </w:tc>
        <w:tc>
          <w:tcPr>
            <w:tcW w:w="1701" w:type="dxa"/>
          </w:tcPr>
          <w:p w:rsidR="007F2084" w:rsidRPr="007F2084" w:rsidRDefault="007F2084" w:rsidP="007F2084">
            <w:pPr>
              <w:pStyle w:val="a3"/>
              <w:ind w:firstLineChars="0" w:firstLine="0"/>
              <w:jc w:val="center"/>
            </w:pPr>
            <w:r w:rsidRPr="007F2084">
              <w:t>0.0</w:t>
            </w:r>
          </w:p>
        </w:tc>
      </w:tr>
      <w:tr w:rsidR="007F2084" w:rsidRPr="007F2084" w:rsidTr="007F2084">
        <w:tc>
          <w:tcPr>
            <w:tcW w:w="1283" w:type="dxa"/>
          </w:tcPr>
          <w:p w:rsidR="007F2084" w:rsidRPr="007F2084" w:rsidRDefault="007F2084" w:rsidP="007F2084">
            <w:pPr>
              <w:pStyle w:val="a3"/>
              <w:ind w:firstLineChars="0" w:firstLine="0"/>
              <w:jc w:val="center"/>
            </w:pPr>
            <w:r w:rsidRPr="007F2084">
              <w:t>10</w:t>
            </w:r>
          </w:p>
        </w:tc>
        <w:tc>
          <w:tcPr>
            <w:tcW w:w="1552" w:type="dxa"/>
          </w:tcPr>
          <w:p w:rsidR="007F2084" w:rsidRPr="007F2084" w:rsidRDefault="007F2084" w:rsidP="007F2084">
            <w:pPr>
              <w:pStyle w:val="a3"/>
              <w:ind w:firstLineChars="0" w:firstLine="0"/>
              <w:jc w:val="center"/>
            </w:pPr>
            <w:r w:rsidRPr="007F2084">
              <w:t>0.0008</w:t>
            </w:r>
          </w:p>
        </w:tc>
        <w:tc>
          <w:tcPr>
            <w:tcW w:w="1559" w:type="dxa"/>
          </w:tcPr>
          <w:p w:rsidR="007F2084" w:rsidRPr="007F2084" w:rsidRDefault="007F2084" w:rsidP="007F2084">
            <w:pPr>
              <w:pStyle w:val="a3"/>
              <w:ind w:firstLineChars="0" w:firstLine="0"/>
              <w:jc w:val="center"/>
            </w:pPr>
            <w:r w:rsidRPr="007F2084">
              <w:t>0.0004</w:t>
            </w:r>
          </w:p>
        </w:tc>
        <w:tc>
          <w:tcPr>
            <w:tcW w:w="1701" w:type="dxa"/>
          </w:tcPr>
          <w:p w:rsidR="007F2084" w:rsidRPr="007F2084" w:rsidRDefault="007F2084" w:rsidP="007F2084">
            <w:pPr>
              <w:pStyle w:val="a3"/>
              <w:ind w:firstLineChars="0" w:firstLine="0"/>
              <w:jc w:val="center"/>
            </w:pPr>
            <w:r w:rsidRPr="007F2084">
              <w:t>0.0</w:t>
            </w:r>
          </w:p>
        </w:tc>
      </w:tr>
      <w:tr w:rsidR="007F2084" w:rsidRPr="007F2084" w:rsidTr="007F2084">
        <w:tc>
          <w:tcPr>
            <w:tcW w:w="1283" w:type="dxa"/>
          </w:tcPr>
          <w:p w:rsidR="007F2084" w:rsidRPr="007F2084" w:rsidRDefault="007F2084" w:rsidP="007F2084">
            <w:pPr>
              <w:pStyle w:val="a3"/>
              <w:ind w:firstLineChars="0" w:firstLine="0"/>
              <w:jc w:val="center"/>
            </w:pPr>
            <w:r w:rsidRPr="007F2084">
              <w:t>50</w:t>
            </w:r>
          </w:p>
        </w:tc>
        <w:tc>
          <w:tcPr>
            <w:tcW w:w="1552" w:type="dxa"/>
          </w:tcPr>
          <w:p w:rsidR="007F2084" w:rsidRPr="007F2084" w:rsidRDefault="007F2084" w:rsidP="007F2084">
            <w:pPr>
              <w:pStyle w:val="a3"/>
              <w:ind w:firstLineChars="0" w:firstLine="0"/>
              <w:jc w:val="center"/>
            </w:pPr>
            <w:r w:rsidRPr="007F2084">
              <w:t>0.0000</w:t>
            </w:r>
          </w:p>
        </w:tc>
        <w:tc>
          <w:tcPr>
            <w:tcW w:w="1559" w:type="dxa"/>
          </w:tcPr>
          <w:p w:rsidR="007F2084" w:rsidRPr="007F2084" w:rsidRDefault="007F2084" w:rsidP="007F2084">
            <w:pPr>
              <w:pStyle w:val="a3"/>
              <w:ind w:firstLineChars="0" w:firstLine="0"/>
              <w:jc w:val="center"/>
            </w:pPr>
            <w:r w:rsidRPr="007F2084">
              <w:t>0.0000</w:t>
            </w:r>
          </w:p>
        </w:tc>
        <w:tc>
          <w:tcPr>
            <w:tcW w:w="1701" w:type="dxa"/>
          </w:tcPr>
          <w:p w:rsidR="007F2084" w:rsidRPr="007F2084" w:rsidRDefault="007F2084" w:rsidP="007F2084">
            <w:pPr>
              <w:pStyle w:val="a3"/>
              <w:ind w:firstLineChars="0" w:firstLine="0"/>
              <w:jc w:val="center"/>
            </w:pPr>
            <w:r w:rsidRPr="007F2084">
              <w:t>0.0</w:t>
            </w:r>
          </w:p>
        </w:tc>
      </w:tr>
      <w:tr w:rsidR="007F2084" w:rsidRPr="007F2084" w:rsidTr="007F2084">
        <w:tc>
          <w:tcPr>
            <w:tcW w:w="1283" w:type="dxa"/>
          </w:tcPr>
          <w:p w:rsidR="007F2084" w:rsidRPr="007F2084" w:rsidRDefault="007F2084" w:rsidP="007F2084">
            <w:pPr>
              <w:pStyle w:val="a3"/>
              <w:ind w:firstLineChars="0" w:firstLine="0"/>
              <w:jc w:val="center"/>
            </w:pPr>
            <w:r w:rsidRPr="007F2084">
              <w:t>100</w:t>
            </w:r>
          </w:p>
        </w:tc>
        <w:tc>
          <w:tcPr>
            <w:tcW w:w="1552" w:type="dxa"/>
          </w:tcPr>
          <w:p w:rsidR="007F2084" w:rsidRPr="007F2084" w:rsidRDefault="007F2084" w:rsidP="007F2084">
            <w:pPr>
              <w:pStyle w:val="a3"/>
              <w:ind w:firstLineChars="0" w:firstLine="0"/>
              <w:jc w:val="center"/>
            </w:pPr>
            <w:r w:rsidRPr="007F2084">
              <w:t>0.0000</w:t>
            </w:r>
          </w:p>
        </w:tc>
        <w:tc>
          <w:tcPr>
            <w:tcW w:w="1559" w:type="dxa"/>
          </w:tcPr>
          <w:p w:rsidR="007F2084" w:rsidRPr="007F2084" w:rsidRDefault="007F2084" w:rsidP="007F2084">
            <w:pPr>
              <w:pStyle w:val="a3"/>
              <w:ind w:firstLineChars="0" w:firstLine="0"/>
              <w:jc w:val="center"/>
            </w:pPr>
            <w:r w:rsidRPr="007F2084">
              <w:t>0.0000</w:t>
            </w:r>
          </w:p>
        </w:tc>
        <w:tc>
          <w:tcPr>
            <w:tcW w:w="1701" w:type="dxa"/>
          </w:tcPr>
          <w:p w:rsidR="007F2084" w:rsidRPr="007F2084" w:rsidRDefault="007F2084" w:rsidP="007F2084">
            <w:pPr>
              <w:pStyle w:val="a3"/>
              <w:ind w:firstLineChars="0" w:firstLine="0"/>
              <w:jc w:val="center"/>
            </w:pPr>
            <w:r w:rsidRPr="007F2084">
              <w:t>0.0</w:t>
            </w:r>
          </w:p>
        </w:tc>
      </w:tr>
    </w:tbl>
    <w:p w:rsidR="00005971" w:rsidRDefault="00005971" w:rsidP="00005971">
      <w:pPr>
        <w:pStyle w:val="a3"/>
        <w:numPr>
          <w:ilvl w:val="0"/>
          <w:numId w:val="2"/>
        </w:numPr>
        <w:spacing w:beforeLines="50" w:before="156"/>
        <w:ind w:left="357" w:hangingChars="170" w:hanging="357"/>
      </w:pPr>
      <w:r>
        <w:rPr>
          <w:rFonts w:hint="eastAsia"/>
        </w:rPr>
        <w:t>The rate of convergence of different methods:</w:t>
      </w:r>
      <w:bookmarkStart w:id="0" w:name="_GoBack"/>
      <w:bookmarkEnd w:id="0"/>
    </w:p>
    <w:p w:rsidR="00005971" w:rsidRDefault="00005971" w:rsidP="00005971">
      <w:pPr>
        <w:pStyle w:val="a3"/>
        <w:spacing w:beforeLines="50" w:before="156"/>
        <w:ind w:left="357" w:firstLineChars="0" w:firstLine="0"/>
        <w:jc w:val="center"/>
      </w:pPr>
      <w:r>
        <w:rPr>
          <w:noProof/>
        </w:rPr>
        <w:drawing>
          <wp:inline distT="0" distB="0" distL="0" distR="0" wp14:anchorId="2D57705A" wp14:editId="127496F7">
            <wp:extent cx="4496382" cy="23283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99736" cy="2330071"/>
                    </a:xfrm>
                    <a:prstGeom prst="rect">
                      <a:avLst/>
                    </a:prstGeom>
                  </pic:spPr>
                </pic:pic>
              </a:graphicData>
            </a:graphic>
          </wp:inline>
        </w:drawing>
      </w:r>
    </w:p>
    <w:p w:rsidR="00005971" w:rsidRDefault="00005971" w:rsidP="00005971">
      <w:pPr>
        <w:pStyle w:val="a3"/>
        <w:spacing w:beforeLines="50" w:before="156"/>
        <w:ind w:left="357" w:firstLineChars="0" w:firstLine="0"/>
        <w:jc w:val="center"/>
      </w:pPr>
      <w:r>
        <w:rPr>
          <w:noProof/>
        </w:rPr>
        <w:drawing>
          <wp:inline distT="0" distB="0" distL="0" distR="0" wp14:anchorId="5AE3E917" wp14:editId="51E5C0D8">
            <wp:extent cx="4385733" cy="2284744"/>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6073" cy="2284921"/>
                    </a:xfrm>
                    <a:prstGeom prst="rect">
                      <a:avLst/>
                    </a:prstGeom>
                  </pic:spPr>
                </pic:pic>
              </a:graphicData>
            </a:graphic>
          </wp:inline>
        </w:drawing>
      </w:r>
    </w:p>
    <w:p w:rsidR="00005971" w:rsidRDefault="00FE6E10" w:rsidP="00005971">
      <w:pPr>
        <w:pStyle w:val="a3"/>
        <w:spacing w:beforeLines="50" w:before="156"/>
        <w:ind w:left="357" w:firstLineChars="0" w:firstLine="0"/>
        <w:jc w:val="center"/>
      </w:pPr>
      <w:r>
        <w:rPr>
          <w:noProof/>
        </w:rPr>
        <w:lastRenderedPageBreak/>
        <w:drawing>
          <wp:inline distT="0" distB="0" distL="0" distR="0" wp14:anchorId="02199CF1" wp14:editId="1223CD1A">
            <wp:extent cx="4647537" cy="2385627"/>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9824" cy="2386801"/>
                    </a:xfrm>
                    <a:prstGeom prst="rect">
                      <a:avLst/>
                    </a:prstGeom>
                  </pic:spPr>
                </pic:pic>
              </a:graphicData>
            </a:graphic>
          </wp:inline>
        </w:drawing>
      </w:r>
    </w:p>
    <w:p w:rsidR="00005971" w:rsidRDefault="00005971" w:rsidP="008009D9">
      <w:pPr>
        <w:pStyle w:val="a3"/>
        <w:spacing w:beforeLines="50" w:before="156"/>
        <w:ind w:left="357" w:firstLineChars="0" w:firstLine="0"/>
      </w:pPr>
      <w:r>
        <w:rPr>
          <w:rFonts w:hint="eastAsia"/>
        </w:rPr>
        <w:t xml:space="preserve">As we can see from the three figures above, </w:t>
      </w:r>
      <w:r w:rsidR="00FE6E10">
        <w:rPr>
          <w:rFonts w:hint="eastAsia"/>
        </w:rPr>
        <w:t>the convergence rate of Midpoint error is between N^-2 and N^-3. And the Gaussian method is smaller than</w:t>
      </w:r>
      <w:r w:rsidR="008009D9">
        <w:rPr>
          <w:rFonts w:hint="eastAsia"/>
        </w:rPr>
        <w:t xml:space="preserve"> N^-2N.</w:t>
      </w:r>
    </w:p>
    <w:p w:rsidR="00005971" w:rsidRDefault="00005971" w:rsidP="00005971">
      <w:pPr>
        <w:pStyle w:val="a3"/>
        <w:numPr>
          <w:ilvl w:val="0"/>
          <w:numId w:val="2"/>
        </w:numPr>
        <w:spacing w:beforeLines="50" w:before="156"/>
        <w:ind w:firstLineChars="0"/>
      </w:pPr>
      <w:r>
        <w:rPr>
          <w:rFonts w:hint="eastAsia"/>
        </w:rPr>
        <w:t xml:space="preserve">Personally, </w:t>
      </w:r>
      <w:r w:rsidR="00A85AA9">
        <w:rPr>
          <w:rFonts w:hint="eastAsia"/>
        </w:rPr>
        <w:t>I mostly like the Gaussian Method because it is very easy to implement in practice and has an extraordinary performance in approximating the integrals compared to other methods. But we still need to be careful of the variable transformation when applying this method.</w:t>
      </w:r>
    </w:p>
    <w:p w:rsidR="00A85AA9" w:rsidRDefault="00A85AA9" w:rsidP="00A85AA9">
      <w:pPr>
        <w:spacing w:beforeLines="50" w:before="156"/>
      </w:pPr>
    </w:p>
    <w:p w:rsidR="00A85AA9" w:rsidRPr="00A85AA9" w:rsidRDefault="00A85AA9" w:rsidP="00A85AA9">
      <w:pPr>
        <w:rPr>
          <w:b/>
          <w:sz w:val="24"/>
        </w:rPr>
      </w:pPr>
      <w:r w:rsidRPr="00A85AA9">
        <w:rPr>
          <w:rFonts w:hint="eastAsia"/>
          <w:b/>
          <w:sz w:val="24"/>
        </w:rPr>
        <w:t>Problem 2</w:t>
      </w:r>
    </w:p>
    <w:p w:rsidR="00E513E5" w:rsidRDefault="004C16BD" w:rsidP="00116C2E">
      <w:pPr>
        <w:pStyle w:val="a3"/>
        <w:numPr>
          <w:ilvl w:val="0"/>
          <w:numId w:val="3"/>
        </w:numPr>
        <w:spacing w:beforeLines="50" w:before="156"/>
        <w:ind w:firstLineChars="0"/>
      </w:pPr>
      <w:r>
        <w:rPr>
          <w:rFonts w:hint="eastAsia"/>
        </w:rPr>
        <w:t>For the current stock price, I used</w:t>
      </w:r>
      <w:r w:rsidR="00E513E5">
        <w:rPr>
          <w:rFonts w:hint="eastAsia"/>
        </w:rPr>
        <w:t xml:space="preserve"> the close price of SPY500 on January 31th as S0, which </w:t>
      </w:r>
      <w:proofErr w:type="gramStart"/>
      <w:r w:rsidR="00E513E5">
        <w:rPr>
          <w:rFonts w:hint="eastAsia"/>
        </w:rPr>
        <w:t>is</w:t>
      </w:r>
      <w:proofErr w:type="gramEnd"/>
      <w:r w:rsidR="00E513E5">
        <w:rPr>
          <w:rFonts w:hint="eastAsia"/>
        </w:rPr>
        <w:t xml:space="preserve"> 321.73. </w:t>
      </w:r>
      <w:r w:rsidR="001B750D">
        <w:rPr>
          <w:rFonts w:hint="eastAsia"/>
        </w:rPr>
        <w:t xml:space="preserve">Since r is 0, we could assume the mean of St is still S0. </w:t>
      </w:r>
      <w:r w:rsidR="00E513E5">
        <w:rPr>
          <w:rFonts w:hint="eastAsia"/>
        </w:rPr>
        <w:t xml:space="preserve">The price of </w:t>
      </w:r>
      <w:r w:rsidR="00E513E5">
        <w:t>Vanilla Option</w:t>
      </w:r>
      <w:r w:rsidR="00E513E5">
        <w:rPr>
          <w:rFonts w:hint="eastAsia"/>
        </w:rPr>
        <w:t xml:space="preserve"> is</w:t>
      </w:r>
      <w:r w:rsidR="00E513E5" w:rsidRPr="00E513E5">
        <w:t xml:space="preserve"> </w:t>
      </w:r>
      <w:r w:rsidR="00116C2E" w:rsidRPr="00116C2E">
        <w:t>0.0522</w:t>
      </w:r>
      <w:r w:rsidR="00E513E5">
        <w:rPr>
          <w:rFonts w:hint="eastAsia"/>
        </w:rPr>
        <w:t>.</w:t>
      </w:r>
    </w:p>
    <w:p w:rsidR="00E513E5" w:rsidRDefault="00E513E5" w:rsidP="00116C2E">
      <w:pPr>
        <w:pStyle w:val="a3"/>
        <w:numPr>
          <w:ilvl w:val="0"/>
          <w:numId w:val="3"/>
        </w:numPr>
        <w:spacing w:beforeLines="50" w:before="156"/>
        <w:ind w:firstLineChars="0"/>
      </w:pPr>
      <w:r>
        <w:rPr>
          <w:rFonts w:hint="eastAsia"/>
        </w:rPr>
        <w:t xml:space="preserve">The price of contingent option is </w:t>
      </w:r>
      <w:r w:rsidR="00116C2E" w:rsidRPr="00116C2E">
        <w:t>0.02826</w:t>
      </w:r>
      <w:r>
        <w:rPr>
          <w:rFonts w:hint="eastAsia"/>
        </w:rPr>
        <w:t>.</w:t>
      </w:r>
    </w:p>
    <w:p w:rsidR="00E513E5" w:rsidRDefault="00E513E5" w:rsidP="00116C2E">
      <w:pPr>
        <w:pStyle w:val="a3"/>
        <w:numPr>
          <w:ilvl w:val="0"/>
          <w:numId w:val="3"/>
        </w:numPr>
        <w:spacing w:beforeLines="50" w:before="156"/>
        <w:ind w:firstLineChars="0"/>
      </w:pPr>
      <w:r>
        <w:t>When rho is 0.8, Contingent Option Price</w:t>
      </w:r>
      <w:r>
        <w:rPr>
          <w:rFonts w:hint="eastAsia"/>
        </w:rPr>
        <w:t xml:space="preserve"> </w:t>
      </w:r>
      <w:r>
        <w:t xml:space="preserve">is : </w:t>
      </w:r>
      <w:r w:rsidR="00116C2E" w:rsidRPr="00116C2E">
        <w:t>0.0395</w:t>
      </w:r>
    </w:p>
    <w:p w:rsidR="00E513E5" w:rsidRDefault="00E513E5" w:rsidP="00E513E5">
      <w:pPr>
        <w:pStyle w:val="a3"/>
        <w:ind w:left="357" w:firstLineChars="0" w:firstLine="0"/>
      </w:pPr>
      <w:r>
        <w:t>When rho is 0.5, Contingent Option Price</w:t>
      </w:r>
      <w:r>
        <w:rPr>
          <w:rFonts w:hint="eastAsia"/>
        </w:rPr>
        <w:t xml:space="preserve"> </w:t>
      </w:r>
      <w:proofErr w:type="gramStart"/>
      <w:r>
        <w:t>is :</w:t>
      </w:r>
      <w:proofErr w:type="gramEnd"/>
      <w:r>
        <w:t xml:space="preserve"> </w:t>
      </w:r>
      <w:r w:rsidR="00116C2E" w:rsidRPr="00116C2E">
        <w:t>0.0490</w:t>
      </w:r>
    </w:p>
    <w:p w:rsidR="00E513E5" w:rsidRDefault="00E513E5" w:rsidP="00E513E5">
      <w:pPr>
        <w:pStyle w:val="a3"/>
        <w:ind w:left="357" w:firstLineChars="0" w:firstLine="0"/>
      </w:pPr>
      <w:r>
        <w:t>When rho is 0.2, Contingent Option Price</w:t>
      </w:r>
      <w:r>
        <w:rPr>
          <w:rFonts w:hint="eastAsia"/>
        </w:rPr>
        <w:t xml:space="preserve"> </w:t>
      </w:r>
      <w:proofErr w:type="gramStart"/>
      <w:r>
        <w:t>is :</w:t>
      </w:r>
      <w:proofErr w:type="gramEnd"/>
      <w:r>
        <w:t xml:space="preserve"> </w:t>
      </w:r>
      <w:r w:rsidR="00116C2E" w:rsidRPr="00116C2E">
        <w:t>0.0516</w:t>
      </w:r>
    </w:p>
    <w:p w:rsidR="00E513E5" w:rsidRDefault="00E513E5" w:rsidP="00E513E5">
      <w:pPr>
        <w:pStyle w:val="a3"/>
        <w:numPr>
          <w:ilvl w:val="0"/>
          <w:numId w:val="3"/>
        </w:numPr>
        <w:spacing w:beforeLines="50" w:before="156"/>
        <w:ind w:left="357" w:hangingChars="170" w:hanging="357"/>
      </w:pPr>
      <w:r>
        <w:rPr>
          <w:rFonts w:hint="eastAsia"/>
        </w:rPr>
        <w:t xml:space="preserve">Yes. The correlation indeed matters. When correlation becomes greater, the price of contingent option becomes smaller. </w:t>
      </w:r>
      <w:r>
        <w:t>That</w:t>
      </w:r>
      <w:r>
        <w:rPr>
          <w:rFonts w:hint="eastAsia"/>
        </w:rPr>
        <w:t xml:space="preserve"> is because both the prices in 6 months and 1 year woul</w:t>
      </w:r>
      <w:r w:rsidR="008E5EB3">
        <w:rPr>
          <w:rFonts w:hint="eastAsia"/>
        </w:rPr>
        <w:t>d become higher or lower than 365</w:t>
      </w:r>
      <w:r>
        <w:rPr>
          <w:rFonts w:hint="eastAsia"/>
        </w:rPr>
        <w:t xml:space="preserve"> when the correlation increases. Both cases would decrease the value of the option.</w:t>
      </w:r>
    </w:p>
    <w:p w:rsidR="00E513E5" w:rsidRDefault="008E5EB3" w:rsidP="00116C2E">
      <w:pPr>
        <w:pStyle w:val="a3"/>
        <w:numPr>
          <w:ilvl w:val="0"/>
          <w:numId w:val="3"/>
        </w:numPr>
        <w:spacing w:beforeLines="50" w:before="156"/>
        <w:ind w:firstLineChars="0"/>
      </w:pPr>
      <w:r>
        <w:t>When K2 is 36</w:t>
      </w:r>
      <w:r w:rsidR="00E513E5">
        <w:t>0, Contingent Option Price</w:t>
      </w:r>
      <w:r w:rsidR="00E513E5">
        <w:rPr>
          <w:rFonts w:hint="eastAsia"/>
        </w:rPr>
        <w:t xml:space="preserve"> </w:t>
      </w:r>
      <w:r w:rsidR="00E513E5">
        <w:t xml:space="preserve">is : </w:t>
      </w:r>
      <w:r w:rsidR="00116C2E" w:rsidRPr="00116C2E">
        <w:t>0.0136</w:t>
      </w:r>
    </w:p>
    <w:p w:rsidR="00E513E5" w:rsidRDefault="008E5EB3" w:rsidP="00E513E5">
      <w:pPr>
        <w:pStyle w:val="a3"/>
        <w:ind w:left="360" w:firstLineChars="0" w:firstLine="0"/>
      </w:pPr>
      <w:r>
        <w:t>When K2 is 35</w:t>
      </w:r>
      <w:r w:rsidR="00E513E5">
        <w:t>0, Contingent Option Price</w:t>
      </w:r>
      <w:r w:rsidR="00E513E5">
        <w:rPr>
          <w:rFonts w:hint="eastAsia"/>
        </w:rPr>
        <w:t xml:space="preserve"> </w:t>
      </w:r>
      <w:proofErr w:type="gramStart"/>
      <w:r w:rsidR="00E513E5">
        <w:t>is :</w:t>
      </w:r>
      <w:proofErr w:type="gramEnd"/>
      <w:r w:rsidR="00E513E5">
        <w:t xml:space="preserve"> </w:t>
      </w:r>
      <w:r w:rsidR="00116C2E" w:rsidRPr="00116C2E">
        <w:t>0.0004</w:t>
      </w:r>
    </w:p>
    <w:p w:rsidR="00A85AA9" w:rsidRDefault="008E5EB3" w:rsidP="00E513E5">
      <w:pPr>
        <w:pStyle w:val="a3"/>
        <w:ind w:left="360" w:firstLineChars="0" w:firstLine="0"/>
      </w:pPr>
      <w:r>
        <w:t>When K2 is 34</w:t>
      </w:r>
      <w:r w:rsidR="00E513E5">
        <w:t>0, Contingent Option Price</w:t>
      </w:r>
      <w:r w:rsidR="00E513E5">
        <w:rPr>
          <w:rFonts w:hint="eastAsia"/>
        </w:rPr>
        <w:t xml:space="preserve"> </w:t>
      </w:r>
      <w:proofErr w:type="gramStart"/>
      <w:r w:rsidR="00E513E5">
        <w:t>is :</w:t>
      </w:r>
      <w:proofErr w:type="gramEnd"/>
      <w:r w:rsidR="00E513E5">
        <w:t xml:space="preserve"> </w:t>
      </w:r>
      <w:r w:rsidR="00116C2E" w:rsidRPr="00116C2E">
        <w:t>5.8545</w:t>
      </w:r>
      <w:r w:rsidR="00116C2E">
        <w:t>e-</w:t>
      </w:r>
      <w:r w:rsidR="00116C2E">
        <w:rPr>
          <w:rFonts w:hint="eastAsia"/>
        </w:rPr>
        <w:t>7</w:t>
      </w:r>
    </w:p>
    <w:p w:rsidR="00E513E5" w:rsidRDefault="00E513E5" w:rsidP="00366B03">
      <w:pPr>
        <w:pStyle w:val="a3"/>
        <w:numPr>
          <w:ilvl w:val="0"/>
          <w:numId w:val="3"/>
        </w:numPr>
        <w:spacing w:beforeLines="50" w:before="156"/>
        <w:ind w:left="357" w:hangingChars="170" w:hanging="357"/>
      </w:pPr>
      <w:r>
        <w:rPr>
          <w:rFonts w:hint="eastAsia"/>
        </w:rPr>
        <w:t>Yes. The strike price of the option expiring in 6 months also matters. W</w:t>
      </w:r>
      <w:r>
        <w:t>h</w:t>
      </w:r>
      <w:r>
        <w:rPr>
          <w:rFonts w:hint="eastAsia"/>
        </w:rPr>
        <w:t>en K2 increases, the option price increases too. That is because the price is more likely to be lower than the threshold when the stri</w:t>
      </w:r>
      <w:r w:rsidR="00EE2A8C">
        <w:rPr>
          <w:rFonts w:hint="eastAsia"/>
        </w:rPr>
        <w:t>k</w:t>
      </w:r>
      <w:r>
        <w:rPr>
          <w:rFonts w:hint="eastAsia"/>
        </w:rPr>
        <w:t>e price becomes bigger.</w:t>
      </w:r>
    </w:p>
    <w:p w:rsidR="00EE2A8C" w:rsidRPr="007F2084" w:rsidRDefault="00FE6E10" w:rsidP="001427B6">
      <w:pPr>
        <w:pStyle w:val="a3"/>
        <w:numPr>
          <w:ilvl w:val="0"/>
          <w:numId w:val="3"/>
        </w:numPr>
        <w:spacing w:beforeLines="50" w:before="156"/>
        <w:ind w:left="357" w:hangingChars="170" w:hanging="357"/>
      </w:pPr>
      <w:r>
        <w:rPr>
          <w:rFonts w:hint="eastAsia"/>
        </w:rPr>
        <w:t xml:space="preserve">When K2 becomes infinity, and correlation is 0, the price of contingent option would be the </w:t>
      </w:r>
      <w:r>
        <w:rPr>
          <w:rFonts w:hint="eastAsia"/>
        </w:rPr>
        <w:lastRenderedPageBreak/>
        <w:t>same as vanilla option.</w:t>
      </w:r>
    </w:p>
    <w:sectPr w:rsidR="00EE2A8C" w:rsidRPr="007F2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10450"/>
    <w:multiLevelType w:val="hybridMultilevel"/>
    <w:tmpl w:val="60369660"/>
    <w:lvl w:ilvl="0" w:tplc="6D1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257E7B"/>
    <w:multiLevelType w:val="hybridMultilevel"/>
    <w:tmpl w:val="A2B0C506"/>
    <w:lvl w:ilvl="0" w:tplc="1E307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126F2B"/>
    <w:multiLevelType w:val="hybridMultilevel"/>
    <w:tmpl w:val="6194F5BE"/>
    <w:lvl w:ilvl="0" w:tplc="625CBD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245"/>
    <w:rsid w:val="00005971"/>
    <w:rsid w:val="00091245"/>
    <w:rsid w:val="00116C2E"/>
    <w:rsid w:val="001427B6"/>
    <w:rsid w:val="00152F38"/>
    <w:rsid w:val="001B750D"/>
    <w:rsid w:val="002504BF"/>
    <w:rsid w:val="00366B03"/>
    <w:rsid w:val="004C16BD"/>
    <w:rsid w:val="005B509F"/>
    <w:rsid w:val="005E2414"/>
    <w:rsid w:val="007F2084"/>
    <w:rsid w:val="008009D9"/>
    <w:rsid w:val="008E5EB3"/>
    <w:rsid w:val="00A64EC3"/>
    <w:rsid w:val="00A85AA9"/>
    <w:rsid w:val="00E513E5"/>
    <w:rsid w:val="00EE2A8C"/>
    <w:rsid w:val="00F2678A"/>
    <w:rsid w:val="00FE6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0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084"/>
    <w:pPr>
      <w:ind w:firstLineChars="200" w:firstLine="420"/>
    </w:pPr>
  </w:style>
  <w:style w:type="table" w:styleId="a4">
    <w:name w:val="Table Grid"/>
    <w:basedOn w:val="a1"/>
    <w:uiPriority w:val="59"/>
    <w:rsid w:val="007F20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05971"/>
    <w:rPr>
      <w:sz w:val="18"/>
      <w:szCs w:val="18"/>
    </w:rPr>
  </w:style>
  <w:style w:type="character" w:customStyle="1" w:styleId="Char">
    <w:name w:val="批注框文本 Char"/>
    <w:basedOn w:val="a0"/>
    <w:link w:val="a5"/>
    <w:uiPriority w:val="99"/>
    <w:semiHidden/>
    <w:rsid w:val="000059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0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084"/>
    <w:pPr>
      <w:ind w:firstLineChars="200" w:firstLine="420"/>
    </w:pPr>
  </w:style>
  <w:style w:type="table" w:styleId="a4">
    <w:name w:val="Table Grid"/>
    <w:basedOn w:val="a1"/>
    <w:uiPriority w:val="59"/>
    <w:rsid w:val="007F20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05971"/>
    <w:rPr>
      <w:sz w:val="18"/>
      <w:szCs w:val="18"/>
    </w:rPr>
  </w:style>
  <w:style w:type="character" w:customStyle="1" w:styleId="Char">
    <w:name w:val="批注框文本 Char"/>
    <w:basedOn w:val="a0"/>
    <w:link w:val="a5"/>
    <w:uiPriority w:val="99"/>
    <w:semiHidden/>
    <w:rsid w:val="000059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yguo@b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1</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郭新宇</dc:creator>
  <cp:lastModifiedBy>郭新宇</cp:lastModifiedBy>
  <cp:revision>14</cp:revision>
  <cp:lastPrinted>2020-02-04T20:38:00Z</cp:lastPrinted>
  <dcterms:created xsi:type="dcterms:W3CDTF">2020-02-03T17:30:00Z</dcterms:created>
  <dcterms:modified xsi:type="dcterms:W3CDTF">2020-02-04T21:39:00Z</dcterms:modified>
</cp:coreProperties>
</file>