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rFonts w:ascii="Arial" w:hAnsi="Arial" w:eastAsia="PingFang SC"/>
          <w:b/>
        </w:rPr>
        <w:t>BV 光伏结构设计审核岗位作品证明</w:t>
      </w:r>
    </w:p>
    <w:p>
      <w:pPr>
        <w:spacing w:after="160"/>
        <w:jc w:val="center"/>
      </w:pPr>
      <w:r>
        <w:rPr>
          <w:rFonts w:ascii="Arial" w:hAnsi="Arial" w:eastAsia="PingFang SC"/>
          <w:color w:val="5C6874"/>
          <w:sz w:val="19"/>
        </w:rPr>
        <w:t>把结构审核职责、证据追溯和确定性筛查产品化的一页证明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2232"/>
        <w:gridCol w:w="3024"/>
        <w:gridCol w:w="4464"/>
      </w:tblGrid>
      <w:tr>
        <w:tc>
          <w:tcPr>
            <w:tcW w:type="dxa" w:w="3317"/>
            <w:vAlign w:val="center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 w:eastAsia="PingFang SC"/>
                <w:b/>
                <w:color w:val="364F68"/>
                <w:sz w:val="16"/>
              </w:rPr>
              <w:t>姓名</w:t>
            </w:r>
          </w:p>
          <w:p>
            <w:pPr>
              <w:spacing w:before="0" w:after="0"/>
            </w:pPr>
            <w:r>
              <w:rPr>
                <w:rFonts w:ascii="Arial" w:hAnsi="Arial" w:eastAsia="PingFang SC"/>
                <w:sz w:val="16"/>
              </w:rPr>
              <w:t>候选人信息待替换</w:t>
            </w:r>
          </w:p>
        </w:tc>
        <w:tc>
          <w:tcPr>
            <w:tcW w:type="dxa" w:w="3317"/>
            <w:vAlign w:val="center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 w:eastAsia="PingFang SC"/>
                <w:b/>
                <w:color w:val="364F68"/>
                <w:sz w:val="16"/>
              </w:rPr>
              <w:t>目标岗位</w:t>
            </w:r>
          </w:p>
          <w:p>
            <w:pPr>
              <w:spacing w:before="0" w:after="0"/>
            </w:pPr>
            <w:r>
              <w:rPr>
                <w:rFonts w:ascii="Arial" w:hAnsi="Arial" w:eastAsia="PingFang SC"/>
                <w:sz w:val="16"/>
              </w:rPr>
              <w:t>BV 光伏结构设计审核岗位</w:t>
            </w:r>
          </w:p>
        </w:tc>
        <w:tc>
          <w:tcPr>
            <w:tcW w:type="dxa" w:w="3317"/>
            <w:vAlign w:val="center"/>
            <w:shd w:fill="F4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after="20"/>
            </w:pPr>
            <w:r>
              <w:rPr>
                <w:rFonts w:ascii="Arial" w:hAnsi="Arial" w:eastAsia="PingFang SC"/>
                <w:b/>
                <w:color w:val="364F68"/>
                <w:sz w:val="16"/>
              </w:rPr>
              <w:t>公开链接</w:t>
            </w:r>
          </w:p>
          <w:p>
            <w:pPr>
              <w:spacing w:before="0" w:after="0"/>
            </w:pPr>
            <w:r>
              <w:rPr>
                <w:rFonts w:ascii="Arial" w:hAnsi="Arial" w:eastAsia="PingFang SC"/>
                <w:sz w:val="16"/>
              </w:rPr>
              <w:t>marvelx.github.io/.../job-application/</w:t>
            </w:r>
          </w:p>
        </w:tc>
      </w:tr>
    </w:tbl>
    <w:p>
      <w:pPr>
        <w:spacing w:after="40"/>
      </w:pPr>
      <w:r/>
    </w:p>
    <w:p>
      <w:pPr>
        <w:pStyle w:val="Heading1"/>
        <w:spacing w:before="120" w:after="60"/>
      </w:pPr>
      <w:r>
        <w:t>Section 1 · 为什么我适合这个岗位</w:t>
      </w:r>
    </w:p>
    <w:p>
      <w:pPr>
        <w:pStyle w:val="ListBullet"/>
        <w:spacing w:after="40" w:line="252" w:lineRule="auto"/>
        <w:ind w:left="259" w:hanging="187"/>
      </w:pPr>
      <w:r>
        <w:rPr>
          <w:rFonts w:ascii="Arial" w:hAnsi="Arial" w:eastAsia="PingFang SC"/>
          <w:sz w:val="18"/>
        </w:rPr>
        <w:t>独立审核图纸、计算书、技术规格书，并把 scope、缺口与补资动作前置。</w:t>
      </w:r>
    </w:p>
    <w:p>
      <w:pPr>
        <w:pStyle w:val="ListBullet"/>
        <w:spacing w:after="40" w:line="252" w:lineRule="auto"/>
        <w:ind w:left="259" w:hanging="187"/>
      </w:pPr>
      <w:r>
        <w:rPr>
          <w:rFonts w:ascii="Arial" w:hAnsi="Arial" w:eastAsia="PingFang SC"/>
          <w:sz w:val="18"/>
        </w:rPr>
        <w:t>能把 GB / IEC / AS/NZS / Eurocode 的规范路径放进同一套结构化审核语境。</w:t>
      </w:r>
    </w:p>
    <w:p>
      <w:pPr>
        <w:pStyle w:val="ListBullet"/>
        <w:spacing w:after="40" w:line="252" w:lineRule="auto"/>
        <w:ind w:left="259" w:hanging="187"/>
      </w:pPr>
      <w:r>
        <w:rPr>
          <w:rFonts w:ascii="Arial" w:hAnsi="Arial" w:eastAsia="PingFang SC"/>
          <w:sz w:val="18"/>
        </w:rPr>
        <w:t>理解审核计划、ITP、risk register 与 design review report 的输出责任。</w:t>
      </w:r>
    </w:p>
    <w:p>
      <w:pPr>
        <w:pStyle w:val="Heading1"/>
        <w:spacing w:before="140" w:after="60"/>
      </w:pPr>
      <w:r>
        <w:t>Section 2 · 我做出的产品证明</w:t>
      </w:r>
    </w:p>
    <w:p>
      <w:pPr>
        <w:spacing w:after="80" w:line="259" w:lineRule="auto"/>
      </w:pPr>
      <w:r>
        <w:rPr>
          <w:rFonts w:ascii="Arial" w:hAnsi="Arial" w:eastAsia="PingFang SC"/>
          <w:sz w:val="18"/>
        </w:rPr>
        <w:t>我没有把岗位理解停留在口头描述，而是已经把审核入口、结论视图、依据追溯和报告导出做成了可展示的工作台。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6DEE6"/>
          <w:left w:val="single" w:sz="6" w:space="0" w:color="D6DEE6"/>
          <w:bottom w:val="single" w:sz="6" w:space="0" w:color="D6DEE6"/>
          <w:right w:val="single" w:sz="6" w:space="0" w:color="D6DEE6"/>
          <w:insideH w:val="single" w:sz="6" w:space="0" w:color="D6DEE6"/>
          <w:insideV w:val="single" w:sz="6" w:space="0" w:color="D6DEE6"/>
        </w:tblBorders>
      </w:tblPr>
      <w:tblGrid>
        <w:gridCol w:w="4320"/>
        <w:gridCol w:w="4320"/>
      </w:tblGrid>
      <w:tr>
        <w:tc>
          <w:tcPr>
            <w:tcW w:type="dxa" w:w="49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05456" cy="200436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v-review-overview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56" cy="2004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eastAsia="PingFang SC"/>
                <w:color w:val="4E5B67"/>
                <w:sz w:val="16"/>
              </w:rPr>
              <w:t>BV 审核总览：把审核准备、风险与 ITP 放到同一界面。</w:t>
            </w:r>
          </w:p>
        </w:tc>
        <w:tc>
          <w:tcPr>
            <w:tcW w:type="dxa" w:w="4975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05456" cy="200436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sis-traceability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56" cy="20043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 w:eastAsia="PingFang SC"/>
                <w:color w:val="4E5B67"/>
                <w:sz w:val="16"/>
              </w:rPr>
              <w:t>依据与追溯：把输入、规则与结论关系显性化。</w:t>
            </w:r>
          </w:p>
        </w:tc>
      </w:tr>
      <w:tr>
        <w:tc>
          <w:tcPr>
            <w:tcW w:type="dxa" w:w="4975"/>
            <w:shd w:fill="F8FAFC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24425E"/>
                <w:sz w:val="17"/>
              </w:rPr>
              <w:t>产品模块：BV 审核总览 / 评估结论</w:t>
            </w:r>
          </w:p>
        </w:tc>
        <w:tc>
          <w:tcPr>
            <w:tcW w:type="dxa" w:w="4975"/>
            <w:shd w:fill="F8FAFC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spacing w:after="0"/>
            </w:pPr>
            <w:r>
              <w:rPr>
                <w:rFonts w:ascii="Arial" w:hAnsi="Arial" w:eastAsia="PingFang SC"/>
                <w:b/>
                <w:color w:val="24425E"/>
                <w:sz w:val="17"/>
              </w:rPr>
              <w:t>产品模块：依据与追溯 / 报告导出</w:t>
            </w:r>
          </w:p>
        </w:tc>
      </w:tr>
    </w:tbl>
    <w:p>
      <w:pPr>
        <w:pStyle w:val="Heading1"/>
        <w:spacing w:before="140" w:after="60"/>
      </w:pPr>
      <w:r>
        <w:t>Section 3 · 当前边界与判断</w:t>
      </w:r>
    </w:p>
    <w:p>
      <w:pPr>
        <w:pStyle w:val="ListBullet"/>
        <w:spacing w:after="40" w:line="252" w:lineRule="auto"/>
        <w:ind w:left="259" w:hanging="187"/>
      </w:pPr>
      <w:r>
        <w:rPr>
          <w:rFonts w:ascii="Arial" w:hAnsi="Arial" w:eastAsia="PingFang SC"/>
          <w:color w:val="434A52"/>
          <w:sz w:val="18"/>
        </w:rPr>
        <w:t>当前定位明确限定在 screening / review-support level，不冒充正式设计或签章复核。</w:t>
      </w:r>
    </w:p>
    <w:p>
      <w:pPr>
        <w:pStyle w:val="ListBullet"/>
        <w:spacing w:after="40" w:line="252" w:lineRule="auto"/>
        <w:ind w:left="259" w:hanging="187"/>
      </w:pPr>
      <w:r>
        <w:rPr>
          <w:rFonts w:ascii="Arial" w:hAnsi="Arial" w:eastAsia="PingFang SC"/>
          <w:color w:val="434A52"/>
          <w:sz w:val="18"/>
        </w:rPr>
        <w:t>首个技术模块聚焦门刚屋面增载场景，优先证明审核逻辑的可追溯性和工程边界。</w:t>
      </w:r>
    </w:p>
    <w:p>
      <w:pPr>
        <w:pStyle w:val="ListBullet"/>
        <w:spacing w:after="40" w:line="252" w:lineRule="auto"/>
        <w:ind w:left="259" w:hanging="187"/>
      </w:pPr>
      <w:r>
        <w:rPr>
          <w:rFonts w:ascii="Arial" w:hAnsi="Arial" w:eastAsia="PingFang SC"/>
          <w:color w:val="434A52"/>
          <w:sz w:val="18"/>
        </w:rPr>
        <w:t>下一步补强方向已经明确：质量体系流转、项目协同、外部软件接口。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6DEE6"/>
          <w:left w:val="single" w:sz="8" w:space="0" w:color="D6DEE6"/>
          <w:bottom w:val="single" w:sz="8" w:space="0" w:color="D6DEE6"/>
          <w:right w:val="single" w:sz="8" w:space="0" w:color="D6DEE6"/>
          <w:insideH w:val="single" w:sz="8" w:space="0" w:color="D6DEE6"/>
          <w:insideV w:val="single" w:sz="8" w:space="0" w:color="D6DEE6"/>
        </w:tblBorders>
      </w:tblPr>
      <w:tblGrid>
        <w:gridCol w:w="2376"/>
        <w:gridCol w:w="2376"/>
        <w:gridCol w:w="2232"/>
        <w:gridCol w:w="1944"/>
      </w:tblGrid>
      <w:tr>
        <w:tc>
          <w:tcPr>
            <w:tcW w:type="dxa" w:w="2488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/>
                <w:color w:val="364F68"/>
                <w:sz w:val="16"/>
              </w:rPr>
              <w:t>GitHub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PingFang SC"/>
                <w:sz w:val="15"/>
              </w:rPr>
              <w:t>github.com/MarvelX/Structural-screening-agent</w:t>
            </w:r>
          </w:p>
        </w:tc>
        <w:tc>
          <w:tcPr>
            <w:tcW w:type="dxa" w:w="2488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/>
                <w:color w:val="364F68"/>
                <w:sz w:val="16"/>
              </w:rPr>
              <w:t>Demo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PingFang SC"/>
                <w:sz w:val="15"/>
              </w:rPr>
              <w:t>marvelx.github.io/.../job-application/</w:t>
            </w:r>
          </w:p>
        </w:tc>
        <w:tc>
          <w:tcPr>
            <w:tcW w:type="dxa" w:w="2488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/>
                <w:color w:val="364F68"/>
                <w:sz w:val="16"/>
              </w:rPr>
              <w:t>邮箱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PingFang SC"/>
                <w:sz w:val="15"/>
              </w:rPr>
              <w:t>待替换</w:t>
            </w:r>
          </w:p>
        </w:tc>
        <w:tc>
          <w:tcPr>
            <w:tcW w:type="dxa" w:w="2488"/>
            <w:shd w:fill="F4F7FA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PingFang SC"/>
                <w:b/>
                <w:color w:val="364F68"/>
                <w:sz w:val="16"/>
              </w:rPr>
              <w:t>电话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PingFang SC"/>
                <w:sz w:val="15"/>
              </w:rPr>
              <w:t>待替换</w:t>
            </w:r>
          </w:p>
        </w:tc>
      </w:tr>
    </w:tbl>
    <w:sectPr w:rsidR="00FC693F" w:rsidRPr="0006063C" w:rsidSect="00034616">
      <w:pgSz w:w="11909" w:h="16834"/>
      <w:pgMar w:top="936" w:right="979" w:bottom="792" w:left="979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PingFang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14395D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3B5976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PingFang SC"/>
      <w:color w:val="14395D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