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b/>
          <w:bCs/>
          <w:color w:val="888888"/>
          <w:sz w:val="24"/>
          <w:szCs w:val="24"/>
        </w:rPr>
        <w:t xml:space="preserve">PRODUCT REQUIREMENTS DOCUMENT</w:t>
      </w:r>
    </w:p>
    <w:p>
      <w:pPr>
        <w:spacing w:after="0" w:before="0"/>
      </w:pPr>
      <w:r>
        <w:t xml:space="preserve"/>
      </w:r>
    </w:p>
    <w:p>
      <w:pPr>
        <w:spacing w:after="120" w:before="0"/>
        <w:jc w:val="center"/>
      </w:pPr>
      <w:r>
        <w:rPr>
          <w:rFonts w:ascii="Arial" w:cs="Arial" w:eastAsia="Arial" w:hAnsi="Arial"/>
          <w:b/>
          <w:bCs/>
          <w:color w:val="1F3864"/>
          <w:sz w:val="56"/>
          <w:szCs w:val="56"/>
        </w:rPr>
        <w:t xml:space="preserve">Real-Time Fraud Detection System</w:t>
      </w:r>
    </w:p>
    <w:p>
      <w:pPr>
        <w:spacing w:after="120" w:before="0"/>
        <w:jc w:val="center"/>
      </w:pPr>
      <w:r>
        <w:rPr>
          <w:rFonts w:ascii="Arial" w:cs="Arial" w:eastAsia="Arial" w:hAnsi="Arial"/>
          <w:b/>
          <w:bCs/>
          <w:color w:val="1F3864"/>
          <w:sz w:val="56"/>
          <w:szCs w:val="56"/>
        </w:rPr>
        <w:t xml:space="preserve">AI-Enhanced Engine</w:t>
      </w:r>
    </w:p>
    <w:p>
      <w:pPr>
        <w:spacing w:after="0" w:before="0"/>
      </w:pPr>
      <w:r>
        <w:t xml:space="preserve"/>
      </w:r>
    </w:p>
    <w:p>
      <w:pPr>
        <w:spacing w:after="60" w:before="60"/>
        <w:jc w:val="center"/>
      </w:pPr>
      <w:r>
        <w:rPr>
          <w:rFonts w:ascii="Arial" w:cs="Arial" w:eastAsia="Arial" w:hAnsi="Arial"/>
          <w:color w:val="444444"/>
          <w:sz w:val="28"/>
          <w:szCs w:val="28"/>
        </w:rPr>
        <w:t xml:space="preserve">Version 1.2  |  AI Infrastructure &amp; Intelligence Integration Update</w:t>
      </w:r>
    </w:p>
    <w:p>
      <w:pPr>
        <w:spacing w:after="60" w:before="60"/>
        <w:jc w:val="center"/>
      </w:pPr>
      <w:r>
        <w:rPr>
          <w:rFonts w:ascii="Arial" w:cs="Arial" w:eastAsia="Arial" w:hAnsi="Arial"/>
          <w:color w:val="444444"/>
          <w:sz w:val="28"/>
          <w:szCs w:val="28"/>
        </w:rPr>
        <w:t xml:space="preserve">Status: Approved / Ready for Implementation  |  June 2026</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Balogun Ezekiel Oluwatosin | Mmesoma Stella Nzeribe | Remigius (Ugochukwu) Mgbeme</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Confidential / Internal Engineering</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NestJS, BullMQ, Socket.io, Apache Kafka, Redis, PostgreSQL + PostGIS, Ahnlich AI Vector Search Engine, OpenAI GPT-4o-mini</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 (API + Redis), Supabase (Database + PostGIS), Netlify (Frontend), Ahnlich Cloud (Vector Store)</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Throughput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 to 10,000 transactions per batch ingest; streaming at scale via Kafka partition blocks</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Latency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Sub-100ms fraud decision path per transaction (hybrid rule + vector evaluation)</w:t>
            </w:r>
          </w:p>
        </w:tc>
      </w:tr>
    </w:tbl>
    <w:p>
      <w:r>
        <w:br w:type="page"/>
      </w:r>
    </w:p>
    <w:p>
      <w:pPr>
        <w:pStyle w:val="Heading1"/>
        <w:pBdr>
          <w:bottom w:val="single" w:color="2E75B6" w:sz="6" w:space="1"/>
        </w:pBdr>
        <w:spacing w:after="120" w:before="300"/>
      </w:pPr>
      <w:r>
        <w:rPr>
          <w:rFonts w:ascii="Arial" w:cs="Arial" w:eastAsia="Arial" w:hAnsi="Arial"/>
          <w:b/>
          <w:bCs/>
          <w:color w:val="1F3864"/>
          <w:sz w:val="32"/>
          <w:szCs w:val="32"/>
        </w:rPr>
        <w:t xml:space="preserve">1. Executive Summary</w:t>
      </w:r>
    </w:p>
    <w:p>
      <w:pPr>
        <w:spacing w:after="60" w:before="60"/>
      </w:pPr>
      <w:r>
        <w:rPr>
          <w:rFonts w:ascii="Arial" w:cs="Arial" w:eastAsia="Arial" w:hAnsi="Arial"/>
          <w:b w:val="false"/>
          <w:bCs w:val="false"/>
          <w:color w:val="222222"/>
          <w:sz w:val="20"/>
          <w:szCs w:val="20"/>
        </w:rPr>
        <w:t xml:space="preserve">The Fraud Detection System is a high-throughput, real-time transaction monitoring platform designed to analyze financial activity asynchronously and instantly alert on fraudulent operations. Version 1.2 upgrades the platform from a purely deterministic, threshold-driven engine into an Intelligent Risk Intelligence Platform.</w:t>
      </w:r>
    </w:p>
    <w:p>
      <w:pPr>
        <w:spacing w:after="60" w:before="60"/>
      </w:pPr>
      <w:r>
        <w:rPr>
          <w:rFonts w:ascii="Arial" w:cs="Arial" w:eastAsia="Arial" w:hAnsi="Arial"/>
          <w:b w:val="false"/>
          <w:bCs w:val="false"/>
          <w:color w:val="222222"/>
          <w:sz w:val="20"/>
          <w:szCs w:val="20"/>
        </w:rPr>
        <w:t xml:space="preserve">By leveraging Ahnlich as the official AI Infrastructure Partner, the engine executes three traditional parallel deterministic checks alongside a high-speed sub-millisecond AI Vector Similarity search lookup. This unified execution path achieves hybrid risk scoring without breaching the strict p99 sub-100ms processing latency targets.</w:t>
      </w:r>
    </w:p>
    <w:p>
      <w:pPr>
        <w:spacing w:after="60" w:before="60"/>
      </w:pPr>
      <w:r>
        <w:rPr>
          <w:rFonts w:ascii="Arial" w:cs="Arial" w:eastAsia="Arial" w:hAnsi="Arial"/>
          <w:b w:val="false"/>
          <w:bCs w:val="false"/>
          <w:color w:val="222222"/>
          <w:sz w:val="20"/>
          <w:szCs w:val="20"/>
        </w:rPr>
        <w:t xml:space="preserve">v1.2 introduces two key additions over v1.1: (1) a resolved LLM provider strategy using OpenAI GPT-4o-mini for the asynchronous AI Analyst Worker, and (2) a fully specified offline mock strategy enabling local development without live Ahnlich infrastructure access.</w:t>
      </w:r>
    </w:p>
    <w:p>
      <w:pPr>
        <w:spacing w:after="0" w:before="0"/>
      </w:pPr>
      <w:r>
        <w:t xml:space="preserve"/>
      </w:r>
    </w:p>
    <w:p>
      <w:pPr>
        <w:pStyle w:val="Heading1"/>
        <w:pBdr>
          <w:bottom w:val="single" w:color="2E75B6" w:sz="6" w:space="1"/>
        </w:pBdr>
        <w:spacing w:after="120" w:before="300"/>
      </w:pPr>
      <w:r>
        <w:rPr>
          <w:rFonts w:ascii="Arial" w:cs="Arial" w:eastAsia="Arial" w:hAnsi="Arial"/>
          <w:b/>
          <w:bCs/>
          <w:color w:val="1F3864"/>
          <w:sz w:val="32"/>
          <w:szCs w:val="32"/>
        </w:rPr>
        <w:t xml:space="preserve">2. Problem Statement</w:t>
      </w:r>
    </w:p>
    <w:p>
      <w:pPr>
        <w:pStyle w:val="Heading2"/>
        <w:spacing w:after="80" w:before="240"/>
      </w:pPr>
      <w:r>
        <w:rPr>
          <w:rFonts w:ascii="Arial" w:cs="Arial" w:eastAsia="Arial" w:hAnsi="Arial"/>
          <w:b/>
          <w:bCs/>
          <w:color w:val="2E75B6"/>
          <w:sz w:val="26"/>
          <w:szCs w:val="26"/>
        </w:rPr>
        <w:t xml:space="preserve">2.1 Business Problem</w:t>
      </w:r>
    </w:p>
    <w:p>
      <w:pPr>
        <w:spacing w:after="60" w:before="60"/>
      </w:pPr>
      <w:r>
        <w:rPr>
          <w:rFonts w:ascii="Arial" w:cs="Arial" w:eastAsia="Arial" w:hAnsi="Arial"/>
          <w:b w:val="false"/>
          <w:bCs w:val="false"/>
          <w:color w:val="222222"/>
          <w:sz w:val="20"/>
          <w:szCs w:val="20"/>
        </w:rPr>
        <w:t xml:space="preserve">Financial fraud vectors mutate rapidly. Standard hard-coded thresholds capture obvious velocity breaches, but sophisticated threat rings exploit gaps by operating just below mathematical limits. Traditional machine learning solutions introduce immense compute overhead, destroying the ability to reject or flag transactions instantly.</w:t>
      </w:r>
    </w:p>
    <w:p>
      <w:pPr>
        <w:spacing w:after="60" w:before="60"/>
      </w:pPr>
      <w:r>
        <w:rPr>
          <w:rFonts w:ascii="Arial" w:cs="Arial" w:eastAsia="Arial" w:hAnsi="Arial"/>
          <w:b w:val="false"/>
          <w:bCs w:val="false"/>
          <w:color w:val="222222"/>
          <w:sz w:val="20"/>
          <w:szCs w:val="20"/>
        </w:rPr>
        <w:t xml:space="preserve">Industry data indicates that real-time fraud detection failures result in an estimated 5-15% increase in chargeback losses per quarter for mid-to-large financial platforms. There is a critical requirement for a high-performance framework that couples immediate deterministic constraints with contextual, low-latency semantic similarity patterns.</w:t>
      </w:r>
    </w:p>
    <w:p>
      <w:pPr>
        <w:spacing w:after="0" w:before="0"/>
      </w:pPr>
      <w:r>
        <w:t xml:space="preserve"/>
      </w:r>
    </w:p>
    <w:p>
      <w:pPr>
        <w:pStyle w:val="Heading2"/>
        <w:spacing w:after="80" w:before="240"/>
      </w:pPr>
      <w:r>
        <w:rPr>
          <w:rFonts w:ascii="Arial" w:cs="Arial" w:eastAsia="Arial" w:hAnsi="Arial"/>
          <w:b/>
          <w:bCs/>
          <w:color w:val="2E75B6"/>
          <w:sz w:val="26"/>
          <w:szCs w:val="26"/>
        </w:rPr>
        <w:t xml:space="preserve">2.2 Key Challenges Addressed</w:t>
      </w:r>
    </w:p>
    <w:p>
      <w:pPr>
        <w:pStyle w:val="ListParagraph"/>
        <w:numPr>
          <w:ilvl w:val="0"/>
          <w:numId w:val="2"/>
        </w:numPr>
        <w:spacing w:after="40" w:before="40"/>
      </w:pPr>
      <w:r>
        <w:rPr>
          <w:rFonts w:ascii="Arial" w:cs="Arial" w:eastAsia="Arial" w:hAnsi="Arial"/>
          <w:sz w:val="20"/>
          <w:szCs w:val="20"/>
        </w:rPr>
        <w:t xml:space="preserve">High-velocity transaction patterns executing within sub-minute intervals.</w:t>
      </w:r>
    </w:p>
    <w:p>
      <w:pPr>
        <w:pStyle w:val="ListParagraph"/>
        <w:numPr>
          <w:ilvl w:val="0"/>
          <w:numId w:val="2"/>
        </w:numPr>
        <w:spacing w:after="40" w:before="40"/>
      </w:pPr>
      <w:r>
        <w:rPr>
          <w:rFonts w:ascii="Arial" w:cs="Arial" w:eastAsia="Arial" w:hAnsi="Arial"/>
          <w:sz w:val="20"/>
          <w:szCs w:val="20"/>
        </w:rPr>
        <w:t xml:space="preserve">Daily spending limit adjustments signaling rapid account takeover.</w:t>
      </w:r>
    </w:p>
    <w:p>
      <w:pPr>
        <w:pStyle w:val="ListParagraph"/>
        <w:numPr>
          <w:ilvl w:val="0"/>
          <w:numId w:val="2"/>
        </w:numPr>
        <w:spacing w:after="40" w:before="40"/>
      </w:pPr>
      <w:r>
        <w:rPr>
          <w:rFonts w:ascii="Arial" w:cs="Arial" w:eastAsia="Arial" w:hAnsi="Arial"/>
          <w:sz w:val="20"/>
          <w:szCs w:val="20"/>
        </w:rPr>
        <w:t xml:space="preserve">Geographically impossible space-time intervals (impossible geo-velocity travel).</w:t>
      </w:r>
    </w:p>
    <w:p>
      <w:pPr>
        <w:pStyle w:val="ListParagraph"/>
        <w:numPr>
          <w:ilvl w:val="0"/>
          <w:numId w:val="2"/>
        </w:numPr>
        <w:spacing w:after="40" w:before="40"/>
      </w:pPr>
      <w:r>
        <w:rPr>
          <w:rFonts w:ascii="Arial" w:cs="Arial" w:eastAsia="Arial" w:hAnsi="Arial"/>
          <w:sz w:val="20"/>
          <w:szCs w:val="20"/>
        </w:rPr>
        <w:t xml:space="preserve">Unstructured/Evolving Fraud Rings: transactions matching suspicious historical behaviors that do not trigger explicit quantitative limits.</w:t>
      </w:r>
    </w:p>
    <w:p>
      <w:pPr>
        <w:pStyle w:val="ListParagraph"/>
        <w:numPr>
          <w:ilvl w:val="0"/>
          <w:numId w:val="2"/>
        </w:numPr>
        <w:spacing w:after="40" w:before="40"/>
      </w:pPr>
      <w:r>
        <w:rPr>
          <w:rFonts w:ascii="Arial" w:cs="Arial" w:eastAsia="Arial" w:hAnsi="Arial"/>
          <w:sz w:val="20"/>
          <w:szCs w:val="20"/>
        </w:rPr>
        <w:t xml:space="preserve">Latency-safe notification pathways broadcasting complex risk analyses to fraud units instantly.</w:t>
      </w:r>
    </w:p>
    <w:p>
      <w:pPr>
        <w:spacing w:after="0" w:before="0"/>
      </w:pPr>
      <w:r>
        <w:t xml:space="preserve"/>
      </w:r>
    </w:p>
    <w:p>
      <w:pPr>
        <w:pStyle w:val="Heading2"/>
        <w:spacing w:after="80" w:before="240"/>
      </w:pPr>
      <w:r>
        <w:rPr>
          <w:rFonts w:ascii="Arial" w:cs="Arial" w:eastAsia="Arial" w:hAnsi="Arial"/>
          <w:b/>
          <w:bCs/>
          <w:color w:val="2E75B6"/>
          <w:sz w:val="26"/>
          <w:szCs w:val="26"/>
        </w:rPr>
        <w:t xml:space="preserve">2.3 Scope Boundaries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High-performance API-driven vector similarity matching</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in-house deep learning model training</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 real-time embedding extraction via Ahnlich</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processor settlement workflows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 conversational AI analyst reporting via GPT-4o-mini</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customer SMS triggers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Offline Ahnlich mock strategy for local development</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Standalone neural net infrastructure hosting</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Dynamic vector update pipeline for confirmed fraud transactions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Customer-facing fraud dispute portals</w:t>
            </w:r>
          </w:p>
        </w:tc>
      </w:tr>
    </w:tbl>
    <w:p>
      <w:r>
        <w:br w:type="page"/>
      </w:r>
    </w:p>
    <w:p>
      <w:pPr>
        <w:pStyle w:val="Heading1"/>
        <w:pBdr>
          <w:bottom w:val="single" w:color="2E75B6" w:sz="6" w:space="1"/>
        </w:pBdr>
        <w:spacing w:after="120" w:before="300"/>
      </w:pPr>
      <w:r>
        <w:rPr>
          <w:rFonts w:ascii="Arial" w:cs="Arial" w:eastAsia="Arial" w:hAnsi="Arial"/>
          <w:b/>
          <w:bCs/>
          <w:color w:val="1F3864"/>
          <w:sz w:val="32"/>
          <w:szCs w:val="32"/>
        </w:rPr>
        <w:t xml:space="preserve">3. Goals &amp; Success Metrics</w:t>
      </w:r>
    </w:p>
    <w:p>
      <w:pPr>
        <w:pStyle w:val="Heading2"/>
        <w:spacing w:after="80" w:before="240"/>
      </w:pPr>
      <w:r>
        <w:rPr>
          <w:rFonts w:ascii="Arial" w:cs="Arial" w:eastAsia="Arial" w:hAnsi="Arial"/>
          <w:b/>
          <w:bCs/>
          <w:color w:val="2E75B6"/>
          <w:sz w:val="26"/>
          <w:szCs w:val="26"/>
        </w:rPr>
        <w:t xml:space="preserve">3.1 Product Goals</w:t>
      </w:r>
    </w:p>
    <w:p>
      <w:pPr>
        <w:pStyle w:val="ListParagraph"/>
        <w:numPr>
          <w:ilvl w:val="0"/>
          <w:numId w:val="2"/>
        </w:numPr>
        <w:spacing w:after="40" w:before="40"/>
      </w:pPr>
      <w:r>
        <w:rPr>
          <w:rFonts w:ascii="Arial" w:cs="Arial" w:eastAsia="Arial" w:hAnsi="Arial"/>
          <w:sz w:val="20"/>
          <w:szCs w:val="20"/>
        </w:rPr>
        <w:t xml:space="preserve">Evaluate transactions through parallelized hybrid routines in under 100ms.</w:t>
      </w:r>
    </w:p>
    <w:p>
      <w:pPr>
        <w:pStyle w:val="ListParagraph"/>
        <w:numPr>
          <w:ilvl w:val="0"/>
          <w:numId w:val="2"/>
        </w:numPr>
        <w:spacing w:after="40" w:before="40"/>
      </w:pPr>
      <w:r>
        <w:rPr>
          <w:rFonts w:ascii="Arial" w:cs="Arial" w:eastAsia="Arial" w:hAnsi="Arial"/>
          <w:sz w:val="20"/>
          <w:szCs w:val="20"/>
        </w:rPr>
        <w:t xml:space="preserve">Support bulk ingest pipelines up to 10,000 items while isolating ingestion mechanics from fraud engine load.</w:t>
      </w:r>
    </w:p>
    <w:p>
      <w:pPr>
        <w:pStyle w:val="ListParagraph"/>
        <w:numPr>
          <w:ilvl w:val="0"/>
          <w:numId w:val="2"/>
        </w:numPr>
        <w:spacing w:after="40" w:before="40"/>
      </w:pPr>
      <w:r>
        <w:rPr>
          <w:rFonts w:ascii="Arial" w:cs="Arial" w:eastAsia="Arial" w:hAnsi="Arial"/>
          <w:sz w:val="20"/>
          <w:szCs w:val="20"/>
        </w:rPr>
        <w:t xml:space="preserve">Broadcast contextualized structural alerts immediately to connected client nodes via Socket.io.</w:t>
      </w:r>
    </w:p>
    <w:p>
      <w:pPr>
        <w:pStyle w:val="ListParagraph"/>
        <w:numPr>
          <w:ilvl w:val="0"/>
          <w:numId w:val="2"/>
        </w:numPr>
        <w:spacing w:after="40" w:before="40"/>
      </w:pPr>
      <w:r>
        <w:rPr>
          <w:rFonts w:ascii="Arial" w:cs="Arial" w:eastAsia="Arial" w:hAnsi="Arial"/>
          <w:sz w:val="20"/>
          <w:szCs w:val="20"/>
        </w:rPr>
        <w:t xml:space="preserve">Provide real-time semantic analysis reports to dashboard fraud operators to speed up verification cycles.</w:t>
      </w:r>
    </w:p>
    <w:p>
      <w:pPr>
        <w:pStyle w:val="ListParagraph"/>
        <w:numPr>
          <w:ilvl w:val="0"/>
          <w:numId w:val="2"/>
        </w:numPr>
        <w:spacing w:after="40" w:before="40"/>
      </w:pPr>
      <w:r>
        <w:rPr>
          <w:rFonts w:ascii="Arial" w:cs="Arial" w:eastAsia="Arial" w:hAnsi="Arial"/>
          <w:sz w:val="20"/>
          <w:szCs w:val="20"/>
        </w:rPr>
        <w:t xml:space="preserve">Target measurable reduction in fraud-related chargeback losses by at least 20% within 3 months of deployment.</w:t>
      </w:r>
    </w:p>
    <w:p>
      <w:pPr>
        <w:spacing w:after="0" w:before="0"/>
      </w:pPr>
      <w:r>
        <w:t xml:space="preserve"/>
      </w:r>
    </w:p>
    <w:p>
      <w:pPr>
        <w:pStyle w:val="Heading2"/>
        <w:spacing w:after="80" w:before="240"/>
      </w:pPr>
      <w:r>
        <w:rPr>
          <w:rFonts w:ascii="Arial" w:cs="Arial" w:eastAsia="Arial" w:hAnsi="Arial"/>
          <w:b/>
          <w:bCs/>
          <w:color w:val="2E75B6"/>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Threshold</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Methodology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Fraud detection path latency</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100ms p99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APM distributed tracing through concurrent execution blocks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Ahnlich vector query lookup time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8ms p99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instrumented metrics inside AhnlichVectorService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WebSocket telemetry broadcast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500ms end-to-end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validation from transaction ingestion to web application reception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 retry data fidelity</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Zero-Loss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BullMQ persistent store audit logs and idempotent handler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Fraud chargeback loss reduction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20% in 90 days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Pre/post deployment chargeback volume comparison via finance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explanation delivery (async)</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2.5 seconds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End-to-end timing from fraud.detected to ai_explanation.updated socket event</w:t>
            </w:r>
          </w:p>
        </w:tc>
      </w:tr>
    </w:tbl>
    <w:p>
      <w:r>
        <w:br w:type="page"/>
      </w:r>
    </w:p>
    <w:p>
      <w:pPr>
        <w:pStyle w:val="Heading1"/>
        <w:pBdr>
          <w:bottom w:val="single" w:color="2E75B6" w:sz="6" w:space="1"/>
        </w:pBdr>
        <w:spacing w:after="120" w:before="300"/>
      </w:pPr>
      <w:r>
        <w:rPr>
          <w:rFonts w:ascii="Arial" w:cs="Arial" w:eastAsia="Arial" w:hAnsi="Arial"/>
          <w:b/>
          <w:bCs/>
          <w:color w:val="1F3864"/>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Use Case</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System Needs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Fraud Analyst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Operations Unit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Monitors high-risk transaction queues, adjudicates alerts.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streaming feeds, visual semantic anomaly mapping, natural language risk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Compliance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Management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Generates audits, verifies platform efficacy metrics.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Auditable risk profiles, full storage of matched metrics, chronological tracking 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Backend Developer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Engineering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Maintains and extends rules, monitors pipeline performance.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Clean API contracts, unified mocking environments, comprehensive OpenAPI/Swagger endpoints.</w:t>
            </w:r>
          </w:p>
        </w:tc>
      </w:tr>
    </w:tbl>
    <w:p>
      <w:pPr>
        <w:spacing w:after="0" w:before="0"/>
      </w:pPr>
      <w:r>
        <w:t xml:space="preserve"/>
      </w:r>
    </w:p>
    <w:p>
      <w:pPr>
        <w:pStyle w:val="Heading1"/>
        <w:pBdr>
          <w:bottom w:val="single" w:color="2E75B6" w:sz="6" w:space="1"/>
        </w:pBdr>
        <w:spacing w:after="120" w:before="300"/>
      </w:pPr>
      <w:r>
        <w:rPr>
          <w:rFonts w:ascii="Arial" w:cs="Arial" w:eastAsia="Arial" w:hAnsi="Arial"/>
          <w:b/>
          <w:bCs/>
          <w:color w:val="1F3864"/>
          <w:sz w:val="32"/>
          <w:szCs w:val="32"/>
        </w:rPr>
        <w:t xml:space="preserve">5. System Architecture</w:t>
      </w:r>
    </w:p>
    <w:p>
      <w:pPr>
        <w:pStyle w:val="Heading2"/>
        <w:spacing w:after="80" w:before="240"/>
      </w:pPr>
      <w:r>
        <w:rPr>
          <w:rFonts w:ascii="Arial" w:cs="Arial" w:eastAsia="Arial" w:hAnsi="Arial"/>
          <w:b/>
          <w:bCs/>
          <w:color w:val="2E75B6"/>
          <w:sz w:val="26"/>
          <w:szCs w:val="26"/>
        </w:rPr>
        <w:t xml:space="preserve">5.1 Architecture Overview</w:t>
      </w:r>
    </w:p>
    <w:p>
      <w:pPr>
        <w:spacing w:after="60" w:before="60"/>
      </w:pPr>
      <w:r>
        <w:rPr>
          <w:rFonts w:ascii="Arial" w:cs="Arial" w:eastAsia="Arial" w:hAnsi="Arial"/>
          <w:b w:val="false"/>
          <w:bCs w:val="false"/>
          <w:color w:val="222222"/>
          <w:sz w:val="20"/>
          <w:szCs w:val="20"/>
        </w:rPr>
        <w:t xml:space="preserve">The updated architecture introduces a dual-track asynchronous intelligence model. Ingestion pipelines commit items into BullMQ, pushing execution logic off the main HTTP line. Once picked up by a worker, the FraudService splits verification into two high-efficiency groups via Promise.all(): a Redis-backed deterministic engine (Rules 1-3) and an external index server (Ahnlich Vector Engine) executing similarity matching (Rule 4).</w:t>
      </w:r>
    </w:p>
    <w:p>
      <w:pPr>
        <w:spacing w:after="60" w:before="60"/>
      </w:pPr>
      <w:r>
        <w:rPr>
          <w:rFonts w:ascii="Arial" w:cs="Arial" w:eastAsia="Arial" w:hAnsi="Arial"/>
          <w:b w:val="false"/>
          <w:bCs w:val="false"/>
          <w:color w:val="222222"/>
          <w:sz w:val="20"/>
          <w:szCs w:val="20"/>
        </w:rPr>
        <w:t xml:space="preserve">If flagged, data is persisted instantly, and primary telemetry cascades via WebSockets. Concurrently, a lightweight background job processes an LLM-driven textual insight task (OpenAI GPT-4o-mini) without delaying the ingestion block response cycle.</w:t>
      </w:r>
    </w:p>
    <w:p>
      <w:pPr>
        <w:spacing w:after="0" w:before="0"/>
      </w:pPr>
      <w:r>
        <w:t xml:space="preserve"/>
      </w:r>
    </w:p>
    <w:p>
      <w:pPr>
        <w:pStyle w:val="Heading2"/>
        <w:spacing w:after="80" w:before="240"/>
      </w:pPr>
      <w:r>
        <w:rPr>
          <w:rFonts w:ascii="Arial" w:cs="Arial" w:eastAsia="Arial" w:hAnsi="Arial"/>
          <w:b/>
          <w:bCs/>
          <w:color w:val="2E75B6"/>
          <w:sz w:val="26"/>
          <w:szCs w:val="26"/>
        </w:rPr>
        <w:t xml:space="preserve">5.2 Layer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Layer/Tier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Ingestion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IngestionService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NestJS + stream-json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streaming, non-blocking chunk allocation, 500-record block parsing.</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Queuing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QueueProducer / Consumer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BullMQ + Redis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Distributed messaging backlog, robust failure retries, concurrency constraints.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Intelligence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FraudService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NestJS + Redis + Ahnlich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Parallelized runtime evaluation combining quantitative rules and semantic metrics.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Insight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AIAnalystWorker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BullMQ + OpenAI GPT-4o-mini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Asynchronous, non-blocking synthesis of natural language transaction explanations.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Entities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TypeORM + PostgreSQL + PostGIS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Relational ledgering, historical mapping records, spatial indexing.</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FraudGateway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Socket.io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Instant client alerting pushing unified payload states.</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Offline Mock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AhnlichMockService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NestJS + faker.js</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Simulates Ahnlich vector responses locally. Activated via AHNLICH_MOCK_MODE=true env flag. Returns seeded synthetic similarity scores for deterministic local testing.</w:t>
            </w:r>
          </w:p>
        </w:tc>
      </w:tr>
    </w:tbl>
    <w:p>
      <w:r>
        <w:br w:type="page"/>
      </w:r>
    </w:p>
    <w:p>
      <w:pPr>
        <w:pStyle w:val="Heading1"/>
        <w:pBdr>
          <w:bottom w:val="single" w:color="2E75B6" w:sz="6" w:space="1"/>
        </w:pBdr>
        <w:spacing w:after="120" w:before="300"/>
      </w:pPr>
      <w:r>
        <w:rPr>
          <w:rFonts w:ascii="Arial" w:cs="Arial" w:eastAsia="Arial" w:hAnsi="Arial"/>
          <w:b/>
          <w:bCs/>
          <w:color w:val="1F3864"/>
          <w:sz w:val="32"/>
          <w:szCs w:val="32"/>
        </w:rPr>
        <w:t xml:space="preserve">6. Functional Requirements</w:t>
      </w:r>
    </w:p>
    <w:p>
      <w:pPr>
        <w:pStyle w:val="Heading2"/>
        <w:spacing w:after="80" w:before="240"/>
      </w:pPr>
      <w:r>
        <w:rPr>
          <w:rFonts w:ascii="Arial" w:cs="Arial" w:eastAsia="Arial" w:hAnsi="Arial"/>
          <w:b/>
          <w:bCs/>
          <w:color w:val="2E75B6"/>
          <w:sz w:val="26"/>
          <w:szCs w:val="26"/>
        </w:rPr>
        <w:t xml:space="preserve">6.1 Ingestion Specifications</w:t>
      </w:r>
    </w:p>
    <w:p>
      <w:pPr>
        <w:pStyle w:val="ListParagraph"/>
        <w:numPr>
          <w:ilvl w:val="0"/>
          <w:numId w:val="2"/>
        </w:numPr>
        <w:spacing w:after="40" w:before="40"/>
      </w:pPr>
      <w:r>
        <w:rPr>
          <w:rFonts w:ascii="Arial" w:cs="Arial" w:eastAsia="Arial" w:hAnsi="Arial"/>
          <w:sz w:val="20"/>
          <w:szCs w:val="20"/>
        </w:rPr>
        <w:t xml:space="preserve">FR-ING-01: Endpoint POST /api/ingestion/batch must successfully ingest 10,000 raw payloads within isolated request windows.</w:t>
      </w:r>
    </w:p>
    <w:p>
      <w:pPr>
        <w:pStyle w:val="ListParagraph"/>
        <w:numPr>
          <w:ilvl w:val="0"/>
          <w:numId w:val="2"/>
        </w:numPr>
        <w:spacing w:after="40" w:before="40"/>
      </w:pPr>
      <w:r>
        <w:rPr>
          <w:rFonts w:ascii="Arial" w:cs="Arial" w:eastAsia="Arial" w:hAnsi="Arial"/>
          <w:sz w:val="20"/>
          <w:szCs w:val="20"/>
        </w:rPr>
        <w:t xml:space="preserve">FR-ING-02: Large dataset parsing must rely entirely on stream-json pipe pipelines to preserve O(1) memory usage bounds.</w:t>
      </w:r>
    </w:p>
    <w:p>
      <w:pPr>
        <w:pStyle w:val="ListParagraph"/>
        <w:numPr>
          <w:ilvl w:val="0"/>
          <w:numId w:val="2"/>
        </w:numPr>
        <w:spacing w:after="40" w:before="40"/>
      </w:pPr>
      <w:r>
        <w:rPr>
          <w:rFonts w:ascii="Arial" w:cs="Arial" w:eastAsia="Arial" w:hAnsi="Arial"/>
          <w:sz w:val="20"/>
          <w:szCs w:val="20"/>
        </w:rPr>
        <w:t xml:space="preserve">FR-ING-03: Bulk database commits must operate using 500-row statement groupings executing ON CONFLICT DO NOTHING structures.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6.2 Hybrid Fraud Detection Rules</w:t>
      </w:r>
    </w:p>
    <w:p>
      <w:pPr>
        <w:spacing w:after="60" w:before="60"/>
      </w:pPr>
      <w:r>
        <w:rPr>
          <w:rFonts w:ascii="Arial" w:cs="Arial" w:eastAsia="Arial" w:hAnsi="Arial"/>
          <w:b w:val="false"/>
          <w:bCs w:val="false"/>
          <w:color w:val="222222"/>
          <w:sz w:val="20"/>
          <w:szCs w:val="20"/>
        </w:rPr>
        <w:t xml:space="preserve">The platform runs four foundational rule modules concurrently. The final riskScore resolves to the maximum value of any triggered module.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760"/>
        <w:gridCol w:w="1200"/>
        <w:gridCol w:w="12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 ID</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Triggering Logic</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Weight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HIGH_VELOCITY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5 operations from a specific userId in a rolling 60-second frame. Uses Redis Sorted 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ZSET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DAILY_LIMIT_EXCEEDED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RULE-002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Aggregated transaction balance for a single userId passes $10,000 within a calendar day via HINCRBYFLOAT.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Hash</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GEO_VELOCITY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RULE-003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Positional shifts exceeding 1 kilometer occurring inside a 2-minute delta window. Evaluated via Haversine logic.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Hash</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INTELLIGENT_ANOMALY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RULE-004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Converts transaction context (merchant descriptors, location, localized vectors) to an embedding. Performs nearest-neighbor similarity search via Ahnlich SDK against known fraud clusters with distance score match &gt; 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Ahnlich Index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0.90</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6.3 Offline Mock Strategy (NEW in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F3864"/>
                <w:sz w:val="20"/>
                <w:szCs w:val="20"/>
              </w:rPr>
              <w:t xml:space="preserve">AhnlichMockService — Local Development Mode</w:t>
            </w:r>
          </w:p>
          <w:p>
            <w:r>
              <w:rPr>
                <w:rFonts w:ascii="Arial" w:cs="Arial" w:eastAsia="Arial" w:hAnsi="Arial"/>
                <w:color w:val="333333"/>
                <w:sz w:val="20"/>
                <w:szCs w:val="20"/>
              </w:rPr>
              <w:t xml:space="preserve">When the environment variable AHNLICH_MOCK_MODE is set to true, the system substitutes the live Ahnlich SDK client with AhnlichMockService. This service uses faker.js to return seeded, deterministic synthetic similarity scores and nearest-neighbor results. Seed values are configurable via AHNLICH_MOCK_SEED to enable reproducible test scenarios. This eliminates the developer dependency on live Ahnlich Cloud credentials during local development and CI pipeline runs.</w:t>
            </w:r>
          </w:p>
        </w:tc>
      </w:tr>
    </w:tbl>
    <w:p>
      <w:pPr>
        <w:spacing w:after="0" w:before="0"/>
      </w:pPr>
      <w:r>
        <w:t xml:space="preserve"/>
      </w:r>
    </w:p>
    <w:p>
      <w:pPr>
        <w:pStyle w:val="ListParagraph"/>
        <w:numPr>
          <w:ilvl w:val="0"/>
          <w:numId w:val="2"/>
        </w:numPr>
        <w:spacing w:after="40" w:before="40"/>
      </w:pPr>
      <w:r>
        <w:rPr>
          <w:rFonts w:ascii="Arial" w:cs="Arial" w:eastAsia="Arial" w:hAnsi="Arial"/>
          <w:sz w:val="20"/>
          <w:szCs w:val="20"/>
        </w:rPr>
        <w:t xml:space="preserve">Mock mode is activated via: AHNLICH_MOCK_MODE=true in .env.local</w:t>
      </w:r>
    </w:p>
    <w:p>
      <w:pPr>
        <w:pStyle w:val="ListParagraph"/>
        <w:numPr>
          <w:ilvl w:val="0"/>
          <w:numId w:val="2"/>
        </w:numPr>
        <w:spacing w:after="40" w:before="40"/>
      </w:pPr>
      <w:r>
        <w:rPr>
          <w:rFonts w:ascii="Arial" w:cs="Arial" w:eastAsia="Arial" w:hAnsi="Arial"/>
          <w:sz w:val="20"/>
          <w:szCs w:val="20"/>
        </w:rPr>
        <w:t xml:space="preserve">Seed control: AHNLICH_MOCK_SEED=12345 (integer) for deterministic output</w:t>
      </w:r>
    </w:p>
    <w:p>
      <w:pPr>
        <w:pStyle w:val="ListParagraph"/>
        <w:numPr>
          <w:ilvl w:val="0"/>
          <w:numId w:val="2"/>
        </w:numPr>
        <w:spacing w:after="40" w:before="40"/>
      </w:pPr>
      <w:r>
        <w:rPr>
          <w:rFonts w:ascii="Arial" w:cs="Arial" w:eastAsia="Arial" w:hAnsi="Arial"/>
          <w:sz w:val="20"/>
          <w:szCs w:val="20"/>
        </w:rPr>
        <w:t xml:space="preserve">Mock automatically flags transactions with userId prefix TEST_ as high-similarity (&gt;0.88) for QA test coverage.</w:t>
      </w:r>
    </w:p>
    <w:p>
      <w:pPr>
        <w:pStyle w:val="ListParagraph"/>
        <w:numPr>
          <w:ilvl w:val="0"/>
          <w:numId w:val="2"/>
        </w:numPr>
        <w:spacing w:after="40" w:before="40"/>
      </w:pPr>
      <w:r>
        <w:rPr>
          <w:rFonts w:ascii="Arial" w:cs="Arial" w:eastAsia="Arial" w:hAnsi="Arial"/>
          <w:sz w:val="20"/>
          <w:szCs w:val="20"/>
        </w:rPr>
        <w:t xml:space="preserve">Mock mode must never be activated in staging or production environments — enforced via environment validation on app boot.</w:t>
      </w:r>
    </w:p>
    <w:p>
      <w:pPr>
        <w:spacing w:after="0" w:before="0"/>
      </w:pPr>
      <w:r>
        <w:t xml:space="preserve"/>
      </w:r>
    </w:p>
    <w:p>
      <w:pPr>
        <w:pStyle w:val="Heading2"/>
        <w:spacing w:after="80" w:before="240"/>
      </w:pPr>
      <w:r>
        <w:rPr>
          <w:rFonts w:ascii="Arial" w:cs="Arial" w:eastAsia="Arial" w:hAnsi="Arial"/>
          <w:b/>
          <w:bCs/>
          <w:color w:val="2E75B6"/>
          <w:sz w:val="26"/>
          <w:szCs w:val="26"/>
        </w:rPr>
        <w:t xml:space="preserve">6.4 Real-Time WebSocket Telemetry &amp; AI Explanations</w:t>
      </w:r>
    </w:p>
    <w:p>
      <w:pPr>
        <w:pStyle w:val="ListParagraph"/>
        <w:numPr>
          <w:ilvl w:val="0"/>
          <w:numId w:val="2"/>
        </w:numPr>
        <w:spacing w:after="40" w:before="40"/>
      </w:pPr>
      <w:r>
        <w:rPr>
          <w:rFonts w:ascii="Arial" w:cs="Arial" w:eastAsia="Arial" w:hAnsi="Arial"/>
          <w:sz w:val="20"/>
          <w:szCs w:val="20"/>
        </w:rPr>
        <w:t xml:space="preserve">FR-WS-01: Real-time alerts must fire instantly via fraud.detected channel packets.</w:t>
      </w:r>
    </w:p>
    <w:p>
      <w:pPr>
        <w:pStyle w:val="ListParagraph"/>
        <w:numPr>
          <w:ilvl w:val="0"/>
          <w:numId w:val="2"/>
        </w:numPr>
        <w:spacing w:after="40" w:before="40"/>
      </w:pPr>
      <w:r>
        <w:rPr>
          <w:rFonts w:ascii="Arial" w:cs="Arial" w:eastAsia="Arial" w:hAnsi="Arial"/>
          <w:sz w:val="20"/>
          <w:szCs w:val="20"/>
        </w:rPr>
        <w:t xml:space="preserve">FR-WS-02: Initial payloads must deliver raw data fields along with the aiConfidenceScore immediately.</w:t>
      </w:r>
    </w:p>
    <w:p>
      <w:pPr>
        <w:pStyle w:val="ListParagraph"/>
        <w:numPr>
          <w:ilvl w:val="0"/>
          <w:numId w:val="2"/>
        </w:numPr>
        <w:spacing w:after="40" w:before="40"/>
      </w:pPr>
      <w:r>
        <w:rPr>
          <w:rFonts w:ascii="Arial" w:cs="Arial" w:eastAsia="Arial" w:hAnsi="Arial"/>
          <w:sz w:val="20"/>
          <w:szCs w:val="20"/>
        </w:rPr>
        <w:t xml:space="preserve">FR-WS-03 (Async Synthesis): On detection, a non-blocking background queue job runs an async explanation prompt via OpenAI GPT-4o-mini and pushes an ai_explanation.updated socket update containing a detailed descriptive paragraph to the client within 2.5 seconds.</w:t>
      </w:r>
    </w:p>
    <w:p>
      <w:pPr>
        <w:pStyle w:val="ListParagraph"/>
        <w:numPr>
          <w:ilvl w:val="0"/>
          <w:numId w:val="2"/>
        </w:numPr>
        <w:spacing w:after="40" w:before="40"/>
      </w:pPr>
      <w:r>
        <w:rPr>
          <w:rFonts w:ascii="Arial" w:cs="Arial" w:eastAsia="Arial" w:hAnsi="Arial"/>
          <w:sz w:val="20"/>
          <w:szCs w:val="20"/>
        </w:rPr>
        <w:t xml:space="preserve">FR-WS-04: If the GPT-4o-mini call fails or times out (&gt;3s), the aiExplanation field defaults to a structured fallback message citing which deterministic rules triggered.</w:t>
      </w:r>
    </w:p>
    <w:p>
      <w:r>
        <w:br w:type="page"/>
      </w:r>
    </w:p>
    <w:p>
      <w:pPr>
        <w:pStyle w:val="Heading1"/>
        <w:pBdr>
          <w:bottom w:val="single" w:color="2E75B6" w:sz="6" w:space="1"/>
        </w:pBdr>
        <w:spacing w:after="120" w:before="300"/>
      </w:pPr>
      <w:r>
        <w:rPr>
          <w:rFonts w:ascii="Arial" w:cs="Arial" w:eastAsia="Arial" w:hAnsi="Arial"/>
          <w:b/>
          <w:bCs/>
          <w:color w:val="1F3864"/>
          <w:sz w:val="32"/>
          <w:szCs w:val="32"/>
        </w:rPr>
        <w:t xml:space="preserve">7. Data Models</w:t>
      </w:r>
    </w:p>
    <w:p>
      <w:pPr>
        <w:pStyle w:val="Heading2"/>
        <w:spacing w:after="80" w:before="240"/>
      </w:pPr>
      <w:r>
        <w:rPr>
          <w:rFonts w:ascii="Arial" w:cs="Arial" w:eastAsia="Arial" w:hAnsi="Arial"/>
          <w:b/>
          <w:bCs/>
          <w:color w:val="2E75B6"/>
          <w:sz w:val="26"/>
          <w:szCs w:val="26"/>
        </w:rPr>
        <w:t xml:space="preserve">7.1 flagged_transactions Database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UUID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internal unique tracker.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transactionId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transaction primary identifier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Originating customer account mapping.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tokens: HIGH_VELOCITY, DAILY_LIMIT, GEO_VELOCITY, INTELLIGENT_ANOMALY.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aiConfidenceScore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Distance metric from Ahnlich cluster calculations (0.00 to 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aiExplanation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 populated text from GPT-4o-mini detailing contextual behavioral risks. Falls back to rule-based summary on LLM failure.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metadata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Dynamic structural elements (matching nearest vector IDs, specific velocities).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vectorFeedbackStatus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PENDING</w:t>
            </w:r>
          </w:p>
        </w:tc>
        <w:tc>
          <w:tcPr>
            <w:tcW w:type="dxa" w:w="4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Tracks whether a confirmed true-positive fraud transaction has been fed back into the Ahnlich index. Values: PENDING, SUBMITTED, FAILED.</w:t>
            </w:r>
          </w:p>
        </w:tc>
      </w:tr>
    </w:tbl>
    <w:p>
      <w:r>
        <w:br w:type="page"/>
      </w:r>
    </w:p>
    <w:p>
      <w:pPr>
        <w:pStyle w:val="Heading1"/>
        <w:pBdr>
          <w:bottom w:val="single" w:color="2E75B6" w:sz="6" w:space="1"/>
        </w:pBdr>
        <w:spacing w:after="120" w:before="300"/>
      </w:pPr>
      <w:r>
        <w:rPr>
          <w:rFonts w:ascii="Arial" w:cs="Arial" w:eastAsia="Arial" w:hAnsi="Arial"/>
          <w:b/>
          <w:bCs/>
          <w:color w:val="1F3864"/>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NFR-PERF-01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Hybrid execution cycle must complete in &lt; 100ms across p99 sample profiles.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NFR-PERF-02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Resilience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Vector match tasks must execute with a hard boundary timeout of 15ms. Circuit breaker falls back gracefully to deterministic rule results on timeout.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NFR-PERF-03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Timeout</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GPT-4o-mini explanation calls must complete within 3 seconds. On timeout or API failure, a structured fallback explanation is generated from deterministic rule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NFR-SEC-01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Inter-service operations connecting to database or Ahnlich endpoints must mandate TLS 1.3 encryption. OpenAI API calls must route via server-side proxy — API keys must never be exposed to the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NFR-OPS-01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Observability</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All fraud detection decisions must emit structured logs including ruleTriggered, riskScore, ahnlichLatencyMs, llmLatencyMs, and fallbackReason (if applicable) to support audit and debugging.</w:t>
            </w:r>
          </w:p>
        </w:tc>
      </w:tr>
    </w:tbl>
    <w:p>
      <w:pPr>
        <w:spacing w:after="0" w:before="0"/>
      </w:pPr>
      <w:r>
        <w:t xml:space="preserve"/>
      </w:r>
    </w:p>
    <w:p>
      <w:pPr>
        <w:pStyle w:val="Heading1"/>
        <w:pBdr>
          <w:bottom w:val="single" w:color="2E75B6" w:sz="6" w:space="1"/>
        </w:pBdr>
        <w:spacing w:after="120" w:before="300"/>
      </w:pPr>
      <w:r>
        <w:rPr>
          <w:rFonts w:ascii="Arial" w:cs="Arial" w:eastAsia="Arial" w:hAnsi="Arial"/>
          <w:b/>
          <w:bCs/>
          <w:color w:val="1F3864"/>
          <w:sz w:val="32"/>
          <w:szCs w:val="32"/>
        </w:rPr>
        <w:t xml:space="preserve">9. Configuration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 Variable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AHNLICH_AI_URL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(v1.1)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 endpoint for the remote Ahnlich similarity indexing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AHNLICH_CLIENT_TOKEN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(v1.1)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token for authorizing vector operations on the Ahnlich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FRAUD_SIMILARITY_THRESHOLD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Distance trigger limit above which a transaction matches known fraud clusters.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AI_EXPLANATION_QUEUE_CONCURRENCY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BullMQ worker sizing for conversational summary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OPENAI_API_KEY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(v1.2)</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API key for OpenAI GPT-4o-mini used by AIAnalystWorker.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OPENAI_MODEL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gpt-4o-mini</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Configurable model string for the AI Analyst worker. Defaults to gpt-4o-mini.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AHNLICH_MOCK_MODE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false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Set to true to activate AhnlichMockService for local development. Must be false in staging/production.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AHNLICH_MOCK_SEED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Integer seed for deterministic mock vector output. Active only when AHNLICH_MOCK_MODE=true.</w:t>
            </w:r>
          </w:p>
        </w:tc>
      </w:tr>
    </w:tbl>
    <w:p>
      <w:r>
        <w:br w:type="page"/>
      </w:r>
    </w:p>
    <w:p>
      <w:pPr>
        <w:pStyle w:val="Heading1"/>
        <w:pBdr>
          <w:bottom w:val="single" w:color="2E75B6" w:sz="6" w:space="1"/>
        </w:pBdr>
        <w:spacing w:after="120" w:before="300"/>
      </w:pPr>
      <w:r>
        <w:rPr>
          <w:rFonts w:ascii="Arial" w:cs="Arial" w:eastAsia="Arial" w:hAnsi="Arial"/>
          <w:b/>
          <w:bCs/>
          <w:color w:val="1F3864"/>
          <w:sz w:val="32"/>
          <w:szCs w:val="32"/>
        </w:rPr>
        <w:t xml:space="preserve">10. Frontend UI Requirements</w:t>
      </w:r>
    </w:p>
    <w:p>
      <w:pPr>
        <w:spacing w:after="60" w:before="60"/>
      </w:pPr>
      <w:r>
        <w:rPr>
          <w:rFonts w:ascii="Arial" w:cs="Arial" w:eastAsia="Arial" w:hAnsi="Arial"/>
          <w:b w:val="false"/>
          <w:bCs w:val="false"/>
          <w:color w:val="222222"/>
          <w:sz w:val="20"/>
          <w:szCs w:val="20"/>
        </w:rPr>
        <w:t xml:space="preserve">The React dashboard expands to visualize intelligent risk metrics across operational views. The following UI components are required for Demo Day evaluation under the User Experience &amp; Design criterion (15% of total score).</w:t>
      </w:r>
    </w:p>
    <w:p>
      <w:pPr>
        <w:spacing w:after="0" w:before="0"/>
      </w:pPr>
      <w:r>
        <w:t xml:space="preserve"/>
      </w:r>
    </w:p>
    <w:p>
      <w:pPr>
        <w:pStyle w:val="Heading2"/>
        <w:spacing w:after="80" w:before="240"/>
      </w:pPr>
      <w:r>
        <w:rPr>
          <w:rFonts w:ascii="Arial" w:cs="Arial" w:eastAsia="Arial" w:hAnsi="Arial"/>
          <w:b/>
          <w:bCs/>
          <w:color w:val="2E75B6"/>
          <w:sz w:val="26"/>
          <w:szCs w:val="26"/>
        </w:rPr>
        <w:t xml:space="preserve">10.1 Live Feed Tracker</w:t>
      </w:r>
    </w:p>
    <w:p>
      <w:pPr>
        <w:pStyle w:val="ListParagraph"/>
        <w:numPr>
          <w:ilvl w:val="0"/>
          <w:numId w:val="2"/>
        </w:numPr>
        <w:spacing w:after="40" w:before="40"/>
      </w:pPr>
      <w:r>
        <w:rPr>
          <w:rFonts w:ascii="Arial" w:cs="Arial" w:eastAsia="Arial" w:hAnsi="Arial"/>
          <w:sz w:val="20"/>
          <w:szCs w:val="20"/>
        </w:rPr>
        <w:t xml:space="preserve">Real-time WebSocket cards update immediately upon receiving fraud.detected alerts.</w:t>
      </w:r>
    </w:p>
    <w:p>
      <w:pPr>
        <w:pStyle w:val="ListParagraph"/>
        <w:numPr>
          <w:ilvl w:val="0"/>
          <w:numId w:val="2"/>
        </w:numPr>
        <w:spacing w:after="40" w:before="40"/>
      </w:pPr>
      <w:r>
        <w:rPr>
          <w:rFonts w:ascii="Arial" w:cs="Arial" w:eastAsia="Arial" w:hAnsi="Arial"/>
          <w:sz w:val="20"/>
          <w:szCs w:val="20"/>
        </w:rPr>
        <w:t xml:space="preserve">Cards flagged with INTELLIGENT_ANOMALY display a distinct purple highlight and an AI badge icon.</w:t>
      </w:r>
    </w:p>
    <w:p>
      <w:pPr>
        <w:pStyle w:val="ListParagraph"/>
        <w:numPr>
          <w:ilvl w:val="0"/>
          <w:numId w:val="2"/>
        </w:numPr>
        <w:spacing w:after="40" w:before="40"/>
      </w:pPr>
      <w:r>
        <w:rPr>
          <w:rFonts w:ascii="Arial" w:cs="Arial" w:eastAsia="Arial" w:hAnsi="Arial"/>
          <w:sz w:val="20"/>
          <w:szCs w:val="20"/>
        </w:rPr>
        <w:t xml:space="preserve">Each card shows: transactionId, userId, riskScore, triggering rule, timestamp, and aiConfidenceScore.</w:t>
      </w:r>
    </w:p>
    <w:p>
      <w:pPr>
        <w:pStyle w:val="ListParagraph"/>
        <w:numPr>
          <w:ilvl w:val="0"/>
          <w:numId w:val="2"/>
        </w:numPr>
        <w:spacing w:after="40" w:before="40"/>
      </w:pPr>
      <w:r>
        <w:rPr>
          <w:rFonts w:ascii="Arial" w:cs="Arial" w:eastAsia="Arial" w:hAnsi="Arial"/>
          <w:sz w:val="20"/>
          <w:szCs w:val="20"/>
        </w:rPr>
        <w:t xml:space="preserve">Feed supports filtering by rule type and minimum risk score threshold via a top toolbar.</w:t>
      </w:r>
    </w:p>
    <w:p>
      <w:pPr>
        <w:spacing w:after="0" w:before="0"/>
      </w:pPr>
      <w:r>
        <w:t xml:space="preserve"/>
      </w:r>
    </w:p>
    <w:p>
      <w:pPr>
        <w:pStyle w:val="Heading2"/>
        <w:spacing w:after="80" w:before="240"/>
      </w:pPr>
      <w:r>
        <w:rPr>
          <w:rFonts w:ascii="Arial" w:cs="Arial" w:eastAsia="Arial" w:hAnsi="Arial"/>
          <w:b/>
          <w:bCs/>
          <w:color w:val="2E75B6"/>
          <w:sz w:val="26"/>
          <w:szCs w:val="26"/>
        </w:rPr>
        <w:t xml:space="preserve">10.2 Interactive Analyst Details Drawer</w:t>
      </w:r>
    </w:p>
    <w:p>
      <w:pPr>
        <w:pStyle w:val="ListParagraph"/>
        <w:numPr>
          <w:ilvl w:val="0"/>
          <w:numId w:val="2"/>
        </w:numPr>
        <w:spacing w:after="40" w:before="40"/>
      </w:pPr>
      <w:r>
        <w:rPr>
          <w:rFonts w:ascii="Arial" w:cs="Arial" w:eastAsia="Arial" w:hAnsi="Arial"/>
          <w:sz w:val="20"/>
          <w:szCs w:val="20"/>
        </w:rPr>
        <w:t xml:space="preserve">Clicking any feed card opens a side drawer with full transaction context.</w:t>
      </w:r>
    </w:p>
    <w:p>
      <w:pPr>
        <w:pStyle w:val="ListParagraph"/>
        <w:numPr>
          <w:ilvl w:val="0"/>
          <w:numId w:val="2"/>
        </w:numPr>
        <w:spacing w:after="40" w:before="40"/>
      </w:pPr>
      <w:r>
        <w:rPr>
          <w:rFonts w:ascii="Arial" w:cs="Arial" w:eastAsia="Arial" w:hAnsi="Arial"/>
          <w:sz w:val="20"/>
          <w:szCs w:val="20"/>
        </w:rPr>
        <w:t xml:space="preserve">The aiExplanation field renders an animated skeleton/placeholder loader on initial load.</w:t>
      </w:r>
    </w:p>
    <w:p>
      <w:pPr>
        <w:pStyle w:val="ListParagraph"/>
        <w:numPr>
          <w:ilvl w:val="0"/>
          <w:numId w:val="2"/>
        </w:numPr>
        <w:spacing w:after="40" w:before="40"/>
      </w:pPr>
      <w:r>
        <w:rPr>
          <w:rFonts w:ascii="Arial" w:cs="Arial" w:eastAsia="Arial" w:hAnsi="Arial"/>
          <w:sz w:val="20"/>
          <w:szCs w:val="20"/>
        </w:rPr>
        <w:t xml:space="preserve">Once the ai_explanation.updated WebSocket event fires, the field transitions seamlessly to the full natural language paragraph.</w:t>
      </w:r>
    </w:p>
    <w:p>
      <w:pPr>
        <w:pStyle w:val="ListParagraph"/>
        <w:numPr>
          <w:ilvl w:val="0"/>
          <w:numId w:val="2"/>
        </w:numPr>
        <w:spacing w:after="40" w:before="40"/>
      </w:pPr>
      <w:r>
        <w:rPr>
          <w:rFonts w:ascii="Arial" w:cs="Arial" w:eastAsia="Arial" w:hAnsi="Arial"/>
          <w:sz w:val="20"/>
          <w:szCs w:val="20"/>
        </w:rPr>
        <w:t xml:space="preserve">Drawer also displays matched vector cluster IDs from metadata, and a mini geo-map showing transaction coordinates.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10.3 Geographic Heatmap</w:t>
      </w:r>
    </w:p>
    <w:p>
      <w:pPr>
        <w:pStyle w:val="ListParagraph"/>
        <w:numPr>
          <w:ilvl w:val="0"/>
          <w:numId w:val="2"/>
        </w:numPr>
        <w:spacing w:after="40" w:before="40"/>
      </w:pPr>
      <w:r>
        <w:rPr>
          <w:rFonts w:ascii="Arial" w:cs="Arial" w:eastAsia="Arial" w:hAnsi="Arial"/>
          <w:sz w:val="20"/>
          <w:szCs w:val="20"/>
        </w:rPr>
        <w:t xml:space="preserve">Leaflet canvas component renders high-density vector cluster zones in real-time.</w:t>
      </w:r>
    </w:p>
    <w:p>
      <w:pPr>
        <w:pStyle w:val="ListParagraph"/>
        <w:numPr>
          <w:ilvl w:val="0"/>
          <w:numId w:val="2"/>
        </w:numPr>
        <w:spacing w:after="40" w:before="40"/>
      </w:pPr>
      <w:r>
        <w:rPr>
          <w:rFonts w:ascii="Arial" w:cs="Arial" w:eastAsia="Arial" w:hAnsi="Arial"/>
          <w:sz w:val="20"/>
          <w:szCs w:val="20"/>
        </w:rPr>
        <w:t xml:space="preserve">Colour intensity encodes fraud density: low (green) to high (red).</w:t>
      </w:r>
    </w:p>
    <w:p>
      <w:pPr>
        <w:pStyle w:val="ListParagraph"/>
        <w:numPr>
          <w:ilvl w:val="0"/>
          <w:numId w:val="2"/>
        </w:numPr>
        <w:spacing w:after="40" w:before="40"/>
      </w:pPr>
      <w:r>
        <w:rPr>
          <w:rFonts w:ascii="Arial" w:cs="Arial" w:eastAsia="Arial" w:hAnsi="Arial"/>
          <w:sz w:val="20"/>
          <w:szCs w:val="20"/>
        </w:rPr>
        <w:t xml:space="preserve">Clicking a cluster zone filters the Live Feed Tracker to transactions originating from that zone.</w:t>
      </w:r>
    </w:p>
    <w:p>
      <w:pPr>
        <w:spacing w:after="0" w:before="0"/>
      </w:pPr>
      <w:r>
        <w:t xml:space="preserve"/>
      </w:r>
    </w:p>
    <w:p>
      <w:pPr>
        <w:pStyle w:val="Heading2"/>
        <w:spacing w:after="80" w:before="240"/>
      </w:pPr>
      <w:r>
        <w:rPr>
          <w:rFonts w:ascii="Arial" w:cs="Arial" w:eastAsia="Arial" w:hAnsi="Arial"/>
          <w:b/>
          <w:bCs/>
          <w:color w:val="2E75B6"/>
          <w:sz w:val="26"/>
          <w:szCs w:val="26"/>
        </w:rPr>
        <w:t xml:space="preserve">10.4 Analyst Summary Dashboard</w:t>
      </w:r>
    </w:p>
    <w:p>
      <w:pPr>
        <w:pStyle w:val="ListParagraph"/>
        <w:numPr>
          <w:ilvl w:val="0"/>
          <w:numId w:val="2"/>
        </w:numPr>
        <w:spacing w:after="40" w:before="40"/>
      </w:pPr>
      <w:r>
        <w:rPr>
          <w:rFonts w:ascii="Arial" w:cs="Arial" w:eastAsia="Arial" w:hAnsi="Arial"/>
          <w:sz w:val="20"/>
          <w:szCs w:val="20"/>
        </w:rPr>
        <w:t xml:space="preserve">Displays aggregate metrics: total flagged today, breakdown by rule type, average riskScore, and Ahnlich p99 latency.</w:t>
      </w:r>
    </w:p>
    <w:p>
      <w:pPr>
        <w:pStyle w:val="ListParagraph"/>
        <w:numPr>
          <w:ilvl w:val="0"/>
          <w:numId w:val="2"/>
        </w:numPr>
        <w:spacing w:after="40" w:before="40"/>
      </w:pPr>
      <w:r>
        <w:rPr>
          <w:rFonts w:ascii="Arial" w:cs="Arial" w:eastAsia="Arial" w:hAnsi="Arial"/>
          <w:sz w:val="20"/>
          <w:szCs w:val="20"/>
        </w:rPr>
        <w:t xml:space="preserve">Time-series chart shows fraud detection volume over the last 24 hours in 1-hour buckets.</w:t>
      </w:r>
    </w:p>
    <w:p>
      <w:pPr>
        <w:pStyle w:val="ListParagraph"/>
        <w:numPr>
          <w:ilvl w:val="0"/>
          <w:numId w:val="2"/>
        </w:numPr>
        <w:spacing w:after="40" w:before="40"/>
      </w:pPr>
      <w:r>
        <w:rPr>
          <w:rFonts w:ascii="Arial" w:cs="Arial" w:eastAsia="Arial" w:hAnsi="Arial"/>
          <w:sz w:val="20"/>
          <w:szCs w:val="20"/>
        </w:rPr>
        <w:t xml:space="preserve">Export button generates a CSV of all flagged transactions for the selected date range.</w:t>
      </w:r>
    </w:p>
    <w:p>
      <w:pPr>
        <w:spacing w:after="0" w:before="0"/>
      </w:pPr>
      <w:r>
        <w:t xml:space="preserve"/>
      </w:r>
    </w:p>
    <w:p>
      <w:pPr>
        <w:pStyle w:val="Heading1"/>
        <w:pBdr>
          <w:bottom w:val="single" w:color="2E75B6" w:sz="6" w:space="1"/>
        </w:pBdr>
        <w:spacing w:after="120" w:before="300"/>
      </w:pPr>
      <w:r>
        <w:rPr>
          <w:rFonts w:ascii="Arial" w:cs="Arial" w:eastAsia="Arial" w:hAnsi="Arial"/>
          <w:b/>
          <w:bCs/>
          <w:color w:val="1F3864"/>
          <w:sz w:val="32"/>
          <w:szCs w:val="32"/>
        </w:rPr>
        <w:t xml:space="preserve">11. Testing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Behavior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 near active fraud hub but within standard limits.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Ahnlich returns similarity of 0.92. RULE-004 triggers with riskScore 0.90. Transaction flagged as INTELLIGENT_ANOMALY.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 insight injection pathway test.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receives fraud.detected in &lt; 500ms. Within 2.5 seconds, ai_explanation.updated fills the drawer text box.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Ahnlich cloud encounters transient timeout.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15ms circuit breaker engages. Engine completes deterministic analysis within 45ms, processes cleanly without error.</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AC-14</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GPT-4o-mini API call times out or fails.</w:t>
            </w:r>
          </w:p>
        </w:tc>
        <w:tc>
          <w:tcPr>
            <w:tcW w:type="dxa" w:w="4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aiExplanation field receives structured fallback string listing the triggered deterministic rules within 3 seconds. No unhandled exceptions thrown.</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AC-15</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Local development with AHNLICH_MOCK_MODE=true.</w:t>
            </w:r>
          </w:p>
        </w:tc>
        <w:tc>
          <w:tcPr>
            <w:tcW w:type="dxa" w:w="4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AhnlichMockService returns seeded synthetic scores. userId prefix TEST_ triggers score &gt; 0.88. Application boots and fraud detection pipeline completes without live Ahnlich credentials.</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AC-16</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Confirmed true-positive fraud transaction vector feedback.</w:t>
            </w:r>
          </w:p>
        </w:tc>
        <w:tc>
          <w:tcPr>
            <w:tcW w:type="dxa" w:w="4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vectorFeedbackStatus transitions from PENDING to SUBMITTED after dynamic update pipeline submits the embedding to Ahnlich index. FAILED status logged with retry scheduled if submission fails.</w:t>
            </w:r>
          </w:p>
        </w:tc>
      </w:tr>
    </w:tbl>
    <w:p>
      <w:r>
        <w:br w:type="page"/>
      </w:r>
    </w:p>
    <w:p>
      <w:pPr>
        <w:pStyle w:val="Heading1"/>
        <w:pBdr>
          <w:bottom w:val="single" w:color="2E75B6" w:sz="6" w:space="1"/>
        </w:pBdr>
        <w:spacing w:after="120" w:before="300"/>
      </w:pPr>
      <w:r>
        <w:rPr>
          <w:rFonts w:ascii="Arial" w:cs="Arial" w:eastAsia="Arial" w:hAnsi="Arial"/>
          <w:b/>
          <w:bCs/>
          <w:color w:val="1F3864"/>
          <w:sz w:val="32"/>
          <w:szCs w:val="32"/>
        </w:rPr>
        <w:t xml:space="preserve">12. Dynamic Vector Update Pipeline (NEW in v1.2)</w:t>
      </w:r>
    </w:p>
    <w:p>
      <w:pPr>
        <w:spacing w:after="60" w:before="60"/>
      </w:pPr>
      <w:r>
        <w:rPr>
          <w:rFonts w:ascii="Arial" w:cs="Arial" w:eastAsia="Arial" w:hAnsi="Arial"/>
          <w:b w:val="false"/>
          <w:bCs w:val="false"/>
          <w:color w:val="222222"/>
          <w:sz w:val="20"/>
          <w:szCs w:val="20"/>
        </w:rPr>
        <w:t xml:space="preserve">This section specifies the automated pipeline that feeds confirmed true-positive fraud transactions back into the Ahnlich index to keep cluster groups current — resolving the open issue identified in v1.1.</w:t>
      </w:r>
    </w:p>
    <w:p>
      <w:pPr>
        <w:spacing w:after="0" w:before="0"/>
      </w:pPr>
      <w:r>
        <w:t xml:space="preserve"/>
      </w:r>
    </w:p>
    <w:p>
      <w:pPr>
        <w:pStyle w:val="Heading2"/>
        <w:spacing w:after="80" w:before="240"/>
      </w:pPr>
      <w:r>
        <w:rPr>
          <w:rFonts w:ascii="Arial" w:cs="Arial" w:eastAsia="Arial" w:hAnsi="Arial"/>
          <w:b/>
          <w:bCs/>
          <w:color w:val="2E75B6"/>
          <w:sz w:val="26"/>
          <w:szCs w:val="26"/>
        </w:rPr>
        <w:t xml:space="preserve">12.1 Pipeline Flow</w:t>
      </w:r>
    </w:p>
    <w:p>
      <w:pPr>
        <w:pStyle w:val="ListParagraph"/>
        <w:numPr>
          <w:ilvl w:val="0"/>
          <w:numId w:val="2"/>
        </w:numPr>
        <w:spacing w:after="40" w:before="40"/>
      </w:pPr>
      <w:r>
        <w:rPr>
          <w:rFonts w:ascii="Arial" w:cs="Arial" w:eastAsia="Arial" w:hAnsi="Arial"/>
          <w:sz w:val="20"/>
          <w:szCs w:val="20"/>
        </w:rPr>
        <w:t xml:space="preserve">Step 1 — Analyst Confirmation: A Fraud Analyst marks a flagged transaction as Confirmed Fraud in the dashboard.</w:t>
      </w:r>
    </w:p>
    <w:p>
      <w:pPr>
        <w:pStyle w:val="ListParagraph"/>
        <w:numPr>
          <w:ilvl w:val="0"/>
          <w:numId w:val="2"/>
        </w:numPr>
        <w:spacing w:after="40" w:before="40"/>
      </w:pPr>
      <w:r>
        <w:rPr>
          <w:rFonts w:ascii="Arial" w:cs="Arial" w:eastAsia="Arial" w:hAnsi="Arial"/>
          <w:sz w:val="20"/>
          <w:szCs w:val="20"/>
        </w:rPr>
        <w:t xml:space="preserve">Step 2 — Feedback Job Enqueue: The confirmation action enqueues a VectorFeedbackJob in a dedicated BullMQ queue (vector-feedback-queue).</w:t>
      </w:r>
    </w:p>
    <w:p>
      <w:pPr>
        <w:pStyle w:val="ListParagraph"/>
        <w:numPr>
          <w:ilvl w:val="0"/>
          <w:numId w:val="2"/>
        </w:numPr>
        <w:spacing w:after="40" w:before="40"/>
      </w:pPr>
      <w:r>
        <w:rPr>
          <w:rFonts w:ascii="Arial" w:cs="Arial" w:eastAsia="Arial" w:hAnsi="Arial"/>
          <w:sz w:val="20"/>
          <w:szCs w:val="20"/>
        </w:rPr>
        <w:t xml:space="preserve">Step 3 — Embedding Extraction: The VectorFeedbackWorker extracts a fresh embedding from the confirmed transaction's context using the same embedding model used at detection time.</w:t>
      </w:r>
    </w:p>
    <w:p>
      <w:pPr>
        <w:pStyle w:val="ListParagraph"/>
        <w:numPr>
          <w:ilvl w:val="0"/>
          <w:numId w:val="2"/>
        </w:numPr>
        <w:spacing w:after="40" w:before="40"/>
      </w:pPr>
      <w:r>
        <w:rPr>
          <w:rFonts w:ascii="Arial" w:cs="Arial" w:eastAsia="Arial" w:hAnsi="Arial"/>
          <w:sz w:val="20"/>
          <w:szCs w:val="20"/>
        </w:rPr>
        <w:t xml:space="preserve">Step 4 — Ahnlich Index Update: The worker submits the embedding to the Ahnlich index via SDK. On success, vectorFeedbackStatus is set to SUBMITTED.</w:t>
      </w:r>
    </w:p>
    <w:p>
      <w:pPr>
        <w:pStyle w:val="ListParagraph"/>
        <w:numPr>
          <w:ilvl w:val="0"/>
          <w:numId w:val="2"/>
        </w:numPr>
        <w:spacing w:after="40" w:before="40"/>
      </w:pPr>
      <w:r>
        <w:rPr>
          <w:rFonts w:ascii="Arial" w:cs="Arial" w:eastAsia="Arial" w:hAnsi="Arial"/>
          <w:sz w:val="20"/>
          <w:szCs w:val="20"/>
        </w:rPr>
        <w:t xml:space="preserve">Step 5 — Failure Handling: On SDK failure, vectorFeedbackStatus is set to FAILED and the job is re-queued with exponential backoff (max 3 retries).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12.2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VECTOR_FEEDBACK_QUEUE_CONCURRENCY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BullMQ worker concurrency for the vector feedback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VECTOR_FEEDBACK_MAX_RETRIES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Maximum retry attempts for failed Ahnlich index submissions.</w:t>
            </w:r>
          </w:p>
        </w:tc>
      </w:tr>
    </w:tbl>
    <w:p>
      <w:pPr>
        <w:spacing w:after="0" w:before="0"/>
      </w:pPr>
      <w:r>
        <w:t xml:space="preserve"/>
      </w:r>
    </w:p>
    <w:p>
      <w:pPr>
        <w:pStyle w:val="Heading1"/>
        <w:pBdr>
          <w:bottom w:val="single" w:color="2E75B6" w:sz="6" w:space="1"/>
        </w:pBdr>
        <w:spacing w:after="120" w:before="300"/>
      </w:pPr>
      <w:r>
        <w:rPr>
          <w:rFonts w:ascii="Arial" w:cs="Arial" w:eastAsia="Arial" w:hAnsi="Arial"/>
          <w:b/>
          <w:bCs/>
          <w:color w:val="1F3864"/>
          <w:sz w:val="32"/>
          <w:szCs w:val="32"/>
        </w:rPr>
        <w:t xml:space="preserve">13. Open Issues &amp; Evolutionary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375623"/>
                <w:sz w:val="20"/>
                <w:szCs w:val="20"/>
              </w:rPr>
              <w:t xml:space="preserve">Resolved in v1.2</w:t>
            </w:r>
          </w:p>
          <w:p>
            <w:r>
              <w:rPr>
                <w:rFonts w:ascii="Arial" w:cs="Arial" w:eastAsia="Arial" w:hAnsi="Arial"/>
                <w:color w:val="333333"/>
                <w:sz w:val="20"/>
                <w:szCs w:val="20"/>
              </w:rPr>
              <w:t xml:space="preserve">All open issues from v1.1 have been addressed. The offline mock strategy (AhnlichMockService) and the LLM provider selection (OpenAI GPT-4o-mini) are now fully specified. The dynamic vector update pipeline is detailed in Section 12.</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13.1 Remaining Evolutionary Items</w:t>
      </w:r>
    </w:p>
    <w:p>
      <w:pPr>
        <w:pStyle w:val="ListParagraph"/>
        <w:numPr>
          <w:ilvl w:val="0"/>
          <w:numId w:val="2"/>
        </w:numPr>
        <w:spacing w:after="40" w:before="40"/>
      </w:pPr>
      <w:r>
        <w:rPr>
          <w:rFonts w:ascii="Arial" w:cs="Arial" w:eastAsia="Arial" w:hAnsi="Arial"/>
          <w:sz w:val="20"/>
          <w:szCs w:val="20"/>
        </w:rPr>
        <w:t xml:space="preserve">Multi-Tenant Support: Extending the fraud engine to support isolated rule configurations per financial institution client.</w:t>
      </w:r>
    </w:p>
    <w:p>
      <w:pPr>
        <w:pStyle w:val="ListParagraph"/>
        <w:numPr>
          <w:ilvl w:val="0"/>
          <w:numId w:val="2"/>
        </w:numPr>
        <w:spacing w:after="40" w:before="40"/>
      </w:pPr>
      <w:r>
        <w:rPr>
          <w:rFonts w:ascii="Arial" w:cs="Arial" w:eastAsia="Arial" w:hAnsi="Arial"/>
          <w:sz w:val="20"/>
          <w:szCs w:val="20"/>
        </w:rPr>
        <w:t xml:space="preserve">Model Versioning: Strategy for versioning Ahnlich index snapshots to enable rollback if a vector cluster update degrades detection quality.</w:t>
      </w:r>
    </w:p>
    <w:p>
      <w:pPr>
        <w:pStyle w:val="ListParagraph"/>
        <w:numPr>
          <w:ilvl w:val="0"/>
          <w:numId w:val="2"/>
        </w:numPr>
        <w:spacing w:after="40" w:before="40"/>
      </w:pPr>
      <w:r>
        <w:rPr>
          <w:rFonts w:ascii="Arial" w:cs="Arial" w:eastAsia="Arial" w:hAnsi="Arial"/>
          <w:sz w:val="20"/>
          <w:szCs w:val="20"/>
        </w:rPr>
        <w:t xml:space="preserve">Adaptive Thresholds: ML-driven dynamic adjustment of FRAUD_SIMILARITY_THRESHOLD based on rolling false-positive rates.</w:t>
      </w:r>
    </w:p>
    <w:p>
      <w:pPr>
        <w:pStyle w:val="ListParagraph"/>
        <w:numPr>
          <w:ilvl w:val="0"/>
          <w:numId w:val="2"/>
        </w:numPr>
        <w:spacing w:after="40" w:before="40"/>
      </w:pPr>
      <w:r>
        <w:rPr>
          <w:rFonts w:ascii="Arial" w:cs="Arial" w:eastAsia="Arial" w:hAnsi="Arial"/>
          <w:sz w:val="20"/>
          <w:szCs w:val="20"/>
        </w:rPr>
        <w:t xml:space="preserve">Audit Export API: A dedicated endpoint for Compliance Officers to export full audit trails in CSV and PDF formats without dashboard access.</w:t>
      </w:r>
    </w:p>
    <w:p>
      <w:pPr>
        <w:spacing w:after="0" w:before="0"/>
      </w:pPr>
      <w:r>
        <w:t xml:space="preserve"/>
      </w:r>
    </w:p>
    <w:p>
      <w:pPr>
        <w:spacing w:after="120" w:before="480"/>
        <w:jc w:val="center"/>
      </w:pPr>
      <w:r>
        <w:rPr>
          <w:rFonts w:ascii="Arial" w:cs="Arial" w:eastAsia="Arial" w:hAnsi="Arial"/>
          <w:b/>
          <w:bCs/>
          <w:i/>
          <w:iCs/>
          <w:color w:val="888888"/>
          <w:sz w:val="20"/>
          <w:szCs w:val="20"/>
        </w:rPr>
        <w:t xml:space="preserve">End of Document — Real-Time AI-Powered Fraud Detection Engine PRD v1.2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Fraud Detection System PRD v1.2  |  Confidential / Internal Engineering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2026-06-23T22:13:34.141Z</dcterms:created>
  <dcterms:modified xsi:type="dcterms:W3CDTF">2026-06-23T22:13:34.141Z</dcterms:modified>
</cp:coreProperties>
</file>

<file path=docProps/custom.xml><?xml version="1.0" encoding="utf-8"?>
<Properties xmlns="http://schemas.openxmlformats.org/officeDocument/2006/custom-properties" xmlns:vt="http://schemas.openxmlformats.org/officeDocument/2006/docPropsVTypes"/>
</file>