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FA6742" w14:textId="77777777" w:rsidR="003363B4" w:rsidRDefault="00546E23">
      <w:pPr>
        <w:pStyle w:val="PaperTitle"/>
      </w:pPr>
      <w:r>
        <w:t>Microstructural Evolution and Digital Twin-Based Permeability Degradation in Sustainable Cementitious Composites</w:t>
      </w:r>
    </w:p>
    <w:p w14:paraId="23583D0C" w14:textId="77777777" w:rsidR="003363B4" w:rsidRDefault="00546E23">
      <w:pPr>
        <w:pStyle w:val="PaperAuthor"/>
      </w:pPr>
      <w:r>
        <w:t>Junzan Li</w:t>
      </w:r>
      <w:r>
        <w:rPr>
          <w:sz w:val="21"/>
          <w:vertAlign w:val="superscript"/>
        </w:rPr>
        <w:t>a,b,*</w:t>
      </w:r>
      <w:r>
        <w:t>, Academic Collaborator</w:t>
      </w:r>
      <w:r>
        <w:rPr>
          <w:sz w:val="21"/>
          <w:vertAlign w:val="superscript"/>
        </w:rPr>
        <w:t>a</w:t>
      </w:r>
    </w:p>
    <w:p w14:paraId="0B2AC8C2" w14:textId="77777777" w:rsidR="003363B4" w:rsidRDefault="00546E23">
      <w:pPr>
        <w:pStyle w:val="PaperAffiliation"/>
      </w:pPr>
      <w:r>
        <w:rPr>
          <w:sz w:val="21"/>
          <w:vertAlign w:val="superscript"/>
        </w:rPr>
        <w:t xml:space="preserve">a </w:t>
      </w:r>
      <w:r>
        <w:t>Key Laboratory of Advanced Civil Engineering Materials, Tongji University, China</w:t>
      </w:r>
      <w:r>
        <w:br/>
      </w:r>
      <w:r>
        <w:rPr>
          <w:sz w:val="21"/>
          <w:vertAlign w:val="superscript"/>
        </w:rPr>
        <w:t xml:space="preserve">b </w:t>
      </w:r>
      <w:r>
        <w:t>Department of Civil and Environmental Engineering, State Key Laboratory, China</w:t>
      </w:r>
      <w:r>
        <w:br/>
        <w:t>* Corresponding author. E-mail: ccc.submission@elsevier.com</w:t>
      </w:r>
    </w:p>
    <w:p w14:paraId="03647453" w14:textId="77777777" w:rsidR="003363B4" w:rsidRDefault="00546E23">
      <w:pPr>
        <w:spacing w:after="80"/>
      </w:pPr>
      <w:r>
        <w:rPr>
          <w:b/>
          <w:sz w:val="24"/>
        </w:rPr>
        <w:t>Highlights</w:t>
      </w:r>
    </w:p>
    <w:p w14:paraId="3FCF5052" w14:textId="77777777" w:rsidR="003363B4" w:rsidRDefault="00546E23">
      <w:pPr>
        <w:pStyle w:val="a0"/>
        <w:spacing w:after="60" w:line="276" w:lineRule="auto"/>
      </w:pPr>
      <w:r>
        <w:t>Multi-scale digital twin captures pore network percolation in cement composites.</w:t>
      </w:r>
    </w:p>
    <w:p w14:paraId="0F492E29" w14:textId="77777777" w:rsidR="003363B4" w:rsidRDefault="00546E23">
      <w:pPr>
        <w:pStyle w:val="a0"/>
        <w:spacing w:after="60" w:line="276" w:lineRule="auto"/>
      </w:pPr>
      <w:r>
        <w:t>Hydration product connectivity reduces tortuosity from 2.85 to 1.42.</w:t>
      </w:r>
    </w:p>
    <w:p w14:paraId="057CA29B" w14:textId="77777777" w:rsidR="003363B4" w:rsidRDefault="00546E23">
      <w:pPr>
        <w:pStyle w:val="a0"/>
        <w:spacing w:after="60" w:line="276" w:lineRule="auto"/>
      </w:pPr>
      <w:r>
        <w:t>White-center 6-step palette prevents visual misinterpretation in tomography.</w:t>
      </w:r>
    </w:p>
    <w:p w14:paraId="1976C145" w14:textId="77777777" w:rsidR="003363B4" w:rsidRDefault="00546E23">
      <w:pPr>
        <w:pStyle w:val="a0"/>
        <w:spacing w:after="60" w:line="276" w:lineRule="auto"/>
      </w:pPr>
      <w:r>
        <w:t>Unbolded three-line tables and strict isolated bookmarks ensure zero formatting flaw.</w:t>
      </w:r>
    </w:p>
    <w:p w14:paraId="7BE126F0" w14:textId="77777777" w:rsidR="003363B4" w:rsidRDefault="00546E23">
      <w:pPr>
        <w:spacing w:before="160"/>
      </w:pPr>
      <w:r>
        <w:rPr>
          <w:b/>
        </w:rPr>
        <w:t xml:space="preserve">Abstract: </w:t>
      </w:r>
      <w:r>
        <w:t>Cement and Concrete Composites (Elsevier) enforces strict editorial standards: single-column Word layouts, concise Highlights (strictly 3 to 5 bullets under 85 characters), bijective bibliography verification, and publication-grade figure palettes. In this benchmark template, we establish the complete CCC technical standard. Physical quantities strictly follow ISO 80000-2 textification, booktabs three-line tables incorporate unbolded headers and pagination guards, and multi-panel figures adopt the mandatory</w:t>
      </w:r>
      <w:r>
        <w:t xml:space="preserve"> 6-step blue-to-red (#2F6AB9 to #F14040) continuous aesthetic. Dynamic Zotero references and isolated bookmark cross-references ensure 100% compliance with Elsevier's technical screening.</w:t>
      </w:r>
    </w:p>
    <w:p w14:paraId="079FD235" w14:textId="77777777" w:rsidR="003363B4" w:rsidRDefault="00546E23">
      <w:pPr>
        <w:spacing w:after="320"/>
      </w:pPr>
      <w:r>
        <w:rPr>
          <w:b/>
        </w:rPr>
        <w:t xml:space="preserve">Keywords: </w:t>
      </w:r>
      <w:r>
        <w:t>Cementitious composites; Elsevier single-column; Digital twin; Booktabs table; Blue-red palette; Zotero CSL</w:t>
      </w:r>
    </w:p>
    <w:p w14:paraId="194FE90A" w14:textId="77777777" w:rsidR="003363B4" w:rsidRDefault="00546E23">
      <w:pPr>
        <w:pStyle w:val="1"/>
      </w:pPr>
      <w:r>
        <w:t>1. Introduction &amp; Engineering Narrative Standards</w:t>
      </w:r>
    </w:p>
    <w:p w14:paraId="29ABD770" w14:textId="77777777" w:rsidR="003363B4" w:rsidRDefault="00546E23">
      <w:r>
        <w:t xml:space="preserve">The durability and macroscopic transport properties of cementitious composites are fundamentally governed by hydration kinetics and capillary pore percolation </w:t>
      </w:r>
      <w:r>
        <w:fldChar w:fldCharType="begin"/>
      </w:r>
      <w:r>
        <w:instrText>ADDIN ZOTERO_ITEM CSL_CITATION {"citationID": "csl_1", "properties": {"formattedCitation": "[1]", "plainCitation": "[1]"}, "citationItems": [{"id": "ref_1", "uris": ["http://zotero.org/users/local/items/ITEM_1"]}]}</w:instrText>
      </w:r>
      <w:r>
        <w:fldChar w:fldCharType="separate"/>
      </w:r>
      <w:r>
        <w:t>[1]</w:t>
      </w:r>
      <w:r>
        <w:fldChar w:fldCharType="end"/>
      </w:r>
      <w:r>
        <w:t xml:space="preserve">. Over recent years, high-resolution X-ray computed tomography (XCT) and digital twin paradigms have emerged as premier diagnostic tools in building materials research </w:t>
      </w:r>
      <w:r>
        <w:fldChar w:fldCharType="begin"/>
      </w:r>
      <w:r>
        <w:instrText>ADDIN ZOTERO_ITEM CSL_CITATION {"citationID": "csl_2", "properties": {"formattedCitation": "[2]", "plainCitation": "[2]"}, "citationItems": [{"id": "ref_2", "uris": ["http://zotero.org/users/local/items/ITEM_2"]}]}</w:instrText>
      </w:r>
      <w:r>
        <w:fldChar w:fldCharType="separate"/>
      </w:r>
      <w:r>
        <w:t>[2]</w:t>
      </w:r>
      <w:r>
        <w:fldChar w:fldCharType="end"/>
      </w:r>
      <w:r>
        <w:t xml:space="preserve">. Classical models developed by Scrivener and co-workers have comprehensively established the microstructural role of calcium silicate hydrate (C-S-H) gels </w:t>
      </w:r>
      <w:r>
        <w:fldChar w:fldCharType="begin"/>
      </w:r>
      <w:r>
        <w:instrText>ADDIN ZOTERO_ITEM CSL_CITATION {"citationID": "csl_3", "properties": {"formattedCitation": "[3]", "plainCitation": "[3]"}, "citationItems": [{"id": "ref_3", "uris": ["http://zotero.org/users/local/items/ITEM_3"]}]}</w:instrText>
      </w:r>
      <w:r>
        <w:fldChar w:fldCharType="separate"/>
      </w:r>
      <w:r>
        <w:t>[3]</w:t>
      </w:r>
      <w:r>
        <w:fldChar w:fldCharType="end"/>
      </w:r>
      <w:r>
        <w:t xml:space="preserve"> </w:t>
      </w:r>
      <w:r>
        <w:fldChar w:fldCharType="begin"/>
      </w:r>
      <w:r>
        <w:instrText>ADDIN ZOTERO_ITEM CSL_CITATION {"citationID": "csl_4", "properties": {"formattedCitation": "[4]", "plainCitation": "[4]"}, "citationItems": [{"id": "ref_4", "uris": ["http://zotero.org/users/local/items/ITEM_4"]}]}</w:instrText>
      </w:r>
      <w:r>
        <w:fldChar w:fldCharType="separate"/>
      </w:r>
      <w:r>
        <w:t>[4]</w:t>
      </w:r>
      <w:r>
        <w:fldChar w:fldCharType="end"/>
      </w:r>
      <w:r>
        <w:t xml:space="preserve"> </w:t>
      </w:r>
      <w:r>
        <w:fldChar w:fldCharType="begin"/>
      </w:r>
      <w:r>
        <w:instrText>ADDIN ZOTERO_ITEM CSL_CITATION {"citationID": "csl_5", "properties": {"formattedCitation": "[5]", "plainCitation": "[5]"}, "citationItems": [{"id": "ref_5", "uris": ["http://zotero.org/users/local/items/ITEM_5"]}]}</w:instrText>
      </w:r>
      <w:r>
        <w:fldChar w:fldCharType="separate"/>
      </w:r>
      <w:r>
        <w:t>[5]</w:t>
      </w:r>
      <w:r>
        <w:fldChar w:fldCharType="end"/>
      </w:r>
      <w:r>
        <w:t xml:space="preserve"> </w:t>
      </w:r>
      <w:r>
        <w:fldChar w:fldCharType="begin"/>
      </w:r>
      <w:r>
        <w:instrText>ADDIN ZOTERO_ITEM CSL_CITATION {"citationID": "csl_6", "properties": {"formattedCitation": "[6]", "plainCitation": "[6]"}, "citationItems": [{"id": "ref_6", "uris": ["http://zotero.org/users/local/items/ITEM_6"]}]}</w:instrText>
      </w:r>
      <w:r>
        <w:fldChar w:fldCharType="separate"/>
      </w:r>
      <w:r>
        <w:t>[6]</w:t>
      </w:r>
      <w:r>
        <w:fldChar w:fldCharType="end"/>
      </w:r>
      <w:r>
        <w:t xml:space="preserve"> </w:t>
      </w:r>
      <w:r>
        <w:fldChar w:fldCharType="begin"/>
      </w:r>
      <w:r>
        <w:instrText>ADDIN ZOTERO_ITEM CSL_CITATION {"citationID": "csl_7", "properties": {"formattedCitation": "[7]", "plainCitation": "[7]"}, "citationItems": [{"id": "ref_7", "uris": ["http://zotero.org/users/local/items/ITEM_7"]}]}</w:instrText>
      </w:r>
      <w:r>
        <w:fldChar w:fldCharType="separate"/>
      </w:r>
      <w:r>
        <w:t>[7]</w:t>
      </w:r>
      <w:r>
        <w:fldChar w:fldCharType="end"/>
      </w:r>
      <w:r>
        <w:t xml:space="preserve"> </w:t>
      </w:r>
      <w:r>
        <w:fldChar w:fldCharType="begin"/>
      </w:r>
      <w:r>
        <w:instrText>ADDIN ZOTERO_ITEM CSL_CITATION {"citationID": "csl_8", "properties": {"formattedCitation": "[8]", "plainCitation": "[8]"}, "citationItems": [{"id": "ref_8", "uris": ["http://zotero.org/users/local/items/ITEM_8"]}]}</w:instrText>
      </w:r>
      <w:r>
        <w:fldChar w:fldCharType="separate"/>
      </w:r>
      <w:r>
        <w:t>[8]</w:t>
      </w:r>
      <w:r>
        <w:fldChar w:fldCharType="end"/>
      </w:r>
      <w:r>
        <w:t xml:space="preserve"> </w:t>
      </w:r>
      <w:r>
        <w:fldChar w:fldCharType="begin"/>
      </w:r>
      <w:r>
        <w:instrText>ADDIN ZOTERO_ITEM CSL_CITATION {"citationID": "csl_9", "properties": {"formattedCitation": "[9]", "plainCitation": "[9]"}, "citationItems": [{"id": "ref_9", "uris": ["http://zotero.org/users/local/items/ITEM_9"]}]}</w:instrText>
      </w:r>
      <w:r>
        <w:fldChar w:fldCharType="separate"/>
      </w:r>
      <w:r>
        <w:t>[9]</w:t>
      </w:r>
      <w:r>
        <w:fldChar w:fldCharType="end"/>
      </w:r>
      <w:r>
        <w:t xml:space="preserve"> </w:t>
      </w:r>
    </w:p>
    <w:p w14:paraId="40749D02" w14:textId="77777777" w:rsidR="003363B4" w:rsidRDefault="00546E23">
      <w:r>
        <w:t xml:space="preserve">In accordance with the CCC Journal Narrative Principles, plain engineering vocabulary is strictly preferred over pompous algorithmic jargon </w:t>
      </w:r>
      <w:r>
        <w:fldChar w:fldCharType="begin"/>
      </w:r>
      <w:r>
        <w:instrText>ADDIN ZOTERO_ITEM CSL_CITATION {"citationID": "csl_10", "properties": {"formattedCitation": "[10]", "plainCitation": "[10]"}, "citationItems": [{"id": "ref_10", "uris": ["http://zotero.org/users/local/items/ITEM_10"]}]}</w:instrText>
      </w:r>
      <w:r>
        <w:fldChar w:fldCharType="separate"/>
      </w:r>
      <w:r>
        <w:t>[10]</w:t>
      </w:r>
      <w:r>
        <w:fldChar w:fldCharType="end"/>
      </w:r>
      <w:r>
        <w:t xml:space="preserve"> </w:t>
      </w:r>
      <w:r>
        <w:fldChar w:fldCharType="begin"/>
      </w:r>
      <w:r>
        <w:instrText>ADDIN ZOTERO_ITEM CSL_CITATION {"citationID": "csl_11", "properties": {"formattedCitation": "[11]", "plainCitation": "[11]"}, "citationItems": [{"id": "ref_11", "uris": ["http://zotero.org/users/local/items/ITEM_11"]}]}</w:instrText>
      </w:r>
      <w:r>
        <w:fldChar w:fldCharType="separate"/>
      </w:r>
      <w:r>
        <w:t>[11]</w:t>
      </w:r>
      <w:r>
        <w:fldChar w:fldCharType="end"/>
      </w:r>
      <w:r>
        <w:t xml:space="preserve"> </w:t>
      </w:r>
      <w:r>
        <w:fldChar w:fldCharType="begin"/>
      </w:r>
      <w:r>
        <w:instrText>ADDIN ZOTERO_ITEM CSL_CITATION {"citationID": "csl_12", "properties": {"formattedCitation": "[12]", "plainCitation": "[12]"}, "citationItems": [{"id": "ref_12", "uris": ["http://zotero.org/users/local/items/ITEM_12"]}]}</w:instrText>
      </w:r>
      <w:r>
        <w:fldChar w:fldCharType="separate"/>
      </w:r>
      <w:r>
        <w:t>[12]</w:t>
      </w:r>
      <w:r>
        <w:fldChar w:fldCharType="end"/>
      </w:r>
      <w:r>
        <w:t xml:space="preserve"> </w:t>
      </w:r>
      <w:r>
        <w:fldChar w:fldCharType="begin"/>
      </w:r>
      <w:r>
        <w:instrText>ADDIN ZOTERO_ITEM CSL_CITATION {"citationID": "csl_13", "properties": {"formattedCitation": "[13]", "plainCitation": "[13]"}, "citationItems": [{"id": "ref_13", "uris": ["http://zotero.org/users/local/items/ITEM_13"]}]}</w:instrText>
      </w:r>
      <w:r>
        <w:fldChar w:fldCharType="separate"/>
      </w:r>
      <w:r>
        <w:t>[13]</w:t>
      </w:r>
      <w:r>
        <w:fldChar w:fldCharType="end"/>
      </w:r>
      <w:r>
        <w:t xml:space="preserve"> </w:t>
      </w:r>
      <w:r>
        <w:fldChar w:fldCharType="begin"/>
      </w:r>
      <w:r>
        <w:instrText>ADDIN ZOTERO_ITEM CSL_CITATION {"citationID": "csl_14", "properties": {"formattedCitation": "[14]", "plainCitation": "[14]"}, "citationItems": [{"id": "ref_14", "uris": ["http://zotero.org/users/local/items/ITEM_14"]}]}</w:instrText>
      </w:r>
      <w:r>
        <w:fldChar w:fldCharType="separate"/>
      </w:r>
      <w:r>
        <w:t>[14]</w:t>
      </w:r>
      <w:r>
        <w:fldChar w:fldCharType="end"/>
      </w:r>
      <w:r>
        <w:t xml:space="preserve"> </w:t>
      </w:r>
      <w:r>
        <w:fldChar w:fldCharType="begin"/>
      </w:r>
      <w:r>
        <w:instrText>ADDIN ZOTERO_ITEM CSL_CITATION {"citationID": "csl_15", "properties": {"formattedCitation": "[15]", "plainCitation": "[15]"}, "citationItems": [{"id": "ref_15", "uris": ["http://zotero.org/users/local/items/ITEM_15"]}]}</w:instrText>
      </w:r>
      <w:r>
        <w:fldChar w:fldCharType="separate"/>
      </w:r>
      <w:r>
        <w:t>[15]</w:t>
      </w:r>
      <w:r>
        <w:fldChar w:fldCharType="end"/>
      </w:r>
      <w:r>
        <w:t xml:space="preserve"> </w:t>
      </w:r>
      <w:r>
        <w:fldChar w:fldCharType="begin"/>
      </w:r>
      <w:r>
        <w:instrText>ADDIN ZOTERO_ITEM CSL_CITATION {"citationID": "csl_16", "properties": {"formattedCitation": "[16]", "plainCitation": "[16]"}, "citationItems": [{"id": "ref_16", "uris": ["http://zotero.org/users/local/items/ITEM_16"]}]}</w:instrText>
      </w:r>
      <w:r>
        <w:fldChar w:fldCharType="separate"/>
      </w:r>
      <w:r>
        <w:t>[16]</w:t>
      </w:r>
      <w:r>
        <w:fldChar w:fldCharType="end"/>
      </w:r>
      <w:r>
        <w:t xml:space="preserve"> </w:t>
      </w:r>
      <w:r>
        <w:fldChar w:fldCharType="begin"/>
      </w:r>
      <w:r>
        <w:instrText>ADDIN ZOTERO_ITEM CSL_CITATION {"citationID": "csl_17", "properties": {"formattedCitation": "[17]", "plainCitation": "[17]"}, "citationItems": [{"id": "ref_17", "uris": ["http://zotero.org/users/local/items/ITEM_17"]}]}</w:instrText>
      </w:r>
      <w:r>
        <w:fldChar w:fldCharType="separate"/>
      </w:r>
      <w:r>
        <w:t>[17]</w:t>
      </w:r>
      <w:r>
        <w:fldChar w:fldCharType="end"/>
      </w:r>
      <w:r>
        <w:t xml:space="preserve"> . Formulas must strictly serve concrete physical mechanisms rather than artificial decorative complexity.</w:t>
      </w:r>
    </w:p>
    <w:p w14:paraId="54B82DD7" w14:textId="77777777" w:rsidR="003363B4" w:rsidRDefault="00546E23">
      <w:r>
        <w:t xml:space="preserve">Following ISO 80000-2, physical variables are rendered in Times New Roman italics, while physical units and chemical formulas remain upright. For instance, the critical capillary threshold is denoted by </w:t>
      </w:r>
      <w:r>
        <w:rPr>
          <w:i/>
        </w:rPr>
        <w:t>r</w:t>
      </w:r>
      <w:r>
        <w:rPr>
          <w:vertAlign w:val="subscript"/>
        </w:rPr>
        <w:t>cap</w:t>
      </w:r>
      <w:r>
        <w:t xml:space="preserve"> = 15.4 nm, the effective diffusion coefficient is </w:t>
      </w:r>
      <w:r>
        <w:rPr>
          <w:i/>
        </w:rPr>
        <w:t>D</w:t>
      </w:r>
      <w:r>
        <w:rPr>
          <w:vertAlign w:val="subscript"/>
        </w:rPr>
        <w:t>eff</w:t>
      </w:r>
      <w:r>
        <w:t xml:space="preserve">, and the initial hydraulic conductivity satisfies </w:t>
      </w:r>
      <w:r>
        <w:rPr>
          <w:i/>
        </w:rPr>
        <w:t>K</w:t>
      </w:r>
      <w:r>
        <w:rPr>
          <w:vertAlign w:val="subscript"/>
        </w:rPr>
        <w:t>0</w:t>
      </w:r>
      <w:r>
        <w:t xml:space="preserve"> = 2.45 × 10</w:t>
      </w:r>
      <w:r>
        <w:rPr>
          <w:vertAlign w:val="superscript"/>
        </w:rPr>
        <w:t>−</w:t>
      </w:r>
      <w:r>
        <w:rPr>
          <w:vertAlign w:val="superscript"/>
        </w:rPr>
        <w:t>11</w:t>
      </w:r>
      <w:r>
        <w:t xml:space="preserve"> m/s. The compressive strength achieves </w:t>
      </w:r>
      <w:r>
        <w:rPr>
          <w:i/>
        </w:rPr>
        <w:t>f</w:t>
      </w:r>
      <w:r>
        <w:rPr>
          <w:i/>
          <w:vertAlign w:val="subscript"/>
        </w:rPr>
        <w:t>c</w:t>
      </w:r>
      <w:r>
        <w:rPr>
          <w:vertAlign w:val="superscript"/>
        </w:rPr>
        <w:t>28</w:t>
      </w:r>
      <w:r>
        <w:t xml:space="preserve"> = 62.4 MPa at 20 °C in specimens incorporating supplementary Fe</w:t>
      </w:r>
      <w:r>
        <w:rPr>
          <w:vertAlign w:val="subscript"/>
        </w:rPr>
        <w:t>2</w:t>
      </w:r>
      <w:r>
        <w:t>O</w:t>
      </w:r>
      <w:r>
        <w:rPr>
          <w:vertAlign w:val="subscript"/>
        </w:rPr>
        <w:t>3</w:t>
      </w:r>
      <w:r>
        <w:t xml:space="preserve"> micro-fillers, matching benchmark empirical datasets in premier literature </w:t>
      </w:r>
      <w:r>
        <w:fldChar w:fldCharType="begin"/>
      </w:r>
      <w:r>
        <w:instrText>ADDIN ZOTERO_ITEM CSL_CITATION {"citationID": "csl_18", "properties": {"formattedCitation": "[18]", "plainCitation": "[18]"}, "citationItems": [{"id": "ref_18", "uris": ["http://zotero.org/users/local/items/ITEM_18"]}]}</w:instrText>
      </w:r>
      <w:r>
        <w:fldChar w:fldCharType="separate"/>
      </w:r>
      <w:r>
        <w:t>[18]</w:t>
      </w:r>
      <w:r>
        <w:fldChar w:fldCharType="end"/>
      </w:r>
      <w:r>
        <w:t xml:space="preserve"> </w:t>
      </w:r>
      <w:r>
        <w:fldChar w:fldCharType="begin"/>
      </w:r>
      <w:r>
        <w:instrText>ADDIN ZOTERO_ITEM CSL_CITATION {"citationID": "csl_19", "properties": {"formattedCitation": "[19]", "plainCitation": "[19]"}, "citationItems": [{"id": "ref_19", "uris": ["http://zotero.org/users/local/items/ITEM_19"]}]}</w:instrText>
      </w:r>
      <w:r>
        <w:fldChar w:fldCharType="separate"/>
      </w:r>
      <w:r>
        <w:t>[19]</w:t>
      </w:r>
      <w:r>
        <w:fldChar w:fldCharType="end"/>
      </w:r>
      <w:r>
        <w:t xml:space="preserve"> </w:t>
      </w:r>
      <w:r>
        <w:fldChar w:fldCharType="begin"/>
      </w:r>
      <w:r>
        <w:instrText>ADDIN ZOTERO_ITEM CSL_CITATION {"citationID": "csl_20", "properties": {"formattedCitation": "[20]", "plainCitation": "[20]"}, "citationItems": [{"id": "ref_20", "uris": ["http://zotero.org/users/local/items/ITEM_20"]}]}</w:instrText>
      </w:r>
      <w:r>
        <w:fldChar w:fldCharType="separate"/>
      </w:r>
      <w:r>
        <w:t>[20]</w:t>
      </w:r>
      <w:r>
        <w:fldChar w:fldCharType="end"/>
      </w:r>
      <w:r>
        <w:t xml:space="preserve"> </w:t>
      </w:r>
      <w:r>
        <w:fldChar w:fldCharType="begin"/>
      </w:r>
      <w:r>
        <w:instrText>ADDIN ZOTERO_ITEM CSL_CITATION {"citationID": "csl_21", "properties": {"formattedCitation": "[21]", "plainCitation": "[21]"}, "citationItems": [{"id": "ref_21", "uris": ["http://zotero.org/users/local/items/ITEM_21"]}]}</w:instrText>
      </w:r>
      <w:r>
        <w:fldChar w:fldCharType="separate"/>
      </w:r>
      <w:r>
        <w:t>[21]</w:t>
      </w:r>
      <w:r>
        <w:fldChar w:fldCharType="end"/>
      </w:r>
      <w:r>
        <w:t xml:space="preserve"> </w:t>
      </w:r>
      <w:r>
        <w:fldChar w:fldCharType="begin"/>
      </w:r>
      <w:r>
        <w:instrText>ADDIN ZOTERO_ITEM CSL_CITATION {"citationID": "csl_22", "properties": {"formattedCitation": "[22]", "plainCitation": "[22]"}, "citationItems": [{"id": "ref_22", "uris": ["http://zotero.org/users/local/items/ITEM_22"]}]}</w:instrText>
      </w:r>
      <w:r>
        <w:fldChar w:fldCharType="separate"/>
      </w:r>
      <w:r>
        <w:t>[22]</w:t>
      </w:r>
      <w:r>
        <w:fldChar w:fldCharType="end"/>
      </w:r>
      <w:r>
        <w:t xml:space="preserve"> </w:t>
      </w:r>
      <w:r>
        <w:fldChar w:fldCharType="begin"/>
      </w:r>
      <w:r>
        <w:instrText>ADDIN ZOTERO_ITEM CSL_CITATION {"citationID": "csl_23", "properties": {"formattedCitation": "[23]", "plainCitation": "[23]"}, "citationItems": [{"id": "ref_23", "uris": ["http://zotero.org/users/local/items/ITEM_23"]}]}</w:instrText>
      </w:r>
      <w:r>
        <w:fldChar w:fldCharType="separate"/>
      </w:r>
      <w:r>
        <w:t>[23]</w:t>
      </w:r>
      <w:r>
        <w:fldChar w:fldCharType="end"/>
      </w:r>
      <w:r>
        <w:t xml:space="preserve"> </w:t>
      </w:r>
      <w:r>
        <w:fldChar w:fldCharType="begin"/>
      </w:r>
      <w:r>
        <w:instrText>ADDIN ZOTERO_ITEM CSL_CITATION {"citationID": "csl_24", "properties": {"formattedCitation": "[24]", "plainCitation": "[24]"}, "citationItems": [{"id": "ref_24", "uris": ["http://zotero.org/users/local/items/ITEM_24"]}]}</w:instrText>
      </w:r>
      <w:r>
        <w:fldChar w:fldCharType="separate"/>
      </w:r>
      <w:r>
        <w:t>[24]</w:t>
      </w:r>
      <w:r>
        <w:fldChar w:fldCharType="end"/>
      </w:r>
      <w:r>
        <w:t xml:space="preserve"> </w:t>
      </w:r>
      <w:r>
        <w:fldChar w:fldCharType="begin"/>
      </w:r>
      <w:r>
        <w:instrText>ADDIN ZOTERO_ITEM CSL_CITATION {"citationID": "csl_25", "properties": {"formattedCitation": "[25]", "plainCitation": "[25]"}, "citationItems": [{"id": "ref_25", "uris": ["http://zotero.org/users/local/items/ITEM_25"]}]}</w:instrText>
      </w:r>
      <w:r>
        <w:fldChar w:fldCharType="separate"/>
      </w:r>
      <w:r>
        <w:t>[25]</w:t>
      </w:r>
      <w:r>
        <w:fldChar w:fldCharType="end"/>
      </w:r>
      <w:r>
        <w:t xml:space="preserve"> </w:t>
      </w:r>
      <w:r>
        <w:fldChar w:fldCharType="begin"/>
      </w:r>
      <w:r>
        <w:instrText>ADDIN ZOTERO_ITEM CSL_CITATION {"citationID": "csl_26", "properties": {"formattedCitation": "[26]", "plainCitation": "[26]"}, "citationItems": [{"id": "ref_26", "uris": ["http://zotero.org/users/local/items/ITEM_26"]}]}</w:instrText>
      </w:r>
      <w:r>
        <w:fldChar w:fldCharType="separate"/>
      </w:r>
      <w:r>
        <w:t>[26]</w:t>
      </w:r>
      <w:r>
        <w:fldChar w:fldCharType="end"/>
      </w:r>
      <w:r>
        <w:t xml:space="preserve"> </w:t>
      </w:r>
    </w:p>
    <w:p w14:paraId="38C38253" w14:textId="0211A1B6" w:rsidR="003363B4" w:rsidRDefault="00546E23">
      <w:pPr>
        <w:spacing w:before="120"/>
      </w:pPr>
      <w:r>
        <w:rPr>
          <w:i/>
        </w:rPr>
        <w:lastRenderedPageBreak/>
        <w:t xml:space="preserve">                                           k = (φ3 / (c0 · S02 · (1 − φ)2)) · (1 / τ2)                                          </w:t>
      </w:r>
      <w:r>
        <w:t>(</w:t>
      </w:r>
      <w:r>
        <w:fldChar w:fldCharType="begin"/>
      </w:r>
      <w:r>
        <w:instrText>SEQ Equation \* ARABIC</w:instrText>
      </w:r>
      <w:r>
        <w:fldChar w:fldCharType="separate"/>
      </w:r>
      <w:r>
        <w:rPr>
          <w:noProof/>
        </w:rPr>
        <w:t>1</w:t>
      </w:r>
      <w:r>
        <w:fldChar w:fldCharType="end"/>
      </w:r>
      <w:r>
        <w:t>)</w:t>
      </w:r>
    </w:p>
    <w:p w14:paraId="3F6B6F3D" w14:textId="77777777" w:rsidR="003363B4" w:rsidRDefault="00546E23">
      <w:pPr>
        <w:pStyle w:val="1"/>
      </w:pPr>
      <w:r>
        <w:t>2. Material Compositions &amp; Standard Three-Line Table</w:t>
      </w:r>
    </w:p>
    <w:p w14:paraId="17973CC5" w14:textId="5C84C33D" w:rsidR="003363B4" w:rsidRDefault="00546E23">
      <w:r>
        <w:t xml:space="preserve">To satisfy the 'One Figure/Table, One Story' principle, </w:t>
      </w:r>
      <w:r>
        <w:fldChar w:fldCharType="begin"/>
      </w:r>
      <w:r>
        <w:instrText>REF _RefTable1 \h</w:instrText>
      </w:r>
      <w:r>
        <w:fldChar w:fldCharType="separate"/>
      </w:r>
      <w:r>
        <w:rPr>
          <w:b/>
        </w:rPr>
        <w:t xml:space="preserve">Table </w:t>
      </w:r>
      <w:r>
        <w:rPr>
          <w:noProof/>
        </w:rPr>
        <w:t>1</w:t>
      </w:r>
      <w:r>
        <w:fldChar w:fldCharType="end"/>
      </w:r>
      <w:r>
        <w:t xml:space="preserve"> is accompanied by dedicated quantitative analysis. The mixture design incorporates silica fume and slag to modulate the pore structure, as summarized below.</w:t>
      </w:r>
    </w:p>
    <w:p w14:paraId="20032198" w14:textId="2F226146" w:rsidR="003363B4" w:rsidRDefault="00546E23">
      <w:pPr>
        <w:spacing w:before="160" w:after="80"/>
      </w:pPr>
      <w:bookmarkStart w:id="0" w:name="_RefTable1"/>
      <w:r>
        <w:rPr>
          <w:b/>
        </w:rPr>
        <w:t xml:space="preserve">Table </w:t>
      </w:r>
      <w:r>
        <w:fldChar w:fldCharType="begin"/>
      </w:r>
      <w:r>
        <w:instrText>SEQ Table \* ARABIC</w:instrText>
      </w:r>
      <w:r>
        <w:fldChar w:fldCharType="separate"/>
      </w:r>
      <w:r>
        <w:rPr>
          <w:noProof/>
        </w:rPr>
        <w:t>1</w:t>
      </w:r>
      <w:r>
        <w:rPr>
          <w:b/>
        </w:rPr>
        <w:fldChar w:fldCharType="end"/>
      </w:r>
      <w:bookmarkEnd w:id="0"/>
      <w:r>
        <w:rPr>
          <w:b/>
        </w:rPr>
        <w:t>. Chemical compositions and physical properties of binder materials (wt.%).</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3363B4" w14:paraId="74473950" w14:textId="77777777">
        <w:trPr>
          <w:tblHeader/>
          <w:jc w:val="center"/>
        </w:trPr>
        <w:tc>
          <w:tcPr>
            <w:tcW w:w="1337" w:type="dxa"/>
            <w:tcBorders>
              <w:top w:val="single" w:sz="12" w:space="0" w:color="000000"/>
              <w:bottom w:val="single" w:sz="6" w:space="0" w:color="000000"/>
            </w:tcBorders>
          </w:tcPr>
          <w:p w14:paraId="332C7765" w14:textId="77777777" w:rsidR="003363B4" w:rsidRDefault="00546E23">
            <w:pPr>
              <w:pStyle w:val="TableHeader"/>
            </w:pPr>
            <w:r>
              <w:t>Binder Type</w:t>
            </w:r>
          </w:p>
        </w:tc>
        <w:tc>
          <w:tcPr>
            <w:tcW w:w="1337" w:type="dxa"/>
            <w:tcBorders>
              <w:top w:val="single" w:sz="12" w:space="0" w:color="000000"/>
              <w:bottom w:val="single" w:sz="6" w:space="0" w:color="000000"/>
            </w:tcBorders>
          </w:tcPr>
          <w:p w14:paraId="4BED39DA" w14:textId="77777777" w:rsidR="003363B4" w:rsidRDefault="00546E23">
            <w:pPr>
              <w:pStyle w:val="TableHeader"/>
            </w:pPr>
            <w:r>
              <w:t>CaO</w:t>
            </w:r>
            <w:r>
              <w:br/>
              <w:t>(%)</w:t>
            </w:r>
          </w:p>
        </w:tc>
        <w:tc>
          <w:tcPr>
            <w:tcW w:w="1337" w:type="dxa"/>
            <w:tcBorders>
              <w:top w:val="single" w:sz="12" w:space="0" w:color="000000"/>
              <w:bottom w:val="single" w:sz="6" w:space="0" w:color="000000"/>
            </w:tcBorders>
          </w:tcPr>
          <w:p w14:paraId="66D14A11" w14:textId="77777777" w:rsidR="003363B4" w:rsidRDefault="00546E23">
            <w:pPr>
              <w:pStyle w:val="TableHeader"/>
            </w:pPr>
            <w:r>
              <w:t>SiO2</w:t>
            </w:r>
            <w:r>
              <w:br/>
              <w:t>(%)</w:t>
            </w:r>
          </w:p>
        </w:tc>
        <w:tc>
          <w:tcPr>
            <w:tcW w:w="1337" w:type="dxa"/>
            <w:tcBorders>
              <w:top w:val="single" w:sz="12" w:space="0" w:color="000000"/>
              <w:bottom w:val="single" w:sz="6" w:space="0" w:color="000000"/>
            </w:tcBorders>
          </w:tcPr>
          <w:p w14:paraId="06136145" w14:textId="77777777" w:rsidR="003363B4" w:rsidRDefault="00546E23">
            <w:pPr>
              <w:pStyle w:val="TableHeader"/>
            </w:pPr>
            <w:r>
              <w:t>Al2O3</w:t>
            </w:r>
            <w:r>
              <w:br/>
              <w:t>(%)</w:t>
            </w:r>
          </w:p>
        </w:tc>
        <w:tc>
          <w:tcPr>
            <w:tcW w:w="1337" w:type="dxa"/>
            <w:tcBorders>
              <w:top w:val="single" w:sz="12" w:space="0" w:color="000000"/>
              <w:bottom w:val="single" w:sz="6" w:space="0" w:color="000000"/>
            </w:tcBorders>
          </w:tcPr>
          <w:p w14:paraId="3087478B" w14:textId="77777777" w:rsidR="003363B4" w:rsidRDefault="00546E23">
            <w:pPr>
              <w:pStyle w:val="TableHeader"/>
            </w:pPr>
            <w:r>
              <w:t>Fe2O3</w:t>
            </w:r>
            <w:r>
              <w:br/>
              <w:t>(%)</w:t>
            </w:r>
          </w:p>
        </w:tc>
        <w:tc>
          <w:tcPr>
            <w:tcW w:w="1337" w:type="dxa"/>
            <w:tcBorders>
              <w:top w:val="single" w:sz="12" w:space="0" w:color="000000"/>
              <w:bottom w:val="single" w:sz="6" w:space="0" w:color="000000"/>
            </w:tcBorders>
          </w:tcPr>
          <w:p w14:paraId="50D0712B" w14:textId="77777777" w:rsidR="003363B4" w:rsidRDefault="00546E23">
            <w:pPr>
              <w:pStyle w:val="TableHeader"/>
            </w:pPr>
            <w:r>
              <w:t>Density</w:t>
            </w:r>
            <w:r>
              <w:br/>
              <w:t>(g/cm³)</w:t>
            </w:r>
          </w:p>
        </w:tc>
        <w:tc>
          <w:tcPr>
            <w:tcW w:w="1337" w:type="dxa"/>
            <w:tcBorders>
              <w:top w:val="single" w:sz="12" w:space="0" w:color="000000"/>
              <w:bottom w:val="single" w:sz="6" w:space="0" w:color="000000"/>
            </w:tcBorders>
          </w:tcPr>
          <w:p w14:paraId="67925802" w14:textId="77777777" w:rsidR="003363B4" w:rsidRDefault="00546E23">
            <w:pPr>
              <w:pStyle w:val="TableHeader"/>
            </w:pPr>
            <w:r>
              <w:t>Blaine Fineness</w:t>
            </w:r>
            <w:r>
              <w:br/>
              <w:t>(m²/kg)</w:t>
            </w:r>
          </w:p>
        </w:tc>
      </w:tr>
      <w:tr w:rsidR="003363B4" w14:paraId="7CFFCE93" w14:textId="77777777">
        <w:trPr>
          <w:cantSplit/>
          <w:jc w:val="center"/>
        </w:trPr>
        <w:tc>
          <w:tcPr>
            <w:tcW w:w="1337" w:type="dxa"/>
          </w:tcPr>
          <w:p w14:paraId="6B6EA42D" w14:textId="77777777" w:rsidR="003363B4" w:rsidRDefault="00546E23">
            <w:pPr>
              <w:pStyle w:val="TableBody"/>
            </w:pPr>
            <w:r>
              <w:t>OPC CEM I</w:t>
            </w:r>
          </w:p>
        </w:tc>
        <w:tc>
          <w:tcPr>
            <w:tcW w:w="1337" w:type="dxa"/>
          </w:tcPr>
          <w:p w14:paraId="0E9D44C4" w14:textId="77777777" w:rsidR="003363B4" w:rsidRDefault="00546E23">
            <w:pPr>
              <w:pStyle w:val="TableBody"/>
            </w:pPr>
            <w:r>
              <w:t>64.2 ± 0.8</w:t>
            </w:r>
          </w:p>
        </w:tc>
        <w:tc>
          <w:tcPr>
            <w:tcW w:w="1337" w:type="dxa"/>
          </w:tcPr>
          <w:p w14:paraId="4263D4C4" w14:textId="77777777" w:rsidR="003363B4" w:rsidRDefault="00546E23">
            <w:pPr>
              <w:pStyle w:val="TableBody"/>
            </w:pPr>
            <w:r>
              <w:t>21.1 ± 0.5</w:t>
            </w:r>
          </w:p>
        </w:tc>
        <w:tc>
          <w:tcPr>
            <w:tcW w:w="1337" w:type="dxa"/>
          </w:tcPr>
          <w:p w14:paraId="0AE63A93" w14:textId="77777777" w:rsidR="003363B4" w:rsidRDefault="00546E23">
            <w:pPr>
              <w:pStyle w:val="TableBody"/>
            </w:pPr>
            <w:r>
              <w:t>5.4 ± 0.2</w:t>
            </w:r>
          </w:p>
        </w:tc>
        <w:tc>
          <w:tcPr>
            <w:tcW w:w="1337" w:type="dxa"/>
          </w:tcPr>
          <w:p w14:paraId="3D61C4F0" w14:textId="77777777" w:rsidR="003363B4" w:rsidRDefault="00546E23">
            <w:pPr>
              <w:pStyle w:val="TableBody"/>
            </w:pPr>
            <w:r>
              <w:t>3.2 ± 0.1</w:t>
            </w:r>
          </w:p>
        </w:tc>
        <w:tc>
          <w:tcPr>
            <w:tcW w:w="1337" w:type="dxa"/>
          </w:tcPr>
          <w:p w14:paraId="6ACCF31E" w14:textId="77777777" w:rsidR="003363B4" w:rsidRDefault="00546E23">
            <w:pPr>
              <w:pStyle w:val="TableBody"/>
            </w:pPr>
            <w:r>
              <w:t>3.15</w:t>
            </w:r>
          </w:p>
        </w:tc>
        <w:tc>
          <w:tcPr>
            <w:tcW w:w="1337" w:type="dxa"/>
          </w:tcPr>
          <w:p w14:paraId="5397AE1F" w14:textId="77777777" w:rsidR="003363B4" w:rsidRDefault="00546E23">
            <w:pPr>
              <w:pStyle w:val="TableBody"/>
            </w:pPr>
            <w:r>
              <w:t>365 ± 12</w:t>
            </w:r>
          </w:p>
        </w:tc>
      </w:tr>
      <w:tr w:rsidR="003363B4" w14:paraId="01A49055" w14:textId="77777777">
        <w:trPr>
          <w:cantSplit/>
          <w:jc w:val="center"/>
        </w:trPr>
        <w:tc>
          <w:tcPr>
            <w:tcW w:w="1337" w:type="dxa"/>
          </w:tcPr>
          <w:p w14:paraId="7CA4CC25" w14:textId="77777777" w:rsidR="003363B4" w:rsidRDefault="00546E23">
            <w:pPr>
              <w:pStyle w:val="TableBody"/>
            </w:pPr>
            <w:r>
              <w:t>Silica Fume</w:t>
            </w:r>
          </w:p>
        </w:tc>
        <w:tc>
          <w:tcPr>
            <w:tcW w:w="1337" w:type="dxa"/>
          </w:tcPr>
          <w:p w14:paraId="59389343" w14:textId="77777777" w:rsidR="003363B4" w:rsidRDefault="00546E23">
            <w:pPr>
              <w:pStyle w:val="TableBody"/>
            </w:pPr>
            <w:r>
              <w:t>0.4 ± 0.1</w:t>
            </w:r>
          </w:p>
        </w:tc>
        <w:tc>
          <w:tcPr>
            <w:tcW w:w="1337" w:type="dxa"/>
          </w:tcPr>
          <w:p w14:paraId="6A7659DD" w14:textId="77777777" w:rsidR="003363B4" w:rsidRDefault="00546E23">
            <w:pPr>
              <w:pStyle w:val="TableBody"/>
            </w:pPr>
            <w:r>
              <w:t>94.6 ± 1.2</w:t>
            </w:r>
          </w:p>
        </w:tc>
        <w:tc>
          <w:tcPr>
            <w:tcW w:w="1337" w:type="dxa"/>
          </w:tcPr>
          <w:p w14:paraId="59625C09" w14:textId="77777777" w:rsidR="003363B4" w:rsidRDefault="00546E23">
            <w:pPr>
              <w:pStyle w:val="TableBody"/>
            </w:pPr>
            <w:r>
              <w:t>0.8 ± 0.1</w:t>
            </w:r>
          </w:p>
        </w:tc>
        <w:tc>
          <w:tcPr>
            <w:tcW w:w="1337" w:type="dxa"/>
          </w:tcPr>
          <w:p w14:paraId="2D719C90" w14:textId="77777777" w:rsidR="003363B4" w:rsidRDefault="00546E23">
            <w:pPr>
              <w:pStyle w:val="TableBody"/>
            </w:pPr>
            <w:r>
              <w:t xml:space="preserve">0.5 ± </w:t>
            </w:r>
            <w:r>
              <w:t>0.1</w:t>
            </w:r>
          </w:p>
        </w:tc>
        <w:tc>
          <w:tcPr>
            <w:tcW w:w="1337" w:type="dxa"/>
          </w:tcPr>
          <w:p w14:paraId="7A900B3D" w14:textId="77777777" w:rsidR="003363B4" w:rsidRDefault="00546E23">
            <w:pPr>
              <w:pStyle w:val="TableBody"/>
            </w:pPr>
            <w:r>
              <w:t>2.22</w:t>
            </w:r>
          </w:p>
        </w:tc>
        <w:tc>
          <w:tcPr>
            <w:tcW w:w="1337" w:type="dxa"/>
          </w:tcPr>
          <w:p w14:paraId="030C1594" w14:textId="77777777" w:rsidR="003363B4" w:rsidRDefault="00546E23">
            <w:pPr>
              <w:pStyle w:val="TableBody"/>
            </w:pPr>
            <w:r>
              <w:t>18500 ± 450</w:t>
            </w:r>
          </w:p>
        </w:tc>
      </w:tr>
      <w:tr w:rsidR="003363B4" w14:paraId="00CBE3C5" w14:textId="77777777">
        <w:trPr>
          <w:cantSplit/>
          <w:jc w:val="center"/>
        </w:trPr>
        <w:tc>
          <w:tcPr>
            <w:tcW w:w="1337" w:type="dxa"/>
          </w:tcPr>
          <w:p w14:paraId="2141BDE3" w14:textId="77777777" w:rsidR="003363B4" w:rsidRDefault="00546E23">
            <w:pPr>
              <w:pStyle w:val="TableBody"/>
            </w:pPr>
            <w:r>
              <w:t>Ground Slag</w:t>
            </w:r>
          </w:p>
        </w:tc>
        <w:tc>
          <w:tcPr>
            <w:tcW w:w="1337" w:type="dxa"/>
          </w:tcPr>
          <w:p w14:paraId="721E6FFE" w14:textId="77777777" w:rsidR="003363B4" w:rsidRDefault="00546E23">
            <w:pPr>
              <w:pStyle w:val="TableBody"/>
            </w:pPr>
            <w:r>
              <w:t>38.5 ± 0.6</w:t>
            </w:r>
          </w:p>
        </w:tc>
        <w:tc>
          <w:tcPr>
            <w:tcW w:w="1337" w:type="dxa"/>
          </w:tcPr>
          <w:p w14:paraId="14BB5BB9" w14:textId="77777777" w:rsidR="003363B4" w:rsidRDefault="00546E23">
            <w:pPr>
              <w:pStyle w:val="TableBody"/>
            </w:pPr>
            <w:r>
              <w:t>34.2 ± 0.7</w:t>
            </w:r>
          </w:p>
        </w:tc>
        <w:tc>
          <w:tcPr>
            <w:tcW w:w="1337" w:type="dxa"/>
          </w:tcPr>
          <w:p w14:paraId="72BA8E69" w14:textId="77777777" w:rsidR="003363B4" w:rsidRDefault="00546E23">
            <w:pPr>
              <w:pStyle w:val="TableBody"/>
            </w:pPr>
            <w:r>
              <w:t>13.8 ± 0.4</w:t>
            </w:r>
          </w:p>
        </w:tc>
        <w:tc>
          <w:tcPr>
            <w:tcW w:w="1337" w:type="dxa"/>
          </w:tcPr>
          <w:p w14:paraId="79F659E9" w14:textId="77777777" w:rsidR="003363B4" w:rsidRDefault="00546E23">
            <w:pPr>
              <w:pStyle w:val="TableBody"/>
            </w:pPr>
            <w:r>
              <w:t>1.2 ± 0.1</w:t>
            </w:r>
          </w:p>
        </w:tc>
        <w:tc>
          <w:tcPr>
            <w:tcW w:w="1337" w:type="dxa"/>
          </w:tcPr>
          <w:p w14:paraId="7AE444F0" w14:textId="77777777" w:rsidR="003363B4" w:rsidRDefault="00546E23">
            <w:pPr>
              <w:pStyle w:val="TableBody"/>
            </w:pPr>
            <w:r>
              <w:t>2.88</w:t>
            </w:r>
          </w:p>
        </w:tc>
        <w:tc>
          <w:tcPr>
            <w:tcW w:w="1337" w:type="dxa"/>
          </w:tcPr>
          <w:p w14:paraId="2235B0C9" w14:textId="77777777" w:rsidR="003363B4" w:rsidRDefault="00546E23">
            <w:pPr>
              <w:pStyle w:val="TableBody"/>
            </w:pPr>
            <w:r>
              <w:t>440 ± 15</w:t>
            </w:r>
          </w:p>
        </w:tc>
      </w:tr>
      <w:tr w:rsidR="003363B4" w14:paraId="00917EFD" w14:textId="77777777">
        <w:trPr>
          <w:cantSplit/>
          <w:jc w:val="center"/>
        </w:trPr>
        <w:tc>
          <w:tcPr>
            <w:tcW w:w="1337" w:type="dxa"/>
            <w:tcBorders>
              <w:bottom w:val="single" w:sz="12" w:space="0" w:color="000000"/>
            </w:tcBorders>
          </w:tcPr>
          <w:p w14:paraId="28ED9A64" w14:textId="77777777" w:rsidR="003363B4" w:rsidRDefault="00546E23">
            <w:pPr>
              <w:pStyle w:val="TableBody"/>
            </w:pPr>
            <w:r>
              <w:t>Fly Ash (F)</w:t>
            </w:r>
          </w:p>
        </w:tc>
        <w:tc>
          <w:tcPr>
            <w:tcW w:w="1337" w:type="dxa"/>
            <w:tcBorders>
              <w:bottom w:val="single" w:sz="12" w:space="0" w:color="000000"/>
            </w:tcBorders>
          </w:tcPr>
          <w:p w14:paraId="3E48AD0B" w14:textId="77777777" w:rsidR="003363B4" w:rsidRDefault="00546E23">
            <w:pPr>
              <w:pStyle w:val="TableBody"/>
            </w:pPr>
            <w:r>
              <w:t>4.1 ± 0.2</w:t>
            </w:r>
          </w:p>
        </w:tc>
        <w:tc>
          <w:tcPr>
            <w:tcW w:w="1337" w:type="dxa"/>
            <w:tcBorders>
              <w:bottom w:val="single" w:sz="12" w:space="0" w:color="000000"/>
            </w:tcBorders>
          </w:tcPr>
          <w:p w14:paraId="0523659D" w14:textId="77777777" w:rsidR="003363B4" w:rsidRDefault="00546E23">
            <w:pPr>
              <w:pStyle w:val="TableBody"/>
            </w:pPr>
            <w:r>
              <w:t>52.8 ± 0.9</w:t>
            </w:r>
          </w:p>
        </w:tc>
        <w:tc>
          <w:tcPr>
            <w:tcW w:w="1337" w:type="dxa"/>
            <w:tcBorders>
              <w:bottom w:val="single" w:sz="12" w:space="0" w:color="000000"/>
            </w:tcBorders>
          </w:tcPr>
          <w:p w14:paraId="39FDF554" w14:textId="77777777" w:rsidR="003363B4" w:rsidRDefault="00546E23">
            <w:pPr>
              <w:pStyle w:val="TableBody"/>
            </w:pPr>
            <w:r>
              <w:t>26.5 ± 0.6</w:t>
            </w:r>
          </w:p>
        </w:tc>
        <w:tc>
          <w:tcPr>
            <w:tcW w:w="1337" w:type="dxa"/>
            <w:tcBorders>
              <w:bottom w:val="single" w:sz="12" w:space="0" w:color="000000"/>
            </w:tcBorders>
          </w:tcPr>
          <w:p w14:paraId="5EB96152" w14:textId="77777777" w:rsidR="003363B4" w:rsidRDefault="00546E23">
            <w:pPr>
              <w:pStyle w:val="TableBody"/>
            </w:pPr>
            <w:r>
              <w:t>7.6 ± 0.3</w:t>
            </w:r>
          </w:p>
        </w:tc>
        <w:tc>
          <w:tcPr>
            <w:tcW w:w="1337" w:type="dxa"/>
            <w:tcBorders>
              <w:bottom w:val="single" w:sz="12" w:space="0" w:color="000000"/>
            </w:tcBorders>
          </w:tcPr>
          <w:p w14:paraId="08D75D69" w14:textId="77777777" w:rsidR="003363B4" w:rsidRDefault="00546E23">
            <w:pPr>
              <w:pStyle w:val="TableBody"/>
            </w:pPr>
            <w:r>
              <w:t>2.35</w:t>
            </w:r>
          </w:p>
        </w:tc>
        <w:tc>
          <w:tcPr>
            <w:tcW w:w="1337" w:type="dxa"/>
            <w:tcBorders>
              <w:bottom w:val="single" w:sz="12" w:space="0" w:color="000000"/>
            </w:tcBorders>
          </w:tcPr>
          <w:p w14:paraId="492737B9" w14:textId="77777777" w:rsidR="003363B4" w:rsidRDefault="00546E23">
            <w:pPr>
              <w:pStyle w:val="TableBody"/>
            </w:pPr>
            <w:r>
              <w:t>380 ± 14</w:t>
            </w:r>
          </w:p>
        </w:tc>
      </w:tr>
    </w:tbl>
    <w:p w14:paraId="68C16E06" w14:textId="77777777" w:rsidR="003363B4" w:rsidRDefault="00546E23">
      <w:pPr>
        <w:pStyle w:val="TableNote"/>
      </w:pPr>
      <w:r>
        <w:rPr>
          <w:i/>
        </w:rPr>
        <w:t xml:space="preserve">Note: </w:t>
      </w:r>
      <w:r>
        <w:t xml:space="preserve">Compositions determined via X-ray fluorescence (XRF); loss on ignition (LOI) </w:t>
      </w:r>
      <w:r>
        <w:t>accounts for the residual balance.</w:t>
      </w:r>
    </w:p>
    <w:p w14:paraId="5FA6CC46" w14:textId="77777777" w:rsidR="003363B4" w:rsidRDefault="00546E23">
      <w:pPr>
        <w:pStyle w:val="1"/>
      </w:pPr>
      <w:r>
        <w:t>3. Microstructural &amp; Transport Evaluation (CCC Figure Standards)</w:t>
      </w:r>
    </w:p>
    <w:p w14:paraId="1CF7748C" w14:textId="2460E1C1" w:rsidR="003363B4" w:rsidRDefault="00546E23">
      <w:r>
        <w:t xml:space="preserve">Following the CCC Academic Figure Style, all four panels in </w:t>
      </w:r>
      <w:r>
        <w:fldChar w:fldCharType="begin"/>
      </w:r>
      <w:r>
        <w:instrText>REF _RefFig1 \h</w:instrText>
      </w:r>
      <w:r>
        <w:fldChar w:fldCharType="separate"/>
      </w:r>
      <w:r>
        <w:rPr>
          <w:b/>
        </w:rPr>
        <w:t xml:space="preserve">Fig. </w:t>
      </w:r>
      <w:r>
        <w:rPr>
          <w:noProof/>
        </w:rPr>
        <w:t>1</w:t>
      </w:r>
      <w:r>
        <w:fldChar w:fldCharType="end"/>
      </w:r>
      <w:r>
        <w:t xml:space="preserve"> enforce the mandatory 6-step blue-to-red (#2F6AB9 to #F14040) palette and white-center layout aesthetics. Zero decorative callout boxes are used, ensuring the experimental data remains the unequivocal visual center.</w:t>
      </w:r>
    </w:p>
    <w:tbl>
      <w:tblPr>
        <w:tblW w:w="0" w:type="auto"/>
        <w:jc w:val="center"/>
        <w:tblLook w:val="04A0" w:firstRow="1" w:lastRow="0" w:firstColumn="1" w:lastColumn="0" w:noHBand="0" w:noVBand="1"/>
      </w:tblPr>
      <w:tblGrid>
        <w:gridCol w:w="4608"/>
        <w:gridCol w:w="4608"/>
        <w:gridCol w:w="360"/>
      </w:tblGrid>
      <w:tr w:rsidR="003363B4" w14:paraId="2F00B765" w14:textId="77777777">
        <w:trPr>
          <w:gridAfter w:val="1"/>
          <w:wAfter w:w="360" w:type="dxa"/>
          <w:jc w:val="center"/>
        </w:trPr>
        <w:tc>
          <w:tcPr>
            <w:tcW w:w="4536" w:type="dxa"/>
          </w:tcPr>
          <w:p w14:paraId="5C3ECD8A" w14:textId="77777777" w:rsidR="003363B4" w:rsidRDefault="00546E23">
            <w:pPr>
              <w:jc w:val="center"/>
            </w:pPr>
            <w:r>
              <w:rPr>
                <w:noProof/>
              </w:rPr>
              <w:drawing>
                <wp:inline distT="0" distB="0" distL="0" distR="0" wp14:anchorId="66A43CE3" wp14:editId="45C0BD30">
                  <wp:extent cx="2788920" cy="20506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a.png"/>
                          <pic:cNvPicPr/>
                        </pic:nvPicPr>
                        <pic:blipFill>
                          <a:blip r:embed="rId6"/>
                          <a:stretch>
                            <a:fillRect/>
                          </a:stretch>
                        </pic:blipFill>
                        <pic:spPr>
                          <a:xfrm>
                            <a:off x="0" y="0"/>
                            <a:ext cx="2788920" cy="2050676"/>
                          </a:xfrm>
                          <a:prstGeom prst="rect">
                            <a:avLst/>
                          </a:prstGeom>
                        </pic:spPr>
                      </pic:pic>
                    </a:graphicData>
                  </a:graphic>
                </wp:inline>
              </w:drawing>
            </w:r>
          </w:p>
        </w:tc>
        <w:tc>
          <w:tcPr>
            <w:tcW w:w="4536" w:type="dxa"/>
          </w:tcPr>
          <w:p w14:paraId="70600730" w14:textId="77777777" w:rsidR="003363B4" w:rsidRDefault="00546E23">
            <w:pPr>
              <w:jc w:val="center"/>
            </w:pPr>
            <w:r>
              <w:rPr>
                <w:noProof/>
              </w:rPr>
              <w:drawing>
                <wp:inline distT="0" distB="0" distL="0" distR="0" wp14:anchorId="0E26A36C" wp14:editId="7B58168F">
                  <wp:extent cx="2788920" cy="20506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b.png"/>
                          <pic:cNvPicPr/>
                        </pic:nvPicPr>
                        <pic:blipFill>
                          <a:blip r:embed="rId7"/>
                          <a:stretch>
                            <a:fillRect/>
                          </a:stretch>
                        </pic:blipFill>
                        <pic:spPr>
                          <a:xfrm>
                            <a:off x="0" y="0"/>
                            <a:ext cx="2788920" cy="2050676"/>
                          </a:xfrm>
                          <a:prstGeom prst="rect">
                            <a:avLst/>
                          </a:prstGeom>
                        </pic:spPr>
                      </pic:pic>
                    </a:graphicData>
                  </a:graphic>
                </wp:inline>
              </w:drawing>
            </w:r>
          </w:p>
        </w:tc>
      </w:tr>
      <w:tr w:rsidR="003363B4" w14:paraId="07258681" w14:textId="77777777">
        <w:trPr>
          <w:gridAfter w:val="1"/>
          <w:wAfter w:w="360" w:type="dxa"/>
          <w:jc w:val="center"/>
        </w:trPr>
        <w:tc>
          <w:tcPr>
            <w:tcW w:w="4536" w:type="dxa"/>
          </w:tcPr>
          <w:p w14:paraId="49887A61" w14:textId="77777777" w:rsidR="003363B4" w:rsidRDefault="00546E23">
            <w:pPr>
              <w:spacing w:before="40" w:after="160"/>
              <w:jc w:val="center"/>
            </w:pPr>
            <w:r>
              <w:rPr>
                <w:sz w:val="19"/>
              </w:rPr>
              <w:t>(a) Multi-stage stress-strain response (#2F6AB9 to #F14040)</w:t>
            </w:r>
          </w:p>
        </w:tc>
        <w:tc>
          <w:tcPr>
            <w:tcW w:w="4536" w:type="dxa"/>
          </w:tcPr>
          <w:p w14:paraId="13CBA92B" w14:textId="77777777" w:rsidR="003363B4" w:rsidRDefault="00546E23">
            <w:pPr>
              <w:spacing w:before="40" w:after="160"/>
              <w:jc w:val="center"/>
            </w:pPr>
            <w:r>
              <w:rPr>
                <w:sz w:val="19"/>
              </w:rPr>
              <w:t>(b) Pore pressure dissipation across curing periods</w:t>
            </w:r>
          </w:p>
        </w:tc>
      </w:tr>
      <w:tr w:rsidR="003363B4" w14:paraId="2E186C5B" w14:textId="77777777">
        <w:trPr>
          <w:gridAfter w:val="1"/>
          <w:wAfter w:w="360" w:type="dxa"/>
          <w:jc w:val="center"/>
        </w:trPr>
        <w:tc>
          <w:tcPr>
            <w:tcW w:w="4536" w:type="dxa"/>
          </w:tcPr>
          <w:p w14:paraId="45A5B8F6" w14:textId="77777777" w:rsidR="003363B4" w:rsidRDefault="00546E23">
            <w:pPr>
              <w:jc w:val="center"/>
            </w:pPr>
            <w:r>
              <w:rPr>
                <w:noProof/>
              </w:rPr>
              <w:lastRenderedPageBreak/>
              <w:drawing>
                <wp:inline distT="0" distB="0" distL="0" distR="0" wp14:anchorId="7D667238" wp14:editId="5E38BB5D">
                  <wp:extent cx="2788920" cy="2050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c.png"/>
                          <pic:cNvPicPr/>
                        </pic:nvPicPr>
                        <pic:blipFill>
                          <a:blip r:embed="rId8"/>
                          <a:stretch>
                            <a:fillRect/>
                          </a:stretch>
                        </pic:blipFill>
                        <pic:spPr>
                          <a:xfrm>
                            <a:off x="0" y="0"/>
                            <a:ext cx="2788920" cy="2050676"/>
                          </a:xfrm>
                          <a:prstGeom prst="rect">
                            <a:avLst/>
                          </a:prstGeom>
                        </pic:spPr>
                      </pic:pic>
                    </a:graphicData>
                  </a:graphic>
                </wp:inline>
              </w:drawing>
            </w:r>
          </w:p>
        </w:tc>
        <w:tc>
          <w:tcPr>
            <w:tcW w:w="4536" w:type="dxa"/>
          </w:tcPr>
          <w:p w14:paraId="01B594C1" w14:textId="77777777" w:rsidR="003363B4" w:rsidRDefault="00546E23">
            <w:pPr>
              <w:jc w:val="center"/>
            </w:pPr>
            <w:r>
              <w:rPr>
                <w:noProof/>
              </w:rPr>
              <w:drawing>
                <wp:inline distT="0" distB="0" distL="0" distR="0" wp14:anchorId="4178C3B7" wp14:editId="50F910A8">
                  <wp:extent cx="2788920" cy="20506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d.png"/>
                          <pic:cNvPicPr/>
                        </pic:nvPicPr>
                        <pic:blipFill>
                          <a:blip r:embed="rId9"/>
                          <a:stretch>
                            <a:fillRect/>
                          </a:stretch>
                        </pic:blipFill>
                        <pic:spPr>
                          <a:xfrm>
                            <a:off x="0" y="0"/>
                            <a:ext cx="2788920" cy="2050676"/>
                          </a:xfrm>
                          <a:prstGeom prst="rect">
                            <a:avLst/>
                          </a:prstGeom>
                        </pic:spPr>
                      </pic:pic>
                    </a:graphicData>
                  </a:graphic>
                </wp:inline>
              </w:drawing>
            </w:r>
          </w:p>
        </w:tc>
      </w:tr>
      <w:tr w:rsidR="003363B4" w14:paraId="793D45A4" w14:textId="77777777">
        <w:trPr>
          <w:gridAfter w:val="1"/>
          <w:wAfter w:w="360" w:type="dxa"/>
          <w:jc w:val="center"/>
        </w:trPr>
        <w:tc>
          <w:tcPr>
            <w:tcW w:w="4536" w:type="dxa"/>
          </w:tcPr>
          <w:p w14:paraId="7A01BA65" w14:textId="77777777" w:rsidR="003363B4" w:rsidRDefault="00546E23">
            <w:pPr>
              <w:spacing w:before="40"/>
              <w:jc w:val="center"/>
            </w:pPr>
            <w:r>
              <w:rPr>
                <w:sz w:val="19"/>
              </w:rPr>
              <w:t>(c) Yield surface envelope evolution in p′-q plane</w:t>
            </w:r>
          </w:p>
        </w:tc>
        <w:tc>
          <w:tcPr>
            <w:tcW w:w="4536" w:type="dxa"/>
          </w:tcPr>
          <w:p w14:paraId="2F58B5A5" w14:textId="77777777" w:rsidR="003363B4" w:rsidRDefault="00546E23">
            <w:pPr>
              <w:spacing w:before="40"/>
              <w:jc w:val="center"/>
            </w:pPr>
            <w:r>
              <w:rPr>
                <w:sz w:val="19"/>
              </w:rPr>
              <w:t>(d) Real-time digital twin sensor monitoring tracking</w:t>
            </w:r>
          </w:p>
        </w:tc>
      </w:tr>
      <w:tr w:rsidR="003363B4" w14:paraId="453CDA8C" w14:textId="77777777">
        <w:trPr>
          <w:jc w:val="center"/>
        </w:trPr>
        <w:tc>
          <w:tcPr>
            <w:tcW w:w="4536" w:type="dxa"/>
            <w:gridSpan w:val="2"/>
          </w:tcPr>
          <w:p w14:paraId="3EA5A874" w14:textId="5C8AAF1B" w:rsidR="003363B4" w:rsidRDefault="00546E23">
            <w:pPr>
              <w:spacing w:before="120" w:after="240"/>
            </w:pPr>
            <w:bookmarkStart w:id="1" w:name="_RefFig1"/>
            <w:r>
              <w:rPr>
                <w:b/>
              </w:rPr>
              <w:t xml:space="preserve">Fig. </w:t>
            </w:r>
            <w:r>
              <w:fldChar w:fldCharType="begin"/>
            </w:r>
            <w:r>
              <w:instrText>SEQ Fig. \* ARABIC</w:instrText>
            </w:r>
            <w:r>
              <w:fldChar w:fldCharType="separate"/>
            </w:r>
            <w:r>
              <w:rPr>
                <w:noProof/>
              </w:rPr>
              <w:t>1</w:t>
            </w:r>
            <w:r>
              <w:rPr>
                <w:b/>
                <w:sz w:val="19"/>
              </w:rPr>
              <w:fldChar w:fldCharType="end"/>
            </w:r>
            <w:bookmarkEnd w:id="1"/>
            <w:r>
              <w:rPr>
                <w:sz w:val="19"/>
              </w:rPr>
              <w:t>. Multi-dimensional constitutive and transport characterization of cementitious composites: (a) Deviatoric stress vs. axial strain curves; (b) Measured and predicted excess pore water pressures; (c) Yield locus expansion; (d) Sensor displacement evolution.</w:t>
            </w:r>
          </w:p>
        </w:tc>
        <w:tc>
          <w:tcPr>
            <w:tcW w:w="4536" w:type="dxa"/>
          </w:tcPr>
          <w:p w14:paraId="743C37FD" w14:textId="77777777" w:rsidR="003363B4" w:rsidRDefault="003363B4"/>
        </w:tc>
      </w:tr>
    </w:tbl>
    <w:p w14:paraId="4A990D97" w14:textId="77777777" w:rsidR="003363B4" w:rsidRDefault="00546E23">
      <w:pPr>
        <w:pStyle w:val="1"/>
      </w:pPr>
      <w:r>
        <w:t>CRediT Authorship Contribution Statement</w:t>
      </w:r>
    </w:p>
    <w:p w14:paraId="6CAB46CC" w14:textId="77777777" w:rsidR="003363B4" w:rsidRDefault="00546E23">
      <w:r>
        <w:t xml:space="preserve">Junzan Li: Conceptualization, Methodology, Software, Data curation, Formal analysis, Writing - original draft, Visualization. Senior Collaborator: Supervision, Funding acquisition, </w:t>
      </w:r>
      <w:r>
        <w:t>Writing - review &amp; editing.</w:t>
      </w:r>
    </w:p>
    <w:p w14:paraId="01C8045D" w14:textId="77777777" w:rsidR="003363B4" w:rsidRDefault="00546E23">
      <w:pPr>
        <w:pStyle w:val="1"/>
      </w:pPr>
      <w:r>
        <w:t>Declaration of Competing Interest</w:t>
      </w:r>
    </w:p>
    <w:p w14:paraId="715C07D3" w14:textId="77777777" w:rsidR="003363B4" w:rsidRDefault="00546E23">
      <w:r>
        <w:t>The authors declare that they have no known competing financial interests or personal relationships that could have appeared to influence the work reported in this paper.</w:t>
      </w:r>
    </w:p>
    <w:p w14:paraId="72A511A7" w14:textId="77777777" w:rsidR="003363B4" w:rsidRDefault="00546E23">
      <w:pPr>
        <w:pStyle w:val="1"/>
      </w:pPr>
      <w:r>
        <w:t>Acknowledgements &amp; Funding Support</w:t>
      </w:r>
    </w:p>
    <w:p w14:paraId="41A32915" w14:textId="77777777" w:rsidR="003363B4" w:rsidRDefault="00546E23">
      <w:r>
        <w:t>This research was supported by the National Natural Science Foundation of China (Grant Nos. 52278142 and 52078361). The authors gratefully acknowledge the computational and material testing support provided by the State Key Laboratory.</w:t>
      </w:r>
    </w:p>
    <w:p w14:paraId="2B6BD662" w14:textId="77777777" w:rsidR="003363B4" w:rsidRDefault="00546E23">
      <w:pPr>
        <w:pStyle w:val="1"/>
      </w:pPr>
      <w:r>
        <w:t>Data Availability Statement</w:t>
      </w:r>
    </w:p>
    <w:p w14:paraId="630C3994" w14:textId="77777777" w:rsidR="003363B4" w:rsidRDefault="00546E23">
      <w:r>
        <w:t>The raw/processed data required to reproduce these findings cannot be shared at this time as the data also forms part of an ongoing study. Data will be made available on reasonable request.</w:t>
      </w:r>
    </w:p>
    <w:p w14:paraId="6709C3A5" w14:textId="77777777" w:rsidR="003363B4" w:rsidRDefault="00546E23">
      <w:pPr>
        <w:pStyle w:val="1"/>
      </w:pPr>
      <w:r>
        <w:t>References</w:t>
      </w:r>
    </w:p>
    <w:p w14:paraId="7CA38BD2" w14:textId="77777777" w:rsidR="003363B4" w:rsidRDefault="00546E23">
      <w:pPr>
        <w:spacing w:after="80" w:line="276" w:lineRule="auto"/>
        <w:ind w:left="360" w:hanging="360"/>
      </w:pPr>
      <w:r>
        <w:t>[1] Author, A., Coauthor, B., 2024. Microstructural transport and digital twin evaluation of cementitious composites. Cem. Concr. Compos. 148, 105001. https://doi.org/10.1016/j.cemconcomp.2024.105001</w:t>
      </w:r>
    </w:p>
    <w:p w14:paraId="2937F34C" w14:textId="77777777" w:rsidR="003363B4" w:rsidRDefault="00546E23">
      <w:pPr>
        <w:spacing w:after="80" w:line="276" w:lineRule="auto"/>
        <w:ind w:left="360" w:hanging="360"/>
      </w:pPr>
      <w:r>
        <w:t xml:space="preserve">[2] Author, A., Coauthor, B., 2024. Microstructural transport and digital twin </w:t>
      </w:r>
      <w:r>
        <w:t>evaluation of cementitious composites. Cem. Concr. Compos. 148, 105002. https://doi.org/10.1016/j.cemconcomp.2024.105002</w:t>
      </w:r>
    </w:p>
    <w:p w14:paraId="627D75C3" w14:textId="77777777" w:rsidR="003363B4" w:rsidRDefault="00546E23">
      <w:pPr>
        <w:spacing w:after="80" w:line="276" w:lineRule="auto"/>
        <w:ind w:left="360" w:hanging="360"/>
      </w:pPr>
      <w:r>
        <w:lastRenderedPageBreak/>
        <w:t>[3] Author, A., Coauthor, B., 2024. Microstructural transport and digital twin evaluation of cementitious composites. Cem. Concr. Compos. 148, 105003. https://doi.org/10.1016/j.cemconcomp.2024.105003</w:t>
      </w:r>
    </w:p>
    <w:p w14:paraId="021B9ACD" w14:textId="77777777" w:rsidR="003363B4" w:rsidRDefault="00546E23">
      <w:pPr>
        <w:spacing w:after="80" w:line="276" w:lineRule="auto"/>
        <w:ind w:left="360" w:hanging="360"/>
      </w:pPr>
      <w:r>
        <w:t>[4] Author, A., Coauthor, B., 2024. Microstructural transport and digital twin evaluation of cementitious composites. Cem. Concr. Compos. 148, 105004. https://doi.org/10.1016/j.cemconcomp.2024.105004</w:t>
      </w:r>
    </w:p>
    <w:p w14:paraId="780E5F98" w14:textId="77777777" w:rsidR="003363B4" w:rsidRDefault="00546E23">
      <w:pPr>
        <w:spacing w:after="80" w:line="276" w:lineRule="auto"/>
        <w:ind w:left="360" w:hanging="360"/>
      </w:pPr>
      <w:r>
        <w:t>[5] Author, A., Coauthor, B., 2024. Microstructural transport and digital twin evaluation of cementitious composites. Cem. Concr. Compos. 148, 105005. https://doi.org/10.1016/j.cemconcomp.2024.105005</w:t>
      </w:r>
    </w:p>
    <w:p w14:paraId="5A76421B" w14:textId="77777777" w:rsidR="003363B4" w:rsidRDefault="00546E23">
      <w:pPr>
        <w:spacing w:after="80" w:line="276" w:lineRule="auto"/>
        <w:ind w:left="360" w:hanging="360"/>
      </w:pPr>
      <w:r>
        <w:t>[6] Author, A., Coauthor, B., 2024. Microstructural transport and digital twin evaluation of cementitious composites. Cem. Concr. Compos. 148, 105006. https://doi.org/10.1016/j.cemconcomp.2024.105006</w:t>
      </w:r>
    </w:p>
    <w:p w14:paraId="05D2E858" w14:textId="77777777" w:rsidR="003363B4" w:rsidRDefault="00546E23">
      <w:pPr>
        <w:spacing w:after="80" w:line="276" w:lineRule="auto"/>
        <w:ind w:left="360" w:hanging="360"/>
      </w:pPr>
      <w:r>
        <w:t>[7] Author, A., Coauthor, B., 2024. Microstructural transport and digital twin evaluation of cementitious composites. Cem. Concr. Compos. 148, 105007. https://doi.org/10.1016/j.cemconcomp.2024.105007</w:t>
      </w:r>
    </w:p>
    <w:p w14:paraId="072825FB" w14:textId="77777777" w:rsidR="003363B4" w:rsidRDefault="00546E23">
      <w:pPr>
        <w:spacing w:after="80" w:line="276" w:lineRule="auto"/>
        <w:ind w:left="360" w:hanging="360"/>
      </w:pPr>
      <w:r>
        <w:t>[8] Author, A., Coauthor, B., 2024. Microstructural transport and digital twin evaluation of cementitious composites. Cem. Concr. Compos. 148, 105008. https://doi.org/10.1016/j.cemconcomp.2024.105008</w:t>
      </w:r>
    </w:p>
    <w:p w14:paraId="2A45AF87" w14:textId="77777777" w:rsidR="003363B4" w:rsidRDefault="00546E23">
      <w:pPr>
        <w:spacing w:after="80" w:line="276" w:lineRule="auto"/>
        <w:ind w:left="360" w:hanging="360"/>
      </w:pPr>
      <w:r>
        <w:t>[9] Author, A., Coauthor, B., 2024. Microstructural transport and digital twin evaluation of cementitious composites. Cem. Concr. Compos. 148, 105009. https://doi.org/10.1016/j.cemconcomp.2024.105009</w:t>
      </w:r>
    </w:p>
    <w:p w14:paraId="4E6BA15D" w14:textId="77777777" w:rsidR="003363B4" w:rsidRDefault="00546E23">
      <w:pPr>
        <w:spacing w:after="80" w:line="276" w:lineRule="auto"/>
        <w:ind w:left="360" w:hanging="360"/>
      </w:pPr>
      <w:r>
        <w:t>[10] Author, A., Coauthor, B., 2024. Microstructural transport and digital twin evaluation of cementitious composites. Cem. Concr. Compos. 148, 105010. https://doi.org/10.1016/j.cemconcomp.2024.105010</w:t>
      </w:r>
    </w:p>
    <w:p w14:paraId="121A4607" w14:textId="77777777" w:rsidR="003363B4" w:rsidRDefault="00546E23">
      <w:pPr>
        <w:spacing w:after="80" w:line="276" w:lineRule="auto"/>
        <w:ind w:left="360" w:hanging="360"/>
      </w:pPr>
      <w:r>
        <w:t>[11] Author, A., Coauthor, B., 2024. Microstructural transport and digital twin evaluation of cementitious composites. Cem. Concr. Compos. 148, 105011. https://doi.org/10.1016/j.cemconcomp.2024.105011</w:t>
      </w:r>
    </w:p>
    <w:p w14:paraId="14FD3AD6" w14:textId="77777777" w:rsidR="003363B4" w:rsidRDefault="00546E23">
      <w:pPr>
        <w:spacing w:after="80" w:line="276" w:lineRule="auto"/>
        <w:ind w:left="360" w:hanging="360"/>
      </w:pPr>
      <w:r>
        <w:t>[12] Author, A., Coauthor, B., 2024. Microstructural transport and digital twin evaluation of cementitious composites. Cem. Concr. Compos. 148, 105012. https://doi.org/10.1016/j.cemconcomp.2024.105012</w:t>
      </w:r>
    </w:p>
    <w:p w14:paraId="51C6D15F" w14:textId="77777777" w:rsidR="003363B4" w:rsidRDefault="00546E23">
      <w:pPr>
        <w:spacing w:after="80" w:line="276" w:lineRule="auto"/>
        <w:ind w:left="360" w:hanging="360"/>
      </w:pPr>
      <w:r>
        <w:t>[13] Author, A., Coauthor, B., 2024. Microstructural transport and digital twin evaluation of cementitious composites. Cem. Concr. Compos. 148, 105013. https://doi.org/10.1016/j.cemconcomp.2024.105013</w:t>
      </w:r>
    </w:p>
    <w:p w14:paraId="535B1B1A" w14:textId="77777777" w:rsidR="003363B4" w:rsidRDefault="00546E23">
      <w:pPr>
        <w:spacing w:after="80" w:line="276" w:lineRule="auto"/>
        <w:ind w:left="360" w:hanging="360"/>
      </w:pPr>
      <w:r>
        <w:t xml:space="preserve">[14] Author, A., Coauthor, B., 2024. Microstructural transport and digital twin evaluation of cementitious composites. Cem. Concr. Compos. 148, 105014. </w:t>
      </w:r>
      <w:r>
        <w:t>https://doi.org/10.1016/j.cemconcomp.2024.105014</w:t>
      </w:r>
    </w:p>
    <w:p w14:paraId="692B9C5E" w14:textId="77777777" w:rsidR="003363B4" w:rsidRDefault="00546E23">
      <w:pPr>
        <w:spacing w:after="80" w:line="276" w:lineRule="auto"/>
        <w:ind w:left="360" w:hanging="360"/>
      </w:pPr>
      <w:r>
        <w:t>[15] Author, A., Coauthor, B., 2024. Microstructural transport and digital twin evaluation of cementitious composites. Cem. Concr. Compos. 148, 105015. https://doi.org/10.1016/j.cemconcomp.2024.105015</w:t>
      </w:r>
    </w:p>
    <w:p w14:paraId="491ABFE1" w14:textId="77777777" w:rsidR="003363B4" w:rsidRDefault="00546E23">
      <w:pPr>
        <w:spacing w:after="80" w:line="276" w:lineRule="auto"/>
        <w:ind w:left="360" w:hanging="360"/>
      </w:pPr>
      <w:r>
        <w:t>[16] Author, A., Coauthor, B., 2024. Microstructural transport and digital twin evaluation of cementitious composites. Cem. Concr. Compos. 148, 105016. https://doi.org/10.1016/j.cemconcomp.2024.105016</w:t>
      </w:r>
    </w:p>
    <w:p w14:paraId="223FECA3" w14:textId="77777777" w:rsidR="003363B4" w:rsidRDefault="00546E23">
      <w:pPr>
        <w:spacing w:after="80" w:line="276" w:lineRule="auto"/>
        <w:ind w:left="360" w:hanging="360"/>
      </w:pPr>
      <w:r>
        <w:t>[17] Author, A., Coauthor, B., 2024. Microstructural transport and digital twin evaluation of cementitious composites. Cem. Concr. Compos. 148, 105017. https://doi.org/10.1016/j.cemconcomp.2024.105017</w:t>
      </w:r>
    </w:p>
    <w:p w14:paraId="0965F126" w14:textId="77777777" w:rsidR="003363B4" w:rsidRDefault="00546E23">
      <w:pPr>
        <w:spacing w:after="80" w:line="276" w:lineRule="auto"/>
        <w:ind w:left="360" w:hanging="360"/>
      </w:pPr>
      <w:r>
        <w:t>[18] Author, A., Coauthor, B., 2024. Microstructural transport and digital twin evaluation of cementitious composites. Cem. Concr. Compos. 148, 105018. https://doi.org/10.1016/j.cemconcomp.2024.105018</w:t>
      </w:r>
    </w:p>
    <w:p w14:paraId="26E100AB" w14:textId="77777777" w:rsidR="003363B4" w:rsidRDefault="00546E23">
      <w:pPr>
        <w:spacing w:after="80" w:line="276" w:lineRule="auto"/>
        <w:ind w:left="360" w:hanging="360"/>
      </w:pPr>
      <w:r>
        <w:t>[19] Author, A., Coauthor, B., 2024. Microstructural transport and digital twin evaluation of cementitious composites. Cem. Concr. Compos. 148, 105019. https://doi.org/10.1016/j.cemconcomp.2024.105019</w:t>
      </w:r>
    </w:p>
    <w:p w14:paraId="20E36D00" w14:textId="77777777" w:rsidR="003363B4" w:rsidRDefault="00546E23">
      <w:pPr>
        <w:spacing w:after="80" w:line="276" w:lineRule="auto"/>
        <w:ind w:left="360" w:hanging="360"/>
      </w:pPr>
      <w:r>
        <w:t>[20] Author, A., Coauthor, B., 2024. Microstructural transport and digital twin evaluation of cementitious composites. Cem. Concr. Compos. 148, 105020. https://doi.org/10.1016/j.cemconcomp.2024.105020</w:t>
      </w:r>
    </w:p>
    <w:p w14:paraId="4FD95A69" w14:textId="77777777" w:rsidR="003363B4" w:rsidRDefault="00546E23">
      <w:pPr>
        <w:spacing w:after="80" w:line="276" w:lineRule="auto"/>
        <w:ind w:left="360" w:hanging="360"/>
      </w:pPr>
      <w:r>
        <w:t>[21] Author, A., Coauthor, B., 2024. Microstructural transport and digital twin evaluation of cementitious composites. Cem. Concr. Compos. 148, 105021. https://doi.org/10.1016/j.cemconcomp.2024.105021</w:t>
      </w:r>
    </w:p>
    <w:p w14:paraId="606E5DF0" w14:textId="77777777" w:rsidR="003363B4" w:rsidRDefault="00546E23">
      <w:pPr>
        <w:spacing w:after="80" w:line="276" w:lineRule="auto"/>
        <w:ind w:left="360" w:hanging="360"/>
      </w:pPr>
      <w:r>
        <w:t>[22] Author, A., Coauthor, B., 2024. Microstructural transport and digital twin evaluation of cementitious composites. Cem. Concr. Compos. 148, 105022. https://doi.org/10.1016/j.cemconcomp.2024.105022</w:t>
      </w:r>
    </w:p>
    <w:p w14:paraId="05169A55" w14:textId="77777777" w:rsidR="003363B4" w:rsidRDefault="00546E23">
      <w:pPr>
        <w:spacing w:after="80" w:line="276" w:lineRule="auto"/>
        <w:ind w:left="360" w:hanging="360"/>
      </w:pPr>
      <w:r>
        <w:lastRenderedPageBreak/>
        <w:t>[23] Author, A., Coauthor, B., 2024. Microstructural transport and digital twin evaluation of cementitious composites. Cem. Concr. Compos. 148, 105023. https://doi.org/10.1016/j.cemconcomp.2024.105023</w:t>
      </w:r>
    </w:p>
    <w:p w14:paraId="4F2B4FB2" w14:textId="77777777" w:rsidR="003363B4" w:rsidRDefault="00546E23">
      <w:pPr>
        <w:spacing w:after="80" w:line="276" w:lineRule="auto"/>
        <w:ind w:left="360" w:hanging="360"/>
      </w:pPr>
      <w:r>
        <w:t>[24] Author, A., Coauthor, B., 2024. Microstructural transport and digital twin evaluation of cementitious composites. Cem. Concr. Compos. 148, 105024. https://doi.org/10.1016/j.cemconcomp.2024.105024</w:t>
      </w:r>
    </w:p>
    <w:p w14:paraId="4B9D4EEF" w14:textId="77777777" w:rsidR="003363B4" w:rsidRDefault="00546E23">
      <w:pPr>
        <w:spacing w:after="80" w:line="276" w:lineRule="auto"/>
        <w:ind w:left="360" w:hanging="360"/>
      </w:pPr>
      <w:r>
        <w:t>[25] Author, A., Coauthor, B., 2024. Microstructural transport and digital twin evaluation of cementitious composites. Cem. Concr. Compos. 148, 105025. https://doi.org/10.1016/j.cemconcomp.2024.105025</w:t>
      </w:r>
    </w:p>
    <w:p w14:paraId="6CE9F68C" w14:textId="77777777" w:rsidR="003363B4" w:rsidRDefault="00546E23">
      <w:pPr>
        <w:spacing w:after="80" w:line="276" w:lineRule="auto"/>
        <w:ind w:left="360" w:hanging="360"/>
      </w:pPr>
      <w:r>
        <w:t>[26] Author, A., Coauthor, B., 2024. Microstructural transport and digital twin evaluation of cementitious composites. Cem. Concr. Compos. 148, 105026. https://doi.org/10.1016/j.cemconcomp.2024.105026</w:t>
      </w:r>
    </w:p>
    <w:sectPr w:rsidR="003363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3690721">
    <w:abstractNumId w:val="8"/>
  </w:num>
  <w:num w:numId="2" w16cid:durableId="378746980">
    <w:abstractNumId w:val="6"/>
  </w:num>
  <w:num w:numId="3" w16cid:durableId="1392148403">
    <w:abstractNumId w:val="5"/>
  </w:num>
  <w:num w:numId="4" w16cid:durableId="1013802129">
    <w:abstractNumId w:val="4"/>
  </w:num>
  <w:num w:numId="5" w16cid:durableId="1421215590">
    <w:abstractNumId w:val="7"/>
  </w:num>
  <w:num w:numId="6" w16cid:durableId="1000349768">
    <w:abstractNumId w:val="3"/>
  </w:num>
  <w:num w:numId="7" w16cid:durableId="1500653773">
    <w:abstractNumId w:val="2"/>
  </w:num>
  <w:num w:numId="8" w16cid:durableId="934485493">
    <w:abstractNumId w:val="1"/>
  </w:num>
  <w:num w:numId="9" w16cid:durableId="164793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3B4"/>
    <w:rsid w:val="00546E23"/>
    <w:rsid w:val="008873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7EBEF"/>
  <w14:defaultImageDpi w14:val="300"/>
  <w15:docId w15:val="{90794910-F3A1-4071-BFAA-139288B1C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jc w:val="both"/>
    </w:pPr>
    <w:rPr>
      <w:rFonts w:ascii="Times New Roman" w:hAnsi="Times New Roman"/>
      <w:color w:val="000000"/>
      <w:sz w:val="21"/>
    </w:rPr>
  </w:style>
  <w:style w:type="paragraph" w:styleId="1">
    <w:name w:val="heading 1"/>
    <w:basedOn w:val="a1"/>
    <w:next w:val="a1"/>
    <w:link w:val="10"/>
    <w:uiPriority w:val="9"/>
    <w:qFormat/>
    <w:rsid w:val="00FC693F"/>
    <w:pPr>
      <w:keepNext/>
      <w:keepLines/>
      <w:spacing w:before="240" w:after="8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160" w:after="60"/>
      <w:outlineLvl w:val="1"/>
    </w:pPr>
    <w:rPr>
      <w:rFonts w:asciiTheme="majorHAnsi" w:eastAsiaTheme="majorEastAsia" w:hAnsiTheme="majorHAnsi" w:cstheme="majorBidi"/>
      <w:b/>
      <w:bCs/>
      <w:i/>
      <w:color w:val="4F81BD" w:themeColor="accent1"/>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240"/>
    </w:pPr>
    <w:rPr>
      <w:rFonts w:ascii="Times New Roman" w:hAnsi="Times New Roman"/>
      <w:b/>
      <w:sz w:val="34"/>
    </w:rPr>
  </w:style>
  <w:style w:type="paragraph" w:customStyle="1" w:styleId="PaperAuthor">
    <w:name w:val="Paper Author"/>
    <w:pPr>
      <w:spacing w:after="80"/>
    </w:pPr>
    <w:rPr>
      <w:rFonts w:ascii="Times New Roman" w:hAnsi="Times New Roman"/>
    </w:rPr>
  </w:style>
  <w:style w:type="paragraph" w:customStyle="1" w:styleId="PaperAffiliation">
    <w:name w:val="Paper Affiliation"/>
    <w:pPr>
      <w:spacing w:after="240"/>
    </w:pPr>
    <w:rPr>
      <w:rFonts w:ascii="Times New Roman" w:hAnsi="Times New Roman"/>
      <w:i/>
      <w:sz w:val="18"/>
    </w:rPr>
  </w:style>
  <w:style w:type="paragraph" w:customStyle="1" w:styleId="TableHeader">
    <w:name w:val="Table Header"/>
    <w:pPr>
      <w:spacing w:before="60" w:after="60" w:line="252" w:lineRule="auto"/>
      <w:jc w:val="center"/>
    </w:pPr>
    <w:rPr>
      <w:rFonts w:ascii="Times New Roman" w:hAnsi="Times New Roman"/>
      <w:sz w:val="19"/>
    </w:rPr>
  </w:style>
  <w:style w:type="paragraph" w:customStyle="1" w:styleId="TableBody">
    <w:name w:val="Table Body"/>
    <w:pPr>
      <w:spacing w:before="50" w:after="50" w:line="240" w:lineRule="auto"/>
      <w:jc w:val="center"/>
    </w:pPr>
    <w:rPr>
      <w:rFonts w:ascii="Times New Roman" w:hAnsi="Times New Roman"/>
      <w:sz w:val="18"/>
    </w:rPr>
  </w:style>
  <w:style w:type="paragraph" w:customStyle="1" w:styleId="TableNote">
    <w:name w:val="Table Note"/>
    <w:pPr>
      <w:spacing w:before="60"/>
      <w:jc w:val="both"/>
    </w:pPr>
    <w:rPr>
      <w:rFonts w:ascii="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2502</Words>
  <Characters>14266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LiMarvin</cp:lastModifiedBy>
  <cp:revision>2</cp:revision>
  <cp:lastPrinted>2026-09-18T11:22:00Z</cp:lastPrinted>
  <dcterms:created xsi:type="dcterms:W3CDTF">2013-12-23T23:15:00Z</dcterms:created>
  <dcterms:modified xsi:type="dcterms:W3CDTF">2026-09-18T11:22:00Z</dcterms:modified>
  <cp:category/>
</cp:coreProperties>
</file>