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9A3E2" w14:textId="77777777" w:rsidR="00E7764D" w:rsidRDefault="00826C12">
      <w:pPr>
        <w:pStyle w:val="PaperTitle"/>
      </w:pPr>
      <w:r>
        <w:t>Deep Learning-Driven Digital Twin and Multi-Scale Constitutive Modeling for Geomaterials and Structural Infrastructure</w:t>
      </w:r>
    </w:p>
    <w:p w14:paraId="1A90CA9A" w14:textId="77777777" w:rsidR="00E7764D" w:rsidRDefault="00826C12">
      <w:pPr>
        <w:pStyle w:val="PaperAuthor"/>
      </w:pPr>
      <w:r>
        <w:t>Junzan Li</w:t>
      </w:r>
      <w:r>
        <w:rPr>
          <w:sz w:val="21"/>
          <w:vertAlign w:val="superscript"/>
        </w:rPr>
        <w:t>a,b,*</w:t>
      </w:r>
      <w:r>
        <w:t>, Senior Academician</w:t>
      </w:r>
      <w:r>
        <w:rPr>
          <w:sz w:val="21"/>
          <w:vertAlign w:val="superscript"/>
        </w:rPr>
        <w:t>a</w:t>
      </w:r>
    </w:p>
    <w:p w14:paraId="3FB943F2" w14:textId="77777777" w:rsidR="00E7764D" w:rsidRDefault="00826C12">
      <w:pPr>
        <w:pStyle w:val="PaperAffiliation"/>
      </w:pPr>
      <w:r>
        <w:rPr>
          <w:sz w:val="21"/>
          <w:vertAlign w:val="superscript"/>
        </w:rPr>
        <w:t xml:space="preserve">a </w:t>
      </w:r>
      <w:r>
        <w:t>School of Civil and Transportation Engineering, China</w:t>
      </w:r>
      <w:r>
        <w:br/>
      </w:r>
      <w:r>
        <w:rPr>
          <w:sz w:val="21"/>
          <w:vertAlign w:val="superscript"/>
        </w:rPr>
        <w:t xml:space="preserve">b </w:t>
      </w:r>
      <w:r>
        <w:t xml:space="preserve">State Key Laboratory for Disaster </w:t>
      </w:r>
      <w:r>
        <w:t>Prevention and Smart Infrastructure, China</w:t>
      </w:r>
      <w:r>
        <w:br/>
        <w:t>* Corresponding author.</w:t>
      </w:r>
    </w:p>
    <w:p w14:paraId="41707820" w14:textId="77777777" w:rsidR="00E7764D" w:rsidRDefault="00826C12">
      <w:r>
        <w:rPr>
          <w:b/>
        </w:rPr>
        <w:t xml:space="preserve">Abstract: </w:t>
      </w:r>
      <w:r>
        <w:t>Accurate prediction of progressive deformation in complex geomaterials remains an open scientific challenge. This master template establishes the international standard for automated LaTeX-to-Word academic publishing. We rigorously demonstrate the isolation of physical variables from Office Math boxes, the seamless invocation of MathType OLE objects, the generation of unbolded publication three-line tables with anti-split pagination defense, and the physical caption-fused 2×2 subfigure alignment. Dynamic cr</w:t>
      </w:r>
      <w:r>
        <w:t>oss-referencing via Word SEQ and REF fields is embedded to guarantee deterministic number re-indexing.</w:t>
      </w:r>
    </w:p>
    <w:p w14:paraId="12BD3BF8" w14:textId="77777777" w:rsidR="00E7764D" w:rsidRDefault="00826C12">
      <w:pPr>
        <w:spacing w:after="320"/>
      </w:pPr>
      <w:r>
        <w:rPr>
          <w:b/>
        </w:rPr>
        <w:t xml:space="preserve">Keywords: </w:t>
      </w:r>
      <w:r>
        <w:t>Digital twin; Three-line table; Constitutive modeling; MathType equation; Subfigure layout; Geomechanics</w:t>
      </w:r>
    </w:p>
    <w:p w14:paraId="00B2527E" w14:textId="77777777" w:rsidR="00E7764D" w:rsidRDefault="00826C12">
      <w:pPr>
        <w:pStyle w:val="1"/>
      </w:pPr>
      <w:r>
        <w:t>1. Mathematical Formulation &amp; Literature Background</w:t>
      </w:r>
    </w:p>
    <w:p w14:paraId="5413647E" w14:textId="77777777" w:rsidR="00E7764D" w:rsidRDefault="00826C12">
      <w:r>
        <w:t xml:space="preserve">Geotechnical infrastructure failure monitoring has advanced rapidly over the past decade </w:t>
      </w:r>
      <w:r>
        <w:fldChar w:fldCharType="begin"/>
      </w:r>
      <w:r>
        <w:instrText>ADDIN ZOTERO_ITEM CSL_CITATION {"citationID": "csl_1", "properties": {"formattedCitation": "[1]", "plainCitation": "[1]"}, "citationItems": [{"id": "ref_1", "uris": ["http://zotero.org/users/local/items/ITEM_1"]}]}</w:instrText>
      </w:r>
      <w:r>
        <w:fldChar w:fldCharType="separate"/>
      </w:r>
      <w:r>
        <w:t>[1]</w:t>
      </w:r>
      <w:r>
        <w:fldChar w:fldCharType="end"/>
      </w:r>
      <w:r>
        <w:t xml:space="preserve">, with slope deformation and landslide stabilization studied through diverse numerical approaches </w:t>
      </w:r>
      <w:r>
        <w:fldChar w:fldCharType="begin"/>
      </w:r>
      <w:r>
        <w:instrText>ADDIN ZOTERO_ITEM CSL_CITATION {"citationID": "csl_2", "properties": {"formattedCitation": "[2]", "plainCitation": "[2]"}, "citationItems": [{"id": "ref_2", "uris": ["http://zotero.org/users/local/items/ITEM_2"]}]}</w:instrText>
      </w:r>
      <w:r>
        <w:fldChar w:fldCharType="separate"/>
      </w:r>
      <w:r>
        <w:t>[2]</w:t>
      </w:r>
      <w:r>
        <w:fldChar w:fldCharType="end"/>
      </w:r>
      <w:r>
        <w:t xml:space="preserve">. Classical limit equilibrium and finite-element formulations have been extensively validated across field sites </w:t>
      </w:r>
      <w:r>
        <w:fldChar w:fldCharType="begin"/>
      </w:r>
      <w:r>
        <w:instrText>ADDIN ZOTERO_ITEM CSL_CITATION {"citationID": "csl_3", "properties": {"formattedCitation": "[3]", "plainCitation": "[3]"}, "citationItems": [{"id": "ref_3", "uris": ["http://zotero.org/users/local/items/ITEM_3"]}]}</w:instrText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"csl_4", "properties": {"formattedCitation": "[4]", "plainCitation": "[4]"}, "citationItems": [{"id": "ref_4", "uris": ["http://zotero.org/users/local/items/ITEM_4"]}]}</w:instrText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"csl_5", "properties": {"formattedCitation": "[5]", "plainCitation": "[5]"}, "citationItems": [{"id": "ref_5", "uris": ["http://zotero.org/users/local/items/ITEM_5"]}]}</w:instrText>
      </w:r>
      <w:r>
        <w:fldChar w:fldCharType="separate"/>
      </w:r>
      <w:r>
        <w:t>[5]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"csl_6", "properties": {"formattedCitation": "[6]", "plainCitation": "[6]"}, "citationItems": [{"id": "ref_6", "uris": ["http://zotero.org/users/local/items/ITEM_6"]}]}</w:instrText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"csl_7", "properties": {"formattedCitation": "[7]", "plainCitation": "[7]"}, "citationItems": [{"id": "ref_7", "uris": ["http://zotero.org/users/local/items/ITEM_7"]}]}</w:instrText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"csl_8", "properties": {"formattedCitation": "[8]", "plainCitation": "[8]"}, "citationItems": [{"id": "ref_8", "uris": ["http://zotero.org/users/local/items/ITEM_8"]}]}</w:instrText>
      </w:r>
      <w:r>
        <w:fldChar w:fldCharType="separate"/>
      </w:r>
      <w:r>
        <w:t>[8]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"csl_9", "properties": {"formattedCitation": "[9]", "plainCitation": "[9]"}, "citationItems": [{"id": "ref_9", "uris": ["http://zotero.org/users/local/items/ITEM_9"]}]}</w:instrText>
      </w:r>
      <w:r>
        <w:fldChar w:fldCharType="separate"/>
      </w:r>
      <w:r>
        <w:t>[9]</w:t>
      </w:r>
      <w:r>
        <w:fldChar w:fldCharType="end"/>
      </w:r>
      <w:r>
        <w:t xml:space="preserve"> </w:t>
      </w:r>
    </w:p>
    <w:p w14:paraId="070322E0" w14:textId="77777777" w:rsidR="00E7764D" w:rsidRDefault="00826C12">
      <w:r>
        <w:t xml:space="preserve">Constitutive developments in multi-scale geomechanics and unsaturated soil mechanics have provided essential physical baselines </w:t>
      </w:r>
      <w:r>
        <w:fldChar w:fldCharType="begin"/>
      </w:r>
      <w:r>
        <w:instrText>ADDIN ZOTERO_ITEM CSL_CITATION {"citationID": "csl_10", "properties": {"formattedCitation": "[10]", "plainCitation": "[10]"}, "citationItems": [{"id": "ref_10", "uris": ["http://zotero.org/users/local/items/ITEM_10"]}]}</w:instrText>
      </w:r>
      <w:r>
        <w:fldChar w:fldCharType="separate"/>
      </w:r>
      <w:r>
        <w:t>[10]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"csl_11", "properties": {"formattedCitation": "[11]", "plainCitation": "[11]"}, "citationItems": [{"id": "ref_11", "uris": ["http://zotero.org/users/local/items/ITEM_11"]}]}</w:instrText>
      </w:r>
      <w:r>
        <w:fldChar w:fldCharType="separate"/>
      </w:r>
      <w:r>
        <w:t>[11]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"csl_12", "properties": {"formattedCitation": "[12]", "plainCitation": "[12]"}, "citationItems": [{"id": "ref_12", "uris": ["http://zotero.org/users/local/items/ITEM_12"]}]}</w:instrText>
      </w:r>
      <w:r>
        <w:fldChar w:fldCharType="separate"/>
      </w:r>
      <w:r>
        <w:t>[12]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"csl_13", "properties": {"formattedCitation": "[13]", "plainCitation": "[13]"}, "citationItems": [{"id": "ref_13", "uris": ["http://zotero.org/users/local/items/ITEM_13"]}]}</w:instrText>
      </w:r>
      <w:r>
        <w:fldChar w:fldCharType="separate"/>
      </w:r>
      <w:r>
        <w:t>[13]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"csl_14", "properties": {"formattedCitation": "[14]", "plainCitation": "[14]"}, "citationItems": [{"id": "ref_14", "uris": ["http://zotero.org/users/local/items/ITEM_14"]}]}</w:instrText>
      </w:r>
      <w:r>
        <w:fldChar w:fldCharType="separate"/>
      </w:r>
      <w:r>
        <w:t>[14]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"csl_15", "properties": {"formattedCitation": "[15]", "plainCitation": "[15]"}, "citationItems": [{"id": "ref_15", "uris": ["http://zotero.org/users/local/items/ITEM_15"]}]}</w:instrText>
      </w:r>
      <w:r>
        <w:fldChar w:fldCharType="separate"/>
      </w:r>
      <w:r>
        <w:t>[15]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"csl_16", "properties": {"formattedCitation": "[16]", "plainCitation": "[16]"}, "citationItems": [{"id": "ref_16", "uris": ["http://zotero.org/users/local/items/ITEM_16"]}]}</w:instrText>
      </w:r>
      <w:r>
        <w:fldChar w:fldCharType="separate"/>
      </w:r>
      <w:r>
        <w:t>[16]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"csl_17", "properties": {"formattedCitation": "[17]", "plainCitation": "[17]"}, "citationItems": [{"id": "ref_17", "uris": ["http://zotero.org/users/local/items/ITEM_17"]}]}</w:instrText>
      </w:r>
      <w:r>
        <w:fldChar w:fldCharType="separate"/>
      </w:r>
      <w:r>
        <w:t>[17]</w:t>
      </w:r>
      <w:r>
        <w:fldChar w:fldCharType="end"/>
      </w:r>
      <w:r>
        <w:t xml:space="preserve"> </w:t>
      </w:r>
    </w:p>
    <w:p w14:paraId="1E5D95F0" w14:textId="77777777" w:rsidR="00E7764D" w:rsidRDefault="00826C12">
      <w:r>
        <w:t xml:space="preserve">According to the ISO 80000-2 and IUPAP international conventions, physical variables must be italicized while units and chemical formulas remain upright. Under initial consolidation, the vertical effective stress is denoted by </w:t>
      </w:r>
      <w:r>
        <w:rPr>
          <w:i/>
        </w:rPr>
        <w:t>σ</w:t>
      </w:r>
      <w:r>
        <w:rPr>
          <w:vertAlign w:val="subscript"/>
        </w:rPr>
        <w:t>v0</w:t>
      </w:r>
      <w:r>
        <w:rPr>
          <w:vertAlign w:val="superscript"/>
        </w:rPr>
        <w:t>′</w:t>
      </w:r>
      <w:r>
        <w:t xml:space="preserve">, volumetric strain is </w:t>
      </w:r>
      <w:r>
        <w:rPr>
          <w:i/>
        </w:rPr>
        <w:t>ε</w:t>
      </w:r>
      <w:r>
        <w:rPr>
          <w:vertAlign w:val="subscript"/>
        </w:rPr>
        <w:t>vol</w:t>
      </w:r>
      <w:r>
        <w:t xml:space="preserve">, and coefficient of earth pressure is </w:t>
      </w:r>
      <w:r>
        <w:rPr>
          <w:i/>
        </w:rPr>
        <w:t>K</w:t>
      </w:r>
      <w:r>
        <w:rPr>
          <w:vertAlign w:val="subscript"/>
        </w:rPr>
        <w:t>0,nc</w:t>
      </w:r>
      <w:r>
        <w:t xml:space="preserve">. During multi-stage triaxial shear loading, the major principal stress satisfies </w:t>
      </w:r>
      <w:r>
        <w:rPr>
          <w:i/>
        </w:rPr>
        <w:t>σ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= 450 kPa</w:t>
      </w:r>
      <w:r>
        <w:rPr>
          <w:vertAlign w:val="superscript"/>
        </w:rPr>
        <w:t>2</w:t>
      </w:r>
      <w:r>
        <w:t xml:space="preserve">, undrained shear strength achieves </w:t>
      </w:r>
      <w:r>
        <w:rPr>
          <w:i/>
        </w:rPr>
        <w:t>c</w:t>
      </w:r>
      <w:r>
        <w:rPr>
          <w:vertAlign w:val="subscript"/>
        </w:rPr>
        <w:t>u</w:t>
      </w:r>
      <w:r>
        <w:rPr>
          <w:vertAlign w:val="superscript"/>
        </w:rPr>
        <w:t>(t)</w:t>
      </w:r>
      <w:r>
        <w:t xml:space="preserve">, and the slope factor of safety reaches </w:t>
      </w:r>
      <w:r>
        <w:rPr>
          <w:i/>
        </w:rPr>
        <w:t>F</w:t>
      </w:r>
      <w:r>
        <w:rPr>
          <w:i/>
          <w:vertAlign w:val="subscript"/>
        </w:rPr>
        <w:t>s</w:t>
      </w:r>
      <w:r>
        <w:rPr>
          <w:vertAlign w:val="superscript"/>
        </w:rPr>
        <w:t>min</w:t>
      </w:r>
      <w:r>
        <w:t xml:space="preserve"> = 1.34 at an ambient temperature of 20 °C. The specimen contains 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with dry density of 1.95 g/cm</w:t>
      </w:r>
      <w:r>
        <w:rPr>
          <w:vertAlign w:val="superscript"/>
        </w:rPr>
        <w:t>3</w:t>
      </w:r>
      <w:r>
        <w:t xml:space="preserve">, matching empirical observations in recent literature </w:t>
      </w:r>
      <w:r>
        <w:fldChar w:fldCharType="begin"/>
      </w:r>
      <w:r>
        <w:instrText>ADDIN ZOTERO_ITEM CSL_CITATION {"citationID": "csl_18", "properties": {"formattedCitation": "[18]", "plainCitation": "[18]"}, "citationItems": [{"id": "ref_18", "uris": ["http://zotero.org/users/local/items/ITEM_18"]}]}</w:instrText>
      </w:r>
      <w:r>
        <w:fldChar w:fldCharType="separate"/>
      </w:r>
      <w:r>
        <w:t>[18]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"csl_19", "properties": {"formattedCitation": "[19]", "plainCitation": "[19]"}, "citationItems": [{"id": "ref_19", "uris": ["http://zotero.org/users/local/items/ITEM_19"]}]}</w:instrText>
      </w:r>
      <w:r>
        <w:fldChar w:fldCharType="separate"/>
      </w:r>
      <w:r>
        <w:t>[19]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"csl_20", "properties": {"formattedCitation": "[20]", "plainCitation": "[20]"}, "citationItems": [{"id": "ref_20", "uris": ["http://zotero.org/users/local/items/ITEM_20"]}]}</w:instrText>
      </w:r>
      <w:r>
        <w:fldChar w:fldCharType="separate"/>
      </w:r>
      <w:r>
        <w:t>[20]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"csl_21", "properties": {"formattedCitation": "[21]", "plainCitation": "[21]"}, "citationItems": [{"id": "ref_21", "uris": ["http://zotero.org/users/local/items/ITEM_21"]}]}</w:instrText>
      </w:r>
      <w:r>
        <w:fldChar w:fldCharType="separate"/>
      </w:r>
      <w:r>
        <w:t>[21]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"csl_22", "properties": {"formattedCitation": "[22]", "plainCitation": "[22]"}, "citationItems": [{"id": "ref_22", "uris": ["http://zotero.org/users/local/items/ITEM_22"]}]}</w:instrText>
      </w:r>
      <w:r>
        <w:fldChar w:fldCharType="separate"/>
      </w:r>
      <w:r>
        <w:t>[22]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"csl_23", "properties": {"formattedCitation": "[23]", "plainCitation": "[23]"}, "citationItems": [{"id": "ref_23", "uris": ["http://zotero.org/users/local/items/ITEM_23"]}]}</w:instrText>
      </w:r>
      <w:r>
        <w:fldChar w:fldCharType="separate"/>
      </w:r>
      <w:r>
        <w:t>[23]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"csl_24", "properties": {"formattedCitation": "[24]", "plainCitation": "[24]"}, "citationItems": [{"id": "ref_24", "uris": ["http://zotero.org/users/local/items/ITEM_24"]}]}</w:instrText>
      </w:r>
      <w:r>
        <w:fldChar w:fldCharType="separate"/>
      </w:r>
      <w:r>
        <w:t>[24]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"csl_25", "properties": {"formattedCitation": "[25]", "plainCitation": "[25]"}, "citationItems": [{"id": "ref_25", "uris": ["http://zotero.org/users/local/items/ITEM_25"]}]}</w:instrText>
      </w:r>
      <w:r>
        <w:fldChar w:fldCharType="separate"/>
      </w:r>
      <w:r>
        <w:t>[25]</w:t>
      </w:r>
      <w:r>
        <w:fldChar w:fldCharType="end"/>
      </w:r>
      <w:r>
        <w:t xml:space="preserve"> </w:t>
      </w:r>
      <w:r>
        <w:fldChar w:fldCharType="begin"/>
      </w:r>
      <w:r>
        <w:instrText>ADDIN ZOTERO_ITEM CSL_CITATION {"citationID": "csl_26", "properties": {"formattedCitation": "[26]", "plainCitation": "[26]"}, "citationItems": [{"id": "ref_26", "uris": ["http://zotero.org/users/local/items/ITEM_26"]}]}</w:instrText>
      </w:r>
      <w:r>
        <w:fldChar w:fldCharType="separate"/>
      </w:r>
      <w:r>
        <w:t>[26]</w:t>
      </w:r>
      <w:r>
        <w:fldChar w:fldCharType="end"/>
      </w:r>
      <w:r>
        <w:t xml:space="preserve"> </w:t>
      </w:r>
    </w:p>
    <w:p w14:paraId="074DD243" w14:textId="376C62CA" w:rsidR="00E7764D" w:rsidRDefault="00826C12">
      <w:pPr>
        <w:spacing w:before="120"/>
      </w:pPr>
      <w:r>
        <w:rPr>
          <w:i/>
        </w:rPr>
        <w:t xml:space="preserve">                                          τf = c′ + (σn − u) tan φ′                                            </w:t>
      </w:r>
      <w:r>
        <w:t>(</w:t>
      </w:r>
      <w:r>
        <w:fldChar w:fldCharType="begin"/>
      </w:r>
      <w:r>
        <w:instrText>SEQ Equation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)</w:t>
      </w:r>
    </w:p>
    <w:p w14:paraId="4F87FF0C" w14:textId="77777777" w:rsidR="00E7764D" w:rsidRDefault="00826C12">
      <w:pPr>
        <w:pStyle w:val="1"/>
      </w:pPr>
      <w:r>
        <w:t>2. Calibrated Physical Properties &amp; Three-Line Table</w:t>
      </w:r>
    </w:p>
    <w:p w14:paraId="2F505DBB" w14:textId="4607C50D" w:rsidR="00E7764D" w:rsidRDefault="00826C12">
      <w:r>
        <w:t xml:space="preserve">The physical state parameters and calibrated constitutive variables are summarized in </w:t>
      </w:r>
      <w:r>
        <w:fldChar w:fldCharType="begin"/>
      </w:r>
      <w:r>
        <w:instrText>REF _RefTable1 \h</w:instrText>
      </w:r>
      <w:r>
        <w:fldChar w:fldCharType="separate"/>
      </w:r>
      <w:r>
        <w:rPr>
          <w:b/>
        </w:rPr>
        <w:t xml:space="preserve">Table </w:t>
      </w:r>
      <w:r>
        <w:rPr>
          <w:noProof/>
        </w:rPr>
        <w:t>1</w:t>
      </w:r>
      <w:r>
        <w:fldChar w:fldCharType="end"/>
      </w:r>
      <w:r>
        <w:t>. The table adheres to the strict booktabs criteria: 1.5 pt top/bottom rules, 0.75 pt mid rule, unbolded header text, dedicated styles, and pagination cantSplit defenses.</w:t>
      </w:r>
    </w:p>
    <w:p w14:paraId="392897C4" w14:textId="2CF15327" w:rsidR="00E7764D" w:rsidRDefault="00826C12">
      <w:pPr>
        <w:spacing w:before="160" w:after="80"/>
      </w:pPr>
      <w:bookmarkStart w:id="0" w:name="_RefTable1"/>
      <w:r>
        <w:rPr>
          <w:b/>
        </w:rPr>
        <w:lastRenderedPageBreak/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 Calibrated geotechnical physical and mechanical properties of engineered soil specimens.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7764D" w14:paraId="3B7FF495" w14:textId="77777777">
        <w:trPr>
          <w:tblHeader/>
          <w:jc w:val="center"/>
        </w:trPr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655302F5" w14:textId="77777777" w:rsidR="00E7764D" w:rsidRDefault="00826C12">
            <w:pPr>
              <w:pStyle w:val="TableHeader"/>
            </w:pPr>
            <w:r>
              <w:t>Specimen ID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3CA55928" w14:textId="77777777" w:rsidR="00E7764D" w:rsidRDefault="00826C12">
            <w:pPr>
              <w:pStyle w:val="TableHeader"/>
            </w:pPr>
            <w:r>
              <w:t>Moisture w</w:t>
            </w:r>
            <w:r>
              <w:br/>
              <w:t>(%)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2E5A1971" w14:textId="77777777" w:rsidR="00E7764D" w:rsidRDefault="00826C12">
            <w:pPr>
              <w:pStyle w:val="TableHeader"/>
            </w:pPr>
            <w:r>
              <w:t>Dry Density ρd</w:t>
            </w:r>
            <w:r>
              <w:br/>
              <w:t>(g/cm³)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518EC995" w14:textId="77777777" w:rsidR="00E7764D" w:rsidRDefault="00826C12">
            <w:pPr>
              <w:pStyle w:val="TableHeader"/>
            </w:pPr>
            <w:r>
              <w:t>Cohesion c′</w:t>
            </w:r>
            <w:r>
              <w:br/>
              <w:t>(kPa)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6DD8488B" w14:textId="77777777" w:rsidR="00E7764D" w:rsidRDefault="00826C12">
            <w:pPr>
              <w:pStyle w:val="TableHeader"/>
            </w:pPr>
            <w:r>
              <w:t>Friction Angle φ′</w:t>
            </w:r>
            <w:r>
              <w:br/>
              <w:t>(°)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1D640086" w14:textId="77777777" w:rsidR="00E7764D" w:rsidRDefault="00826C12">
            <w:pPr>
              <w:pStyle w:val="TableHeader"/>
            </w:pPr>
            <w:r>
              <w:t>Modulus E0</w:t>
            </w:r>
            <w:r>
              <w:br/>
              <w:t>(MPa)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2074CA41" w14:textId="77777777" w:rsidR="00E7764D" w:rsidRDefault="00826C12">
            <w:pPr>
              <w:pStyle w:val="TableHeader"/>
            </w:pPr>
            <w:r>
              <w:t>Permeability k</w:t>
            </w:r>
            <w:r>
              <w:br/>
              <w:t>(×10⁻⁷ cm/s)</w:t>
            </w:r>
          </w:p>
        </w:tc>
      </w:tr>
      <w:tr w:rsidR="00E7764D" w14:paraId="69BE2D84" w14:textId="77777777">
        <w:trPr>
          <w:cantSplit/>
          <w:jc w:val="center"/>
        </w:trPr>
        <w:tc>
          <w:tcPr>
            <w:tcW w:w="1337" w:type="dxa"/>
          </w:tcPr>
          <w:p w14:paraId="36D6D138" w14:textId="77777777" w:rsidR="00E7764D" w:rsidRDefault="00826C12">
            <w:pPr>
              <w:pStyle w:val="TableBody"/>
            </w:pPr>
            <w:r>
              <w:t>SP-01</w:t>
            </w:r>
          </w:p>
        </w:tc>
        <w:tc>
          <w:tcPr>
            <w:tcW w:w="1337" w:type="dxa"/>
          </w:tcPr>
          <w:p w14:paraId="6A252A0E" w14:textId="77777777" w:rsidR="00E7764D" w:rsidRDefault="00826C12">
            <w:pPr>
              <w:pStyle w:val="TableBody"/>
            </w:pPr>
            <w:r>
              <w:t>12.4 ± 0.3</w:t>
            </w:r>
          </w:p>
        </w:tc>
        <w:tc>
          <w:tcPr>
            <w:tcW w:w="1337" w:type="dxa"/>
          </w:tcPr>
          <w:p w14:paraId="2ECB5DB0" w14:textId="77777777" w:rsidR="00E7764D" w:rsidRDefault="00826C12">
            <w:pPr>
              <w:pStyle w:val="TableBody"/>
            </w:pPr>
            <w:r>
              <w:t>1.78</w:t>
            </w:r>
          </w:p>
        </w:tc>
        <w:tc>
          <w:tcPr>
            <w:tcW w:w="1337" w:type="dxa"/>
          </w:tcPr>
          <w:p w14:paraId="4AD5F36A" w14:textId="77777777" w:rsidR="00E7764D" w:rsidRDefault="00826C12">
            <w:pPr>
              <w:pStyle w:val="TableBody"/>
            </w:pPr>
            <w:r>
              <w:t xml:space="preserve">28.5 ± </w:t>
            </w:r>
            <w:r>
              <w:t>1.2</w:t>
            </w:r>
          </w:p>
        </w:tc>
        <w:tc>
          <w:tcPr>
            <w:tcW w:w="1337" w:type="dxa"/>
          </w:tcPr>
          <w:p w14:paraId="0CE8187B" w14:textId="77777777" w:rsidR="00E7764D" w:rsidRDefault="00826C12">
            <w:pPr>
              <w:pStyle w:val="TableBody"/>
            </w:pPr>
            <w:r>
              <w:t>24.2 ± 0.5</w:t>
            </w:r>
          </w:p>
        </w:tc>
        <w:tc>
          <w:tcPr>
            <w:tcW w:w="1337" w:type="dxa"/>
          </w:tcPr>
          <w:p w14:paraId="3EFFDA89" w14:textId="77777777" w:rsidR="00E7764D" w:rsidRDefault="00826C12">
            <w:pPr>
              <w:pStyle w:val="TableBody"/>
            </w:pPr>
            <w:r>
              <w:t>45.8 ± 2.1</w:t>
            </w:r>
          </w:p>
        </w:tc>
        <w:tc>
          <w:tcPr>
            <w:tcW w:w="1337" w:type="dxa"/>
          </w:tcPr>
          <w:p w14:paraId="786F87EB" w14:textId="77777777" w:rsidR="00E7764D" w:rsidRDefault="00826C12">
            <w:pPr>
              <w:pStyle w:val="TableBody"/>
            </w:pPr>
            <w:r>
              <w:t>3.42 ± 0.15</w:t>
            </w:r>
          </w:p>
        </w:tc>
      </w:tr>
      <w:tr w:rsidR="00E7764D" w14:paraId="4120C788" w14:textId="77777777">
        <w:trPr>
          <w:cantSplit/>
          <w:jc w:val="center"/>
        </w:trPr>
        <w:tc>
          <w:tcPr>
            <w:tcW w:w="1337" w:type="dxa"/>
          </w:tcPr>
          <w:p w14:paraId="3FE51791" w14:textId="77777777" w:rsidR="00E7764D" w:rsidRDefault="00826C12">
            <w:pPr>
              <w:pStyle w:val="TableBody"/>
            </w:pPr>
            <w:r>
              <w:t>SP-02</w:t>
            </w:r>
          </w:p>
        </w:tc>
        <w:tc>
          <w:tcPr>
            <w:tcW w:w="1337" w:type="dxa"/>
          </w:tcPr>
          <w:p w14:paraId="52C5DDC2" w14:textId="77777777" w:rsidR="00E7764D" w:rsidRDefault="00826C12">
            <w:pPr>
              <w:pStyle w:val="TableBody"/>
            </w:pPr>
            <w:r>
              <w:t>11.8 ± 0.2</w:t>
            </w:r>
          </w:p>
        </w:tc>
        <w:tc>
          <w:tcPr>
            <w:tcW w:w="1337" w:type="dxa"/>
          </w:tcPr>
          <w:p w14:paraId="0BD92B47" w14:textId="77777777" w:rsidR="00E7764D" w:rsidRDefault="00826C12">
            <w:pPr>
              <w:pStyle w:val="TableBody"/>
            </w:pPr>
            <w:r>
              <w:t>1.85</w:t>
            </w:r>
          </w:p>
        </w:tc>
        <w:tc>
          <w:tcPr>
            <w:tcW w:w="1337" w:type="dxa"/>
          </w:tcPr>
          <w:p w14:paraId="255E076E" w14:textId="77777777" w:rsidR="00E7764D" w:rsidRDefault="00826C12">
            <w:pPr>
              <w:pStyle w:val="TableBody"/>
            </w:pPr>
            <w:r>
              <w:t>34.2 ± 1.5</w:t>
            </w:r>
          </w:p>
        </w:tc>
        <w:tc>
          <w:tcPr>
            <w:tcW w:w="1337" w:type="dxa"/>
          </w:tcPr>
          <w:p w14:paraId="234FC920" w14:textId="77777777" w:rsidR="00E7764D" w:rsidRDefault="00826C12">
            <w:pPr>
              <w:pStyle w:val="TableBody"/>
            </w:pPr>
            <w:r>
              <w:t>28.7 ± 0.6</w:t>
            </w:r>
          </w:p>
        </w:tc>
        <w:tc>
          <w:tcPr>
            <w:tcW w:w="1337" w:type="dxa"/>
          </w:tcPr>
          <w:p w14:paraId="46E39303" w14:textId="77777777" w:rsidR="00E7764D" w:rsidRDefault="00826C12">
            <w:pPr>
              <w:pStyle w:val="TableBody"/>
            </w:pPr>
            <w:r>
              <w:t>68.4 ± 3.4</w:t>
            </w:r>
          </w:p>
        </w:tc>
        <w:tc>
          <w:tcPr>
            <w:tcW w:w="1337" w:type="dxa"/>
          </w:tcPr>
          <w:p w14:paraId="238BB162" w14:textId="77777777" w:rsidR="00E7764D" w:rsidRDefault="00826C12">
            <w:pPr>
              <w:pStyle w:val="TableBody"/>
            </w:pPr>
            <w:r>
              <w:t>2.85 ± 0.11</w:t>
            </w:r>
          </w:p>
        </w:tc>
      </w:tr>
      <w:tr w:rsidR="00E7764D" w14:paraId="52FCA18F" w14:textId="77777777">
        <w:trPr>
          <w:cantSplit/>
          <w:jc w:val="center"/>
        </w:trPr>
        <w:tc>
          <w:tcPr>
            <w:tcW w:w="1337" w:type="dxa"/>
          </w:tcPr>
          <w:p w14:paraId="21937876" w14:textId="77777777" w:rsidR="00E7764D" w:rsidRDefault="00826C12">
            <w:pPr>
              <w:pStyle w:val="TableBody"/>
            </w:pPr>
            <w:r>
              <w:t>SP-03</w:t>
            </w:r>
          </w:p>
        </w:tc>
        <w:tc>
          <w:tcPr>
            <w:tcW w:w="1337" w:type="dxa"/>
          </w:tcPr>
          <w:p w14:paraId="3181085B" w14:textId="77777777" w:rsidR="00E7764D" w:rsidRDefault="00826C12">
            <w:pPr>
              <w:pStyle w:val="TableBody"/>
            </w:pPr>
            <w:r>
              <w:t>10.5 ± 0.4</w:t>
            </w:r>
          </w:p>
        </w:tc>
        <w:tc>
          <w:tcPr>
            <w:tcW w:w="1337" w:type="dxa"/>
          </w:tcPr>
          <w:p w14:paraId="3E2A5B75" w14:textId="77777777" w:rsidR="00E7764D" w:rsidRDefault="00826C12">
            <w:pPr>
              <w:pStyle w:val="TableBody"/>
            </w:pPr>
            <w:r>
              <w:t>1.96</w:t>
            </w:r>
          </w:p>
        </w:tc>
        <w:tc>
          <w:tcPr>
            <w:tcW w:w="1337" w:type="dxa"/>
          </w:tcPr>
          <w:p w14:paraId="7A036D85" w14:textId="77777777" w:rsidR="00E7764D" w:rsidRDefault="00826C12">
            <w:pPr>
              <w:pStyle w:val="TableBody"/>
            </w:pPr>
            <w:r>
              <w:t>42.8 ± 1.8</w:t>
            </w:r>
          </w:p>
        </w:tc>
        <w:tc>
          <w:tcPr>
            <w:tcW w:w="1337" w:type="dxa"/>
          </w:tcPr>
          <w:p w14:paraId="708D753C" w14:textId="77777777" w:rsidR="00E7764D" w:rsidRDefault="00826C12">
            <w:pPr>
              <w:pStyle w:val="TableBody"/>
            </w:pPr>
            <w:r>
              <w:t>33.5 ± 0.8</w:t>
            </w:r>
          </w:p>
        </w:tc>
        <w:tc>
          <w:tcPr>
            <w:tcW w:w="1337" w:type="dxa"/>
          </w:tcPr>
          <w:p w14:paraId="7DD76A9E" w14:textId="77777777" w:rsidR="00E7764D" w:rsidRDefault="00826C12">
            <w:pPr>
              <w:pStyle w:val="TableBody"/>
            </w:pPr>
            <w:r>
              <w:t>112.6 ± 5.2</w:t>
            </w:r>
          </w:p>
        </w:tc>
        <w:tc>
          <w:tcPr>
            <w:tcW w:w="1337" w:type="dxa"/>
          </w:tcPr>
          <w:p w14:paraId="4C2217EC" w14:textId="77777777" w:rsidR="00E7764D" w:rsidRDefault="00826C12">
            <w:pPr>
              <w:pStyle w:val="TableBody"/>
            </w:pPr>
            <w:r>
              <w:t>1.96 ± 0.08</w:t>
            </w:r>
          </w:p>
        </w:tc>
      </w:tr>
      <w:tr w:rsidR="00E7764D" w14:paraId="053D8271" w14:textId="77777777">
        <w:trPr>
          <w:cantSplit/>
          <w:jc w:val="center"/>
        </w:trPr>
        <w:tc>
          <w:tcPr>
            <w:tcW w:w="1337" w:type="dxa"/>
          </w:tcPr>
          <w:p w14:paraId="40CEC936" w14:textId="77777777" w:rsidR="00E7764D" w:rsidRDefault="00826C12">
            <w:pPr>
              <w:pStyle w:val="TableBody"/>
            </w:pPr>
            <w:r>
              <w:t>SP-04</w:t>
            </w:r>
          </w:p>
        </w:tc>
        <w:tc>
          <w:tcPr>
            <w:tcW w:w="1337" w:type="dxa"/>
          </w:tcPr>
          <w:p w14:paraId="5809E36C" w14:textId="77777777" w:rsidR="00E7764D" w:rsidRDefault="00826C12">
            <w:pPr>
              <w:pStyle w:val="TableBody"/>
            </w:pPr>
            <w:r>
              <w:t>9.2 ± 0.3</w:t>
            </w:r>
          </w:p>
        </w:tc>
        <w:tc>
          <w:tcPr>
            <w:tcW w:w="1337" w:type="dxa"/>
          </w:tcPr>
          <w:p w14:paraId="0E669907" w14:textId="77777777" w:rsidR="00E7764D" w:rsidRDefault="00826C12">
            <w:pPr>
              <w:pStyle w:val="TableBody"/>
            </w:pPr>
            <w:r>
              <w:t>2.08</w:t>
            </w:r>
          </w:p>
        </w:tc>
        <w:tc>
          <w:tcPr>
            <w:tcW w:w="1337" w:type="dxa"/>
          </w:tcPr>
          <w:p w14:paraId="11095F83" w14:textId="77777777" w:rsidR="00E7764D" w:rsidRDefault="00826C12">
            <w:pPr>
              <w:pStyle w:val="TableBody"/>
            </w:pPr>
            <w:r>
              <w:t>51.6 ± 2.1</w:t>
            </w:r>
          </w:p>
        </w:tc>
        <w:tc>
          <w:tcPr>
            <w:tcW w:w="1337" w:type="dxa"/>
          </w:tcPr>
          <w:p w14:paraId="2FA1E062" w14:textId="77777777" w:rsidR="00E7764D" w:rsidRDefault="00826C12">
            <w:pPr>
              <w:pStyle w:val="TableBody"/>
            </w:pPr>
            <w:r>
              <w:t>38.9 ± 1.1</w:t>
            </w:r>
          </w:p>
        </w:tc>
        <w:tc>
          <w:tcPr>
            <w:tcW w:w="1337" w:type="dxa"/>
          </w:tcPr>
          <w:p w14:paraId="7029E77D" w14:textId="77777777" w:rsidR="00E7764D" w:rsidRDefault="00826C12">
            <w:pPr>
              <w:pStyle w:val="TableBody"/>
            </w:pPr>
            <w:r>
              <w:t>185.3 ± 7.8</w:t>
            </w:r>
          </w:p>
        </w:tc>
        <w:tc>
          <w:tcPr>
            <w:tcW w:w="1337" w:type="dxa"/>
          </w:tcPr>
          <w:p w14:paraId="12A2A917" w14:textId="77777777" w:rsidR="00E7764D" w:rsidRDefault="00826C12">
            <w:pPr>
              <w:pStyle w:val="TableBody"/>
            </w:pPr>
            <w:r>
              <w:t>1.24 ± 0.06</w:t>
            </w:r>
          </w:p>
        </w:tc>
      </w:tr>
      <w:tr w:rsidR="00E7764D" w14:paraId="1250CF61" w14:textId="77777777">
        <w:trPr>
          <w:cantSplit/>
          <w:jc w:val="center"/>
        </w:trPr>
        <w:tc>
          <w:tcPr>
            <w:tcW w:w="1337" w:type="dxa"/>
            <w:tcBorders>
              <w:bottom w:val="single" w:sz="12" w:space="0" w:color="000000"/>
            </w:tcBorders>
          </w:tcPr>
          <w:p w14:paraId="23C1ED8A" w14:textId="77777777" w:rsidR="00E7764D" w:rsidRDefault="00826C12">
            <w:pPr>
              <w:pStyle w:val="TableBody"/>
            </w:pPr>
            <w:r>
              <w:t>SP-05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61C27B5B" w14:textId="77777777" w:rsidR="00E7764D" w:rsidRDefault="00826C12">
            <w:pPr>
              <w:pStyle w:val="TableBody"/>
            </w:pPr>
            <w:r>
              <w:t>8.1 ±</w:t>
            </w:r>
            <w:r>
              <w:t xml:space="preserve"> 0.2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7D03430C" w14:textId="77777777" w:rsidR="00E7764D" w:rsidRDefault="00826C12">
            <w:pPr>
              <w:pStyle w:val="TableBody"/>
            </w:pPr>
            <w:r>
              <w:t>2.19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01302045" w14:textId="77777777" w:rsidR="00E7764D" w:rsidRDefault="00826C12">
            <w:pPr>
              <w:pStyle w:val="TableBody"/>
            </w:pPr>
            <w:r>
              <w:t>46.3 ± 2.4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2E52A2C0" w14:textId="77777777" w:rsidR="00E7764D" w:rsidRDefault="00826C12">
            <w:pPr>
              <w:pStyle w:val="TableBody"/>
            </w:pPr>
            <w:r>
              <w:t>43.2 ± 1.3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333A759F" w14:textId="77777777" w:rsidR="00E7764D" w:rsidRDefault="00826C12">
            <w:pPr>
              <w:pStyle w:val="TableBody"/>
            </w:pPr>
            <w:r>
              <w:t>264.0 ± 9.5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64BF19E2" w14:textId="77777777" w:rsidR="00E7764D" w:rsidRDefault="00826C12">
            <w:pPr>
              <w:pStyle w:val="TableBody"/>
            </w:pPr>
            <w:r>
              <w:t>0.88 ± 0.04</w:t>
            </w:r>
          </w:p>
        </w:tc>
      </w:tr>
    </w:tbl>
    <w:p w14:paraId="413076FB" w14:textId="77777777" w:rsidR="00E7764D" w:rsidRDefault="00826C12">
      <w:pPr>
        <w:pStyle w:val="TableNote"/>
      </w:pPr>
      <w:r>
        <w:rPr>
          <w:i/>
        </w:rPr>
        <w:t xml:space="preserve">Note: </w:t>
      </w:r>
      <w:r>
        <w:t>Values indicate mean ± standard deviation from triaxial shear experiments; all shear strength parameters are determined at peak deviatoric stress.</w:t>
      </w:r>
    </w:p>
    <w:p w14:paraId="7B51649B" w14:textId="77777777" w:rsidR="00E7764D" w:rsidRDefault="00826C12">
      <w:pPr>
        <w:pStyle w:val="1"/>
      </w:pPr>
      <w:r>
        <w:t xml:space="preserve">3. Multi-Panel Experimental Results (2×2 </w:t>
      </w:r>
      <w:r>
        <w:t>Subfigures)</w:t>
      </w:r>
    </w:p>
    <w:p w14:paraId="7C8D7DF3" w14:textId="5B6565D4" w:rsidR="00E7764D" w:rsidRDefault="00826C12">
      <w:r>
        <w:t xml:space="preserve">Figure 1 demonstrates the multi-scale physical and numerical verification. As referenced in </w:t>
      </w:r>
      <w:r>
        <w:fldChar w:fldCharType="begin"/>
      </w:r>
      <w:r>
        <w:instrText>REF _RefFig1 \h</w:instrText>
      </w:r>
      <w:r>
        <w:fldChar w:fldCharType="separate"/>
      </w:r>
      <w:r>
        <w:rPr>
          <w:b/>
        </w:rPr>
        <w:t xml:space="preserve">Fig. </w:t>
      </w:r>
      <w:r>
        <w:rPr>
          <w:noProof/>
        </w:rPr>
        <w:t>1</w:t>
      </w:r>
      <w:r>
        <w:fldChar w:fldCharType="end"/>
      </w:r>
      <w:r>
        <w:t>, all four sub-panels are aligned within a borderless container, and the caption is fused into the bottom merged cell.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  <w:gridCol w:w="360"/>
      </w:tblGrid>
      <w:tr w:rsidR="00E7764D" w14:paraId="79EED2FF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B25C5FE" w14:textId="77777777" w:rsidR="00E7764D" w:rsidRDefault="00826C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EE450F" wp14:editId="78DC3347">
                  <wp:extent cx="2788920" cy="20506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53297EB5" w14:textId="77777777" w:rsidR="00E7764D" w:rsidRDefault="00826C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A81B09" wp14:editId="76220600">
                  <wp:extent cx="2788920" cy="20506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64D" w14:paraId="1E05BDF5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A217A65" w14:textId="77777777" w:rsidR="00E7764D" w:rsidRDefault="00826C12">
            <w:pPr>
              <w:spacing w:before="40" w:after="160"/>
              <w:jc w:val="center"/>
            </w:pPr>
            <w:r>
              <w:rPr>
                <w:sz w:val="19"/>
              </w:rPr>
              <w:t>(a) Triaxial deviatoric stress response curves</w:t>
            </w:r>
          </w:p>
        </w:tc>
        <w:tc>
          <w:tcPr>
            <w:tcW w:w="4536" w:type="dxa"/>
          </w:tcPr>
          <w:p w14:paraId="516154F9" w14:textId="77777777" w:rsidR="00E7764D" w:rsidRDefault="00826C12">
            <w:pPr>
              <w:spacing w:before="40" w:after="160"/>
              <w:jc w:val="center"/>
            </w:pPr>
            <w:r>
              <w:rPr>
                <w:sz w:val="19"/>
              </w:rPr>
              <w:t>(b) Excess pore water pressure evolution</w:t>
            </w:r>
          </w:p>
        </w:tc>
      </w:tr>
      <w:tr w:rsidR="00E7764D" w14:paraId="46667D76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D553040" w14:textId="77777777" w:rsidR="00E7764D" w:rsidRDefault="00826C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4D371F" wp14:editId="37486353">
                  <wp:extent cx="2788920" cy="205067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828F5B2" w14:textId="77777777" w:rsidR="00E7764D" w:rsidRDefault="00826C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17306E" wp14:editId="67A9DE86">
                  <wp:extent cx="2788920" cy="20506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64D" w14:paraId="516BADF3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64E802DD" w14:textId="77777777" w:rsidR="00E7764D" w:rsidRDefault="00826C12">
            <w:pPr>
              <w:spacing w:before="40"/>
              <w:jc w:val="center"/>
            </w:pPr>
            <w:r>
              <w:rPr>
                <w:sz w:val="19"/>
              </w:rPr>
              <w:t>(c) Yield surface locus under hardening stages</w:t>
            </w:r>
          </w:p>
        </w:tc>
        <w:tc>
          <w:tcPr>
            <w:tcW w:w="4536" w:type="dxa"/>
          </w:tcPr>
          <w:p w14:paraId="33C2C0D0" w14:textId="77777777" w:rsidR="00E7764D" w:rsidRDefault="00826C12">
            <w:pPr>
              <w:spacing w:before="40"/>
              <w:jc w:val="center"/>
            </w:pPr>
            <w:r>
              <w:rPr>
                <w:sz w:val="19"/>
              </w:rPr>
              <w:t>(d) Real-time digital twin displacement tracking</w:t>
            </w:r>
          </w:p>
        </w:tc>
      </w:tr>
      <w:tr w:rsidR="00E7764D" w14:paraId="1F177F26" w14:textId="77777777">
        <w:trPr>
          <w:jc w:val="center"/>
        </w:trPr>
        <w:tc>
          <w:tcPr>
            <w:tcW w:w="4536" w:type="dxa"/>
            <w:gridSpan w:val="2"/>
          </w:tcPr>
          <w:p w14:paraId="2AFD1A92" w14:textId="3667F99C" w:rsidR="00E7764D" w:rsidRDefault="00826C12">
            <w:pPr>
              <w:spacing w:before="120" w:after="240"/>
            </w:pPr>
            <w:bookmarkStart w:id="1" w:name="_RefFig1"/>
            <w:r>
              <w:rPr>
                <w:b/>
              </w:rPr>
              <w:t xml:space="preserve">Fig. </w:t>
            </w:r>
            <w:r>
              <w:fldChar w:fldCharType="begin"/>
            </w:r>
            <w:r>
              <w:instrText>SEQ Fig. \* ARABIC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b/>
                <w:sz w:val="19"/>
              </w:rPr>
              <w:fldChar w:fldCharType="end"/>
            </w:r>
            <w:bookmarkEnd w:id="1"/>
            <w:r>
              <w:rPr>
                <w:sz w:val="19"/>
              </w:rPr>
              <w:t xml:space="preserve">. Multi-dimensional constitutive experimental and numerical validation of geotechnical behavior: (a) </w:t>
            </w:r>
            <w:r>
              <w:rPr>
                <w:sz w:val="19"/>
              </w:rPr>
              <w:lastRenderedPageBreak/>
              <w:t>Deviatoric stress vs. axial strain curves; (b) Measured and predicted excess pore water pressures; (c) Yield locus expansion; (d) Sensor displacement evolution.</w:t>
            </w:r>
          </w:p>
        </w:tc>
        <w:tc>
          <w:tcPr>
            <w:tcW w:w="4536" w:type="dxa"/>
          </w:tcPr>
          <w:p w14:paraId="4AF11DF8" w14:textId="77777777" w:rsidR="00E7764D" w:rsidRDefault="00E7764D"/>
        </w:tc>
      </w:tr>
    </w:tbl>
    <w:p w14:paraId="6375964A" w14:textId="77777777" w:rsidR="00E7764D" w:rsidRDefault="00826C12">
      <w:pPr>
        <w:pStyle w:val="1"/>
      </w:pPr>
      <w:r>
        <w:t>References</w:t>
      </w:r>
    </w:p>
    <w:p w14:paraId="31138BA5" w14:textId="77777777" w:rsidR="00E7764D" w:rsidRDefault="00826C12">
      <w:pPr>
        <w:spacing w:after="80" w:line="276" w:lineRule="auto"/>
        <w:ind w:left="360" w:hanging="360"/>
      </w:pPr>
      <w:r>
        <w:t>[1] Author, A., Coauthor, B. (2024). Groundbreaking geotechnical and constitutive modeling investigations in top-tier civil journals. Computers and Geotechnics, 168: 106001. https://doi.org/10.1016/j.compgeo.2024.106001</w:t>
      </w:r>
    </w:p>
    <w:p w14:paraId="55E10EF5" w14:textId="77777777" w:rsidR="00E7764D" w:rsidRDefault="00826C12">
      <w:pPr>
        <w:spacing w:after="80" w:line="276" w:lineRule="auto"/>
        <w:ind w:left="360" w:hanging="360"/>
      </w:pPr>
      <w:r>
        <w:t>[2] Author, A., Coauthor, B. (2024). Groundbreaking geotechnical and constitutive modeling investigations in top-tier civil journals. Computers and Geotechnics, 168: 106002. https://doi.org/10.1016/j.compgeo.2024.106002</w:t>
      </w:r>
    </w:p>
    <w:p w14:paraId="3607BAED" w14:textId="77777777" w:rsidR="00E7764D" w:rsidRDefault="00826C12">
      <w:pPr>
        <w:spacing w:after="80" w:line="276" w:lineRule="auto"/>
        <w:ind w:left="360" w:hanging="360"/>
      </w:pPr>
      <w:r>
        <w:t xml:space="preserve">[3] Author, A., </w:t>
      </w:r>
      <w:r>
        <w:t>Coauthor, B. (2024). Groundbreaking geotechnical and constitutive modeling investigations in top-tier civil journals. Computers and Geotechnics, 168: 106003. https://doi.org/10.1016/j.compgeo.2024.106003</w:t>
      </w:r>
    </w:p>
    <w:p w14:paraId="619ADB7B" w14:textId="77777777" w:rsidR="00E7764D" w:rsidRDefault="00826C12">
      <w:pPr>
        <w:spacing w:after="80" w:line="276" w:lineRule="auto"/>
        <w:ind w:left="360" w:hanging="360"/>
      </w:pPr>
      <w:r>
        <w:t>[4] Author, A., Coauthor, B. (2024). Groundbreaking geotechnical and constitutive modeling investigations in top-tier civil journals. Computers and Geotechnics, 168: 106004. https://doi.org/10.1016/j.compgeo.2024.106004</w:t>
      </w:r>
    </w:p>
    <w:p w14:paraId="0CE2DF2B" w14:textId="77777777" w:rsidR="00E7764D" w:rsidRDefault="00826C12">
      <w:pPr>
        <w:spacing w:after="80" w:line="276" w:lineRule="auto"/>
        <w:ind w:left="360" w:hanging="360"/>
      </w:pPr>
      <w:r>
        <w:t>[5] Author, A., Coauthor, B. (2024). Groundbreaking geotechnical and constitutive modeling investigations in top-tier civil journals. Computers and Geotechnics, 168: 106005. https://doi.org/10.1016/j.compgeo.2024.106005</w:t>
      </w:r>
    </w:p>
    <w:p w14:paraId="76983428" w14:textId="77777777" w:rsidR="00E7764D" w:rsidRDefault="00826C12">
      <w:pPr>
        <w:spacing w:after="80" w:line="276" w:lineRule="auto"/>
        <w:ind w:left="360" w:hanging="360"/>
      </w:pPr>
      <w:r>
        <w:t>[6] Author, A., Coauthor, B. (2024). Groundbreaking geotechnical and constitutive modeling investigations in top-tier civil journals. Computers and Geotechnics, 168: 106006. https://doi.org/10.1016/j.compgeo.2024.106006</w:t>
      </w:r>
    </w:p>
    <w:p w14:paraId="4815E3EF" w14:textId="77777777" w:rsidR="00E7764D" w:rsidRDefault="00826C12">
      <w:pPr>
        <w:spacing w:after="80" w:line="276" w:lineRule="auto"/>
        <w:ind w:left="360" w:hanging="360"/>
      </w:pPr>
      <w:r>
        <w:t>[7] Author, A., Coauthor, B. (2024). Groundbreaking geotechnical and constitutive modeling investigations in top-tier civil journals. Computers and Geotechnics, 168: 106007. https://doi.org/10.1016/j.compgeo.2024.106007</w:t>
      </w:r>
    </w:p>
    <w:p w14:paraId="0AD615FA" w14:textId="77777777" w:rsidR="00E7764D" w:rsidRDefault="00826C12">
      <w:pPr>
        <w:spacing w:after="80" w:line="276" w:lineRule="auto"/>
        <w:ind w:left="360" w:hanging="360"/>
      </w:pPr>
      <w:r>
        <w:t>[8] Author, A., Coauthor, B. (2024). Groundbreaking geotechnical and constitutive modeling investigations in top-tier civil journals. Computers and Geotechnics, 168: 106008. https://doi.org/10.1016/j.compgeo.2024.106008</w:t>
      </w:r>
    </w:p>
    <w:p w14:paraId="5215DC9B" w14:textId="77777777" w:rsidR="00E7764D" w:rsidRDefault="00826C12">
      <w:pPr>
        <w:spacing w:after="80" w:line="276" w:lineRule="auto"/>
        <w:ind w:left="360" w:hanging="360"/>
      </w:pPr>
      <w:r>
        <w:t xml:space="preserve">[9] Author, A., Coauthor, B. (2024). Groundbreaking geotechnical and constitutive modeling investigations in top-tier civil journals. Computers and Geotechnics, 168: 106009. </w:t>
      </w:r>
      <w:r>
        <w:t>https://doi.org/10.1016/j.compgeo.2024.106009</w:t>
      </w:r>
    </w:p>
    <w:p w14:paraId="2BBCF669" w14:textId="77777777" w:rsidR="00E7764D" w:rsidRDefault="00826C12">
      <w:pPr>
        <w:spacing w:after="80" w:line="276" w:lineRule="auto"/>
        <w:ind w:left="360" w:hanging="360"/>
      </w:pPr>
      <w:r>
        <w:t>[10] Author, A., Coauthor, B. (2024). Groundbreaking geotechnical and constitutive modeling investigations in top-tier civil journals. Computers and Geotechnics, 168: 106010. https://doi.org/10.1016/j.compgeo.2024.106010</w:t>
      </w:r>
    </w:p>
    <w:p w14:paraId="0B45D44B" w14:textId="77777777" w:rsidR="00E7764D" w:rsidRDefault="00826C12">
      <w:pPr>
        <w:spacing w:after="80" w:line="276" w:lineRule="auto"/>
        <w:ind w:left="360" w:hanging="360"/>
      </w:pPr>
      <w:r>
        <w:t>[11] Author, A., Coauthor, B. (2024). Groundbreaking geotechnical and constitutive modeling investigations in top-tier civil journals. Computers and Geotechnics, 168: 106011. https://doi.org/10.1016/j.compgeo.2024.106011</w:t>
      </w:r>
    </w:p>
    <w:p w14:paraId="10EDF2ED" w14:textId="77777777" w:rsidR="00E7764D" w:rsidRDefault="00826C12">
      <w:pPr>
        <w:spacing w:after="80" w:line="276" w:lineRule="auto"/>
        <w:ind w:left="360" w:hanging="360"/>
      </w:pPr>
      <w:r>
        <w:t>[12] Author, A., Coauthor, B. (2024). Groundbreaking geotechnical and constitutive modeling investigations in top-tier civil journals. Computers and Geotechnics, 168: 106012. https://doi.org/10.1016/j.compgeo.2024.106012</w:t>
      </w:r>
    </w:p>
    <w:p w14:paraId="138D31FC" w14:textId="77777777" w:rsidR="00E7764D" w:rsidRDefault="00826C12">
      <w:pPr>
        <w:spacing w:after="80" w:line="276" w:lineRule="auto"/>
        <w:ind w:left="360" w:hanging="360"/>
      </w:pPr>
      <w:r>
        <w:lastRenderedPageBreak/>
        <w:t>[13] Author, A., Coauthor, B. (2024). Groundbreaking geotechnical and constitutive modeling investigations in top-tier civil journals. Computers and Geotechnics, 168: 106013. https://doi.org/10.1016/j.compgeo.2024.106013</w:t>
      </w:r>
    </w:p>
    <w:p w14:paraId="2AC359C1" w14:textId="77777777" w:rsidR="00E7764D" w:rsidRDefault="00826C12">
      <w:pPr>
        <w:spacing w:after="80" w:line="276" w:lineRule="auto"/>
        <w:ind w:left="360" w:hanging="360"/>
      </w:pPr>
      <w:r>
        <w:t>[14] Author, A., Coauthor, B. (2024). Groundbreaking geotechnical and constitutive modeling investigations in top-tier civil journals. Computers and Geotechnics, 168: 106014. https://doi.org/10.1016/j.compgeo.2024.106014</w:t>
      </w:r>
    </w:p>
    <w:p w14:paraId="23570659" w14:textId="77777777" w:rsidR="00E7764D" w:rsidRDefault="00826C12">
      <w:pPr>
        <w:spacing w:after="80" w:line="276" w:lineRule="auto"/>
        <w:ind w:left="360" w:hanging="360"/>
      </w:pPr>
      <w:r>
        <w:t>[15] Author, A., Coauthor, B. (2024). Groundbreaking geotechnical and constitutive modeling investigations in top-tier civil journals. Computers and Geotechnics, 168: 106015. https://doi.org/10.1016/j.compgeo.2024.106015</w:t>
      </w:r>
    </w:p>
    <w:p w14:paraId="5C9B57E0" w14:textId="77777777" w:rsidR="00E7764D" w:rsidRDefault="00826C12">
      <w:pPr>
        <w:spacing w:after="80" w:line="276" w:lineRule="auto"/>
        <w:ind w:left="360" w:hanging="360"/>
      </w:pPr>
      <w:r>
        <w:t>[16] Author, A., Coauthor, B. (2024). Groundbreaking geotechnical and constitutive modeling investigations in top-tier civil journals. Computers and Geotechnics, 168: 106016. https://doi.org/10.1016/j.compgeo.2024.106016</w:t>
      </w:r>
    </w:p>
    <w:p w14:paraId="4E871A85" w14:textId="77777777" w:rsidR="00E7764D" w:rsidRDefault="00826C12">
      <w:pPr>
        <w:spacing w:after="80" w:line="276" w:lineRule="auto"/>
        <w:ind w:left="360" w:hanging="360"/>
      </w:pPr>
      <w:r>
        <w:t>[17] Author, A., Coauthor, B. (2024). Groundbreaking geotechnical and constitutive modeling investigations in top-tier civil journals. Computers and Geotechnics, 168: 106017. https://doi.org/10.1016/j.compgeo.2024.106017</w:t>
      </w:r>
    </w:p>
    <w:p w14:paraId="30113A9B" w14:textId="77777777" w:rsidR="00E7764D" w:rsidRDefault="00826C12">
      <w:pPr>
        <w:spacing w:after="80" w:line="276" w:lineRule="auto"/>
        <w:ind w:left="360" w:hanging="360"/>
      </w:pPr>
      <w:r>
        <w:t>[18] Author, A., Coauthor, B. (2024). Groundbreaking geotechnical and constitutive modeling investigations in top-tier civil journals. Computers and Geotechnics, 168: 106018. https://doi.org/10.1016/j.compgeo.2024.106018</w:t>
      </w:r>
    </w:p>
    <w:p w14:paraId="2002216E" w14:textId="77777777" w:rsidR="00E7764D" w:rsidRDefault="00826C12">
      <w:pPr>
        <w:spacing w:after="80" w:line="276" w:lineRule="auto"/>
        <w:ind w:left="360" w:hanging="360"/>
      </w:pPr>
      <w:r>
        <w:t>[19] Author, A., Coauthor, B. (2024). Groundbreaking geotechnical and constitutive modeling investigations in top-tier civil journals. Computers and Geotechnics, 168: 106019. https://doi.org/10.1016/j.compgeo.2024.106019</w:t>
      </w:r>
    </w:p>
    <w:p w14:paraId="0CC939A1" w14:textId="77777777" w:rsidR="00E7764D" w:rsidRDefault="00826C12">
      <w:pPr>
        <w:spacing w:after="80" w:line="276" w:lineRule="auto"/>
        <w:ind w:left="360" w:hanging="360"/>
      </w:pPr>
      <w:r>
        <w:t>[20] Author, A., Coauthor, B. (2024). Groundbreaking geotechnical and constitutive modeling investigations in top-tier civil journals. Computers and Geotechnics, 168: 106020. https://doi.org/10.1016/j.compgeo.2024.106020</w:t>
      </w:r>
    </w:p>
    <w:p w14:paraId="1EB47F9A" w14:textId="77777777" w:rsidR="00E7764D" w:rsidRDefault="00826C12">
      <w:pPr>
        <w:spacing w:after="80" w:line="276" w:lineRule="auto"/>
        <w:ind w:left="360" w:hanging="360"/>
      </w:pPr>
      <w:r>
        <w:t>[21] Author, A., Coauthor, B. (2024). Groundbreaking geotechnical and constitutive modeling investigations in top-tier civil journals. Computers and Geotechnics, 168: 106021. https://doi.org/10.1016/j.compgeo.2024.106021</w:t>
      </w:r>
    </w:p>
    <w:p w14:paraId="0D8FED92" w14:textId="77777777" w:rsidR="00E7764D" w:rsidRDefault="00826C12">
      <w:pPr>
        <w:spacing w:after="80" w:line="276" w:lineRule="auto"/>
        <w:ind w:left="360" w:hanging="360"/>
      </w:pPr>
      <w:r>
        <w:t>[22] Author, A., Coauthor, B. (2024). Groundbreaking geotechnical and constitutive modeling investigations in top-tier civil journals. Computers and Geotechnics, 168: 106022. https://doi.org/10.1016/j.compgeo.2024.106022</w:t>
      </w:r>
    </w:p>
    <w:p w14:paraId="6599BD79" w14:textId="77777777" w:rsidR="00E7764D" w:rsidRDefault="00826C12">
      <w:pPr>
        <w:spacing w:after="80" w:line="276" w:lineRule="auto"/>
        <w:ind w:left="360" w:hanging="360"/>
      </w:pPr>
      <w:r>
        <w:t>[23] Author, A., Coauthor, B. (2024). Groundbreaking geotechnical and constitutive modeling investigations in top-tier civil journals. Computers and Geotechnics, 168: 106023. https://doi.org/10.1016/j.compgeo.2024.106023</w:t>
      </w:r>
    </w:p>
    <w:p w14:paraId="5606B714" w14:textId="77777777" w:rsidR="00E7764D" w:rsidRDefault="00826C12">
      <w:pPr>
        <w:spacing w:after="80" w:line="276" w:lineRule="auto"/>
        <w:ind w:left="360" w:hanging="360"/>
      </w:pPr>
      <w:r>
        <w:t>[24] Author, A., Coauthor, B. (2024). Groundbreaking geotechnical and constitutive modeling investigations in top-tier civil journals. Computers and Geotechnics, 168: 106024. https://doi.org/10.1016/j.compgeo.2024.106024</w:t>
      </w:r>
    </w:p>
    <w:p w14:paraId="5AAA5839" w14:textId="77777777" w:rsidR="00E7764D" w:rsidRDefault="00826C12">
      <w:pPr>
        <w:spacing w:after="80" w:line="276" w:lineRule="auto"/>
        <w:ind w:left="360" w:hanging="360"/>
      </w:pPr>
      <w:r>
        <w:t>[25] Author, A., Coauthor, B. (2024). Groundbreaking geotechnical and constitutive modeling investigations in top-tier civil journals. Computers and Geotechnics, 168: 106025. https://doi.org/10.1016/j.compgeo.2024.106025</w:t>
      </w:r>
    </w:p>
    <w:p w14:paraId="54077A5E" w14:textId="77777777" w:rsidR="00E7764D" w:rsidRDefault="00826C12">
      <w:pPr>
        <w:spacing w:after="80" w:line="276" w:lineRule="auto"/>
        <w:ind w:left="360" w:hanging="360"/>
      </w:pPr>
      <w:r>
        <w:t>[26] Author, A., Coauthor, B. (2024). Groundbreaking geotechnical and constitutive modeling investigations in top-tier civil journals. Computers and Geotechnics, 168: 106026. https://doi.org/10.1016/j.compgeo.2024.106026</w:t>
      </w:r>
    </w:p>
    <w:sectPr w:rsidR="00E776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772548">
    <w:abstractNumId w:val="8"/>
  </w:num>
  <w:num w:numId="2" w16cid:durableId="338656538">
    <w:abstractNumId w:val="6"/>
  </w:num>
  <w:num w:numId="3" w16cid:durableId="720788470">
    <w:abstractNumId w:val="5"/>
  </w:num>
  <w:num w:numId="4" w16cid:durableId="866211117">
    <w:abstractNumId w:val="4"/>
  </w:num>
  <w:num w:numId="5" w16cid:durableId="2079665337">
    <w:abstractNumId w:val="7"/>
  </w:num>
  <w:num w:numId="6" w16cid:durableId="983393202">
    <w:abstractNumId w:val="3"/>
  </w:num>
  <w:num w:numId="7" w16cid:durableId="477576355">
    <w:abstractNumId w:val="2"/>
  </w:num>
  <w:num w:numId="8" w16cid:durableId="2039427892">
    <w:abstractNumId w:val="1"/>
  </w:num>
  <w:num w:numId="9" w16cid:durableId="111027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85D"/>
    <w:rsid w:val="00826C12"/>
    <w:rsid w:val="00AA1D8D"/>
    <w:rsid w:val="00B47730"/>
    <w:rsid w:val="00CB0664"/>
    <w:rsid w:val="00E77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30D68"/>
  <w14:defaultImageDpi w14:val="300"/>
  <w15:docId w15:val="{6ED215D0-097D-4E0F-B05A-5F42B7BE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jc w:val="both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 Title"/>
    <w:pPr>
      <w:spacing w:after="240"/>
    </w:pPr>
    <w:rPr>
      <w:rFonts w:ascii="Times New Roman" w:hAnsi="Times New Roman"/>
      <w:b/>
      <w:sz w:val="36"/>
    </w:rPr>
  </w:style>
  <w:style w:type="paragraph" w:customStyle="1" w:styleId="PaperAuthor">
    <w:name w:val="Paper Author"/>
    <w:pPr>
      <w:spacing w:after="80"/>
    </w:pPr>
    <w:rPr>
      <w:rFonts w:ascii="Times New Roman" w:hAnsi="Times New Roman"/>
    </w:rPr>
  </w:style>
  <w:style w:type="paragraph" w:customStyle="1" w:styleId="PaperAffiliation">
    <w:name w:val="Paper Affiliation"/>
    <w:pPr>
      <w:spacing w:after="240"/>
    </w:pPr>
    <w:rPr>
      <w:rFonts w:ascii="Times New Roman" w:hAnsi="Times New Roman"/>
      <w:i/>
      <w:sz w:val="18"/>
    </w:rPr>
  </w:style>
  <w:style w:type="paragraph" w:customStyle="1" w:styleId="TableHeader">
    <w:name w:val="Table Header"/>
    <w:pPr>
      <w:spacing w:before="60" w:after="60" w:line="252" w:lineRule="auto"/>
      <w:jc w:val="center"/>
    </w:pPr>
    <w:rPr>
      <w:rFonts w:ascii="Times New Roman" w:hAnsi="Times New Roman"/>
      <w:sz w:val="19"/>
    </w:rPr>
  </w:style>
  <w:style w:type="paragraph" w:customStyle="1" w:styleId="TableBody">
    <w:name w:val="Table Body"/>
    <w:pPr>
      <w:spacing w:before="50" w:after="50" w:line="240" w:lineRule="auto"/>
      <w:jc w:val="center"/>
    </w:pPr>
    <w:rPr>
      <w:rFonts w:ascii="Times New Roman" w:hAnsi="Times New Roman"/>
      <w:sz w:val="18"/>
    </w:rPr>
  </w:style>
  <w:style w:type="paragraph" w:customStyle="1" w:styleId="TableNote">
    <w:name w:val="Table Note"/>
    <w:pPr>
      <w:spacing w:before="60"/>
      <w:jc w:val="both"/>
    </w:pPr>
    <w:rPr>
      <w:rFonts w:ascii="Times New Roman" w:hAnsi="Times New Roman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LiMarvin</cp:lastModifiedBy>
  <cp:revision>2</cp:revision>
  <cp:lastPrinted>2026-09-18T09:16:00Z</cp:lastPrinted>
  <dcterms:created xsi:type="dcterms:W3CDTF">2013-12-23T23:15:00Z</dcterms:created>
  <dcterms:modified xsi:type="dcterms:W3CDTF">2026-09-18T09:16:00Z</dcterms:modified>
  <cp:category/>
</cp:coreProperties>
</file>