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Here is some preceding text in target document.</w:t>
      </w:r>
    </w:p>
    <w:p>
      <w:r>
        <w:t>Here is some succeeding text in target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08"/>
        <w:gridCol w:w="4608"/>
        <w:gridCol w:w="360"/>
      </w:tblGrid>
      <w:tr w:rsidR="003363B4" w14:paraId="2F00B765" w14:textId="77777777">
        <w:trPr>
          <w:gridAfter w:val="1"/>
          <w:wAfter w:w="360" w:type="dxa"/>
          <w:jc w:val="center"/>
        </w:trPr>
        <w:tc>
          <w:tcPr>
            <w:tcW w:w="4536" w:type="dxa"/>
          </w:tcPr>
          <w:p w14:paraId="5C3ECD8A" w14:textId="77777777" w:rsidR="003363B4" w:rsidRDefault="00546E2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6A43CE3" wp14:editId="45C0BD30">
                  <wp:extent cx="2788920" cy="2050676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ub_a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050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6" w:type="dxa"/>
          </w:tcPr>
          <w:p w14:paraId="70600730" w14:textId="77777777" w:rsidR="003363B4" w:rsidRDefault="00546E2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E26A36C" wp14:editId="7B58168F">
                  <wp:extent cx="2788920" cy="2050676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ub_b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050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63B4" w14:paraId="07258681" w14:textId="77777777">
        <w:trPr>
          <w:gridAfter w:val="1"/>
          <w:wAfter w:w="360" w:type="dxa"/>
          <w:jc w:val="center"/>
        </w:trPr>
        <w:tc>
          <w:tcPr>
            <w:tcW w:w="4536" w:type="dxa"/>
          </w:tcPr>
          <w:p w14:paraId="49887A61" w14:textId="77777777" w:rsidR="003363B4" w:rsidRDefault="00546E23">
            <w:pPr>
              <w:spacing w:before="40" w:after="160"/>
              <w:jc w:val="center"/>
            </w:pPr>
            <w:r>
              <w:rPr>
                <w:sz w:val="19"/>
              </w:rPr>
              <w:t>(a) Multi-stage stress-strain response (#2F6AB9 to #F14040)</w:t>
            </w:r>
          </w:p>
        </w:tc>
        <w:tc>
          <w:tcPr>
            <w:tcW w:w="4536" w:type="dxa"/>
          </w:tcPr>
          <w:p w14:paraId="13CBA92B" w14:textId="77777777" w:rsidR="003363B4" w:rsidRDefault="00546E23">
            <w:pPr>
              <w:spacing w:before="40" w:after="160"/>
              <w:jc w:val="center"/>
            </w:pPr>
            <w:r>
              <w:rPr>
                <w:sz w:val="19"/>
              </w:rPr>
              <w:t>(b) Pore pressure dissipation across curing periods</w:t>
            </w:r>
          </w:p>
        </w:tc>
      </w:tr>
      <w:tr w:rsidR="003363B4" w14:paraId="2E186C5B" w14:textId="77777777">
        <w:trPr>
          <w:gridAfter w:val="1"/>
          <w:wAfter w:w="360" w:type="dxa"/>
          <w:jc w:val="center"/>
        </w:trPr>
        <w:tc>
          <w:tcPr>
            <w:tcW w:w="4536" w:type="dxa"/>
          </w:tcPr>
          <w:p w14:paraId="45A5B8F6" w14:textId="77777777" w:rsidR="003363B4" w:rsidRDefault="00546E23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D667238" wp14:editId="5E38BB5D">
                  <wp:extent cx="2788920" cy="2050676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ub_c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050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6" w:type="dxa"/>
          </w:tcPr>
          <w:p w14:paraId="01B594C1" w14:textId="77777777" w:rsidR="003363B4" w:rsidRDefault="00546E2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178C3B7" wp14:editId="50F910A8">
                  <wp:extent cx="2788920" cy="2050676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ub_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050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63B4" w14:paraId="793D45A4" w14:textId="77777777">
        <w:trPr>
          <w:gridAfter w:val="1"/>
          <w:wAfter w:w="360" w:type="dxa"/>
          <w:jc w:val="center"/>
        </w:trPr>
        <w:tc>
          <w:tcPr>
            <w:tcW w:w="4536" w:type="dxa"/>
          </w:tcPr>
          <w:p w14:paraId="7A01BA65" w14:textId="77777777" w:rsidR="003363B4" w:rsidRDefault="00546E23">
            <w:pPr>
              <w:spacing w:before="40"/>
              <w:jc w:val="center"/>
            </w:pPr>
            <w:r>
              <w:rPr>
                <w:sz w:val="19"/>
              </w:rPr>
              <w:t>(c) Yield surface envelope evolution in p′-q plane</w:t>
            </w:r>
          </w:p>
        </w:tc>
        <w:tc>
          <w:tcPr>
            <w:tcW w:w="4536" w:type="dxa"/>
          </w:tcPr>
          <w:p w14:paraId="2F58B5A5" w14:textId="77777777" w:rsidR="003363B4" w:rsidRDefault="00546E23">
            <w:pPr>
              <w:spacing w:before="40"/>
              <w:jc w:val="center"/>
            </w:pPr>
            <w:r>
              <w:rPr>
                <w:sz w:val="19"/>
              </w:rPr>
              <w:t>(d) Real-time digital twin sensor monitoring tracking</w:t>
            </w:r>
          </w:p>
        </w:tc>
      </w:tr>
      <w:tr w:rsidR="003363B4" w14:paraId="453CDA8C" w14:textId="77777777">
        <w:trPr>
          <w:jc w:val="center"/>
        </w:trPr>
        <w:tc>
          <w:tcPr>
            <w:tcW w:w="4536" w:type="dxa"/>
            <w:gridSpan w:val="2"/>
          </w:tcPr>
          <w:p w14:paraId="3EA5A874" w14:textId="5C8AAF1B" w:rsidR="003363B4" w:rsidRDefault="00546E23">
            <w:pPr>
              <w:spacing w:before="120" w:after="240"/>
            </w:pPr>
            <w:bookmarkStart w:id="1" w:name="_RefFig1"/>
            <w:r>
              <w:rPr>
                <w:b/>
              </w:rPr>
              <w:t xml:space="preserve">Fig. </w:t>
            </w:r>
            <w:r>
              <w:fldChar w:fldCharType="begin"/>
            </w:r>
            <w:r>
              <w:instrText>SEQ Fig. \* ARABIC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rPr>
                <w:b/>
                <w:sz w:val="19"/>
              </w:rPr>
              <w:fldChar w:fldCharType="end"/>
            </w:r>
            <w:bookmarkEnd w:id="1"/>
            <w:r>
              <w:rPr>
                <w:sz w:val="19"/>
              </w:rPr>
              <w:t>. Multi-dimensional constitutive and transport characterization of cementitious composites: (a) Deviatoric stress vs. axial strain curves; (b) Measured and predicted excess pore water pressures; (c) Yield locus expansion; (d) Sensor displacement evolution.</w:t>
            </w:r>
          </w:p>
        </w:tc>
        <w:tc>
          <w:tcPr>
            <w:tcW w:w="4536" w:type="dxa"/>
          </w:tcPr>
          <w:p w14:paraId="743C37FD" w14:textId="77777777" w:rsidR="003363B4" w:rsidRDefault="003363B4"/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