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32DA8" w14:textId="77777777" w:rsidR="001F1238" w:rsidRDefault="00FC4D66">
      <w:r>
        <w:t>Here is an introductory paragraph describing the experimental setup.</w:t>
      </w:r>
    </w:p>
    <w:p w14:paraId="04CB5336" w14:textId="77777777" w:rsidR="001F1238" w:rsidRDefault="00FC4D66">
      <w:r>
        <w:t>Following the 2x2 panel, here is an evaluation of the two primary mechanisms.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  <w:gridCol w:w="222"/>
      </w:tblGrid>
      <w:tr w:rsidR="001F1238" w14:paraId="1C7860B1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0743F58B" w14:textId="77777777" w:rsidR="001F1238" w:rsidRDefault="00FC4D66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B3A1F58" wp14:editId="6FD12BB0">
                  <wp:extent cx="2788920" cy="205067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552F8E71" w14:textId="77777777" w:rsidR="001F1238" w:rsidRDefault="00FC4D66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685EC08" wp14:editId="1ABCDABB">
                  <wp:extent cx="2788920" cy="205067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238" w14:paraId="23BCBAEC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51221F65" w14:textId="77777777" w:rsidR="001F1238" w:rsidRDefault="00FC4D66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(a) Triaxial stress response</w:t>
            </w:r>
          </w:p>
        </w:tc>
        <w:tc>
          <w:tcPr>
            <w:tcW w:w="4536" w:type="dxa"/>
          </w:tcPr>
          <w:p w14:paraId="251B4F44" w14:textId="77777777" w:rsidR="001F1238" w:rsidRDefault="00FC4D66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(b) Excess pore water dissipation</w:t>
            </w:r>
          </w:p>
        </w:tc>
      </w:tr>
      <w:tr w:rsidR="001F1238" w14:paraId="47139038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1A5BB3B2" w14:textId="77777777" w:rsidR="001F1238" w:rsidRDefault="00FC4D66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1FFA05" wp14:editId="17C7739A">
                  <wp:extent cx="2788920" cy="205067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c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4B0983D6" w14:textId="77777777" w:rsidR="001F1238" w:rsidRDefault="00FC4D66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AA8FFE" wp14:editId="7F62F430">
                  <wp:extent cx="2788920" cy="205067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238" w14:paraId="6CA33569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54908843" w14:textId="77777777" w:rsidR="001F1238" w:rsidRDefault="00FC4D66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(c) Yield locus expansion</w:t>
            </w:r>
          </w:p>
        </w:tc>
        <w:tc>
          <w:tcPr>
            <w:tcW w:w="4536" w:type="dxa"/>
          </w:tcPr>
          <w:p w14:paraId="47C85CF6" w14:textId="77777777" w:rsidR="001F1238" w:rsidRDefault="00FC4D66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(d) </w:t>
            </w:r>
            <w:r>
              <w:rPr>
                <w:rFonts w:ascii="Times New Roman" w:hAnsi="Times New Roman"/>
                <w:sz w:val="19"/>
              </w:rPr>
              <w:t>Digital twin sensor monitoring</w:t>
            </w:r>
          </w:p>
        </w:tc>
      </w:tr>
      <w:tr w:rsidR="001F1238" w14:paraId="0B0054C8" w14:textId="77777777">
        <w:trPr>
          <w:jc w:val="center"/>
        </w:trPr>
        <w:tc>
          <w:tcPr>
            <w:tcW w:w="4536" w:type="dxa"/>
            <w:gridSpan w:val="2"/>
          </w:tcPr>
          <w:p w14:paraId="4C44FA80" w14:textId="296533C6" w:rsidR="001F1238" w:rsidRDefault="00FC4D66">
            <w:pPr>
              <w:spacing w:before="120" w:after="240"/>
              <w:jc w:val="both"/>
            </w:pPr>
            <w:bookmarkStart w:id="0" w:name="_RefFig1"/>
            <w:r>
              <w:rPr>
                <w:rFonts w:ascii="Times New Roman" w:hAnsi="Times New Roman"/>
                <w:b/>
                <w:sz w:val="19"/>
              </w:rPr>
              <w:t xml:space="preserve">Fig. </w:t>
            </w:r>
            <w:r>
              <w:fldChar w:fldCharType="begin"/>
            </w:r>
            <w:r>
              <w:instrText>SEQ Fig. \* ARABIC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ascii="Times New Roman" w:hAnsi="Times New Roman"/>
                <w:b/>
                <w:sz w:val="19"/>
              </w:rPr>
              <w:fldChar w:fldCharType="end"/>
            </w:r>
            <w:bookmarkEnd w:id="0"/>
            <w:r>
              <w:rPr>
                <w:rFonts w:ascii="Times New Roman" w:hAnsi="Times New Roman"/>
                <w:sz w:val="19"/>
              </w:rPr>
              <w:t>. Comprehensive mechanical and hydrological performance verification: (a) Stress-strain; (b) Pore pressure; (c) Yield locus; (d) Sensor tracking.</w:t>
            </w:r>
          </w:p>
        </w:tc>
        <w:tc>
          <w:tcPr>
            <w:tcW w:w="4536" w:type="dxa"/>
          </w:tcPr>
          <w:p w14:paraId="0D4AD5FF" w14:textId="77777777" w:rsidR="001F1238" w:rsidRDefault="001F1238"/>
        </w:tc>
      </w:tr>
      <w:tr w:rsidR="001F1238" w14:paraId="3638C553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26C13887" w14:textId="77777777" w:rsidR="001F1238" w:rsidRDefault="00FC4D66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3ECB61" wp14:editId="0E0CF81F">
                  <wp:extent cx="2788920" cy="205067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5DA24B8A" w14:textId="77777777" w:rsidR="001F1238" w:rsidRDefault="00FC4D66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297735D" wp14:editId="27316FCF">
                  <wp:extent cx="2788920" cy="205067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238" w14:paraId="2367C201" w14:textId="77777777">
        <w:trPr>
          <w:gridAfter w:val="1"/>
          <w:wAfter w:w="360" w:type="dxa"/>
          <w:jc w:val="center"/>
        </w:trPr>
        <w:tc>
          <w:tcPr>
            <w:tcW w:w="4536" w:type="dxa"/>
          </w:tcPr>
          <w:p w14:paraId="3AF6D2FA" w14:textId="77777777" w:rsidR="001F1238" w:rsidRDefault="00FC4D66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lastRenderedPageBreak/>
              <w:t>(a) Primary shear response</w:t>
            </w:r>
          </w:p>
        </w:tc>
        <w:tc>
          <w:tcPr>
            <w:tcW w:w="4536" w:type="dxa"/>
          </w:tcPr>
          <w:p w14:paraId="2A0881C9" w14:textId="77777777" w:rsidR="001F1238" w:rsidRDefault="00FC4D66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(b) </w:t>
            </w:r>
            <w:r>
              <w:rPr>
                <w:rFonts w:ascii="Times New Roman" w:hAnsi="Times New Roman"/>
                <w:sz w:val="19"/>
              </w:rPr>
              <w:t>Dissipation kinetics</w:t>
            </w:r>
          </w:p>
        </w:tc>
      </w:tr>
      <w:tr w:rsidR="001F1238" w14:paraId="509D432A" w14:textId="77777777">
        <w:trPr>
          <w:jc w:val="center"/>
        </w:trPr>
        <w:tc>
          <w:tcPr>
            <w:tcW w:w="4536" w:type="dxa"/>
            <w:gridSpan w:val="2"/>
          </w:tcPr>
          <w:p w14:paraId="5E8A6CDD" w14:textId="6B386FC9" w:rsidR="001F1238" w:rsidRDefault="00FC4D66">
            <w:pPr>
              <w:spacing w:before="120" w:after="240"/>
              <w:jc w:val="both"/>
            </w:pPr>
            <w:bookmarkStart w:id="1" w:name="_RefFig2"/>
            <w:r>
              <w:rPr>
                <w:rFonts w:ascii="Times New Roman" w:hAnsi="Times New Roman"/>
                <w:b/>
                <w:sz w:val="19"/>
              </w:rPr>
              <w:t xml:space="preserve">Fig. </w:t>
            </w:r>
            <w:r>
              <w:fldChar w:fldCharType="begin"/>
            </w:r>
            <w:r>
              <w:instrText>SEQ Fig. \* ARABIC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ascii="Times New Roman" w:hAnsi="Times New Roman"/>
                <w:b/>
                <w:sz w:val="19"/>
              </w:rPr>
              <w:fldChar w:fldCharType="end"/>
            </w:r>
            <w:bookmarkEnd w:id="1"/>
            <w:r>
              <w:rPr>
                <w:rFonts w:ascii="Times New Roman" w:hAnsi="Times New Roman"/>
                <w:sz w:val="19"/>
              </w:rPr>
              <w:t>. Direct comparison between shear and dissipation behaviors.</w:t>
            </w:r>
          </w:p>
        </w:tc>
        <w:tc>
          <w:tcPr>
            <w:tcW w:w="4536" w:type="dxa"/>
          </w:tcPr>
          <w:p w14:paraId="7F7F4594" w14:textId="77777777" w:rsidR="001F1238" w:rsidRDefault="001F1238"/>
        </w:tc>
      </w:tr>
    </w:tbl>
    <w:p w14:paraId="3C267A99" w14:textId="77777777" w:rsidR="00FC4D66" w:rsidRDefault="00FC4D66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644329">
    <w:abstractNumId w:val="8"/>
  </w:num>
  <w:num w:numId="2" w16cid:durableId="499546715">
    <w:abstractNumId w:val="6"/>
  </w:num>
  <w:num w:numId="3" w16cid:durableId="1072700801">
    <w:abstractNumId w:val="5"/>
  </w:num>
  <w:num w:numId="4" w16cid:durableId="709495513">
    <w:abstractNumId w:val="4"/>
  </w:num>
  <w:num w:numId="5" w16cid:durableId="1466193372">
    <w:abstractNumId w:val="7"/>
  </w:num>
  <w:num w:numId="6" w16cid:durableId="1872188325">
    <w:abstractNumId w:val="3"/>
  </w:num>
  <w:num w:numId="7" w16cid:durableId="704988464">
    <w:abstractNumId w:val="2"/>
  </w:num>
  <w:num w:numId="8" w16cid:durableId="1086806659">
    <w:abstractNumId w:val="1"/>
  </w:num>
  <w:num w:numId="9" w16cid:durableId="46439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238"/>
    <w:rsid w:val="0029639D"/>
    <w:rsid w:val="00326F90"/>
    <w:rsid w:val="00AA1D8D"/>
    <w:rsid w:val="00B47730"/>
    <w:rsid w:val="00CB0664"/>
    <w:rsid w:val="00D121B0"/>
    <w:rsid w:val="00FC4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0D5E9"/>
  <w14:defaultImageDpi w14:val="300"/>
  <w15:docId w15:val="{9D2585ED-9BD0-461E-A838-1353D220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LiMarvin</cp:lastModifiedBy>
  <cp:revision>2</cp:revision>
  <cp:lastPrinted>2026-09-26T12:31:00Z</cp:lastPrinted>
  <dcterms:created xsi:type="dcterms:W3CDTF">2013-12-23T23:15:00Z</dcterms:created>
  <dcterms:modified xsi:type="dcterms:W3CDTF">2026-09-26T12:31:00Z</dcterms:modified>
  <cp:category/>
</cp:coreProperties>
</file>