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Standard Subfigure Templates (Reference Ground Truth for AI &amp; Converters)</w:t>
      </w:r>
    </w:p>
    <w:p>
      <w:r>
        <w:rPr>
          <w:b/>
          <w:sz w:val="22"/>
        </w:rPr>
        <w:t>1. Canonical 2x2 Subfigure Panel (4 Panels, GridSpan=2)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506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506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(a) Deviatoric stress versus axial strain curves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(b) Excess pore pressure dissipation response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506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_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506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_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120"/>
              <w:jc w:val="center"/>
            </w:pPr>
            <w:r>
              <w:rPr>
                <w:rFonts w:ascii="Times New Roman" w:hAnsi="Times New Roman"/>
                <w:sz w:val="19"/>
              </w:rPr>
              <w:t>(c) Kinematic yield locus expansion in p′-q space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120"/>
              <w:jc w:val="center"/>
            </w:pPr>
            <w:r>
              <w:rPr>
                <w:rFonts w:ascii="Times New Roman" w:hAnsi="Times New Roman"/>
                <w:sz w:val="19"/>
              </w:rPr>
              <w:t>(d) Real-time sensor monitoring displacement tracking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gridSpan w:val="2"/>
          </w:tcPr>
          <w:p>
            <w:pPr>
              <w:spacing w:before="120" w:after="240"/>
              <w:jc w:val="both"/>
            </w:pPr>
            <w:bookmarkStart w:id="501" w:name="_RefFig1"/>
            <w:r>
              <w:rPr>
                <w:b/>
              </w:rPr>
              <w:t xml:space="preserve">Fig. </w:t>
            </w:r>
            <w:fldSimple w:instr="SEQ Fig. \* ARABIC">
              <w:r>
                <w:rPr>
                  <w:rFonts w:ascii="Times New Roman" w:hAnsi="Times New Roman"/>
                  <w:b/>
                  <w:sz w:val="19"/>
                </w:rPr>
                <w:t>1</w:t>
              </w:r>
            </w:fldSimple>
            <w:bookmarkEnd w:id="501"/>
            <w:r>
              <w:rPr>
                <w:rFonts w:ascii="Times New Roman" w:hAnsi="Times New Roman"/>
                <w:sz w:val="19"/>
              </w:rPr>
              <w:t>. Multi-dimensional constitutive and transport validation: (a) Stress-strain; (b) Pore water pressure; (c) Yield locus; (d) Sensor tracking.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>
      <w:r>
        <w:rPr>
          <w:b/>
          <w:sz w:val="22"/>
        </w:rPr>
        <w:t>2. Canonical 1x2 Subfigure Panel (2 Panels Side-by-Side, GridSpan=2)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506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506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(a) Measured versus computed deviatoric stress response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(b) Normalized excess pore pressure dissipation trends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gridSpan w:val="2"/>
          </w:tcPr>
          <w:p>
            <w:pPr>
              <w:spacing w:before="120" w:after="240"/>
              <w:jc w:val="both"/>
            </w:pPr>
            <w:bookmarkStart w:id="502" w:name="_RefFig2"/>
            <w:r>
              <w:rPr>
                <w:b/>
              </w:rPr>
              <w:t xml:space="preserve">Fig. </w:t>
            </w:r>
            <w:fldSimple w:instr="SEQ Fig. \* ARABIC">
              <w:r>
                <w:rPr>
                  <w:rFonts w:ascii="Times New Roman" w:hAnsi="Times New Roman"/>
                  <w:b/>
                  <w:sz w:val="19"/>
                </w:rPr>
                <w:t>2</w:t>
              </w:r>
            </w:fldSimple>
            <w:bookmarkEnd w:id="502"/>
            <w:r>
              <w:rPr>
                <w:rFonts w:ascii="Times New Roman" w:hAnsi="Times New Roman"/>
                <w:sz w:val="19"/>
              </w:rPr>
              <w:t>. Side-by-side comparison of constitutive behaviors: (a) Stress-strain; (b) Dissipation rates.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