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left="0" w:right="0" w:firstLineChars="0"/>
        <w:rPr>
          <w:rFonts w:ascii="宋体" w:hAnsi="宋体"/>
          <w:sz w:val="28"/>
        </w:rPr>
      </w:pPr>
      <w:r>
        <w:rPr>
          <w:rFonts w:hint="eastAsia" w:ascii="宋体" w:hAnsi="宋体"/>
          <w:sz w:val="28"/>
        </w:rPr>
        <w:t>附表：5</w:t>
      </w:r>
    </w:p>
    <w:p>
      <w:pPr>
        <w:ind w:firstLine="0" w:left="0" w:right="0" w:firstLineChars="0"/>
        <w:jc w:val="center"/>
        <w:rPr>
          <w:rFonts w:ascii="宋体" w:hAnsi="宋体"/>
          <w:b/>
          <w:bCs/>
          <w:sz w:val="36"/>
        </w:rPr>
      </w:pPr>
      <w:r>
        <w:rPr>
          <w:rFonts w:hint="eastAsia" w:ascii="宋体" w:hAnsi="宋体"/>
          <w:b/>
          <w:bCs/>
          <w:sz w:val="36"/>
        </w:rPr>
        <w:t>中铁二十五局集团公司科技开发计划课题进展情况表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5" w:type="dxa"/>
          <w:bottom w:w="40" w:type="dxa"/>
          <w:right w:w="45" w:type="dxa"/>
        </w:tblCellMar>
      </w:tblPr>
      <w:tblGrid>
        <w:gridCol w:w="502"/>
        <w:gridCol w:w="517"/>
        <w:gridCol w:w="360"/>
        <w:gridCol w:w="1750"/>
        <w:gridCol w:w="1060"/>
        <w:gridCol w:w="560"/>
        <w:gridCol w:w="1100"/>
        <w:gridCol w:w="1291"/>
        <w:gridCol w:w="1900"/>
      </w:tblGrid>
      <w:tr>
        <w:trPr>
          <w:trHeight w:val="340" w:hRule="atLeast"/>
          <w:jc w:val="center"/>
        </w:trPr>
        <w:tc>
          <w:tcPr>
            <w:tcW w:w="1379" w:type="dxa"/>
            <w:gridSpan w:val="3"/>
            <w:vAlign w:val="center"/>
          </w:tcPr>
          <w:p>
            <w:pPr>
              <w:jc w:val="center"/>
              <w:rPr>
                <w:rFonts w:ascii="宋体" w:hAnsi="宋体"/>
                <w:sz w:val="24"/>
              </w:rPr>
            </w:pPr>
            <w:r>
              <w:rPr>
                <w:rFonts w:hint="eastAsia" w:ascii="宋体" w:hAnsi="宋体"/>
                <w:sz w:val="24"/>
              </w:rPr>
              <w:t>项目名称</w:t>
            </w:r>
          </w:p>
        </w:tc>
        <w:tc>
          <w:tcPr>
            <w:tcW w:w="7661" w:type="dxa"/>
            <w:gridSpan w:val="6"/>
            <w:vAlign w:val="center"/>
          </w:tcPr>
          <w:p>
            <w:pPr>
              <w:spacing w:before="40" w:after="40" w:line="288" w:lineRule="auto"/>
              <w:jc w:val="center"/>
            </w:pPr>
            <w:r>
              <w:rPr>
                <w:rFonts w:ascii="Times New Roman" w:hAnsi="Times New Roman" w:cs="Times New Roman" w:eastAsia="宋体"/>
                <w:b/>
                <w:i w:val="0"/>
                <w:sz w:val="21"/>
              </w:rPr>
              <w:t>装配整体式大跨度框架结构智能建造关键技术体系研究</w:t>
            </w:r>
          </w:p>
        </w:tc>
      </w:tr>
      <w:tr>
        <w:trPr>
          <w:trHeight w:val="340" w:hRule="atLeast"/>
          <w:jc w:val="center"/>
        </w:trPr>
        <w:tc>
          <w:tcPr>
            <w:tcW w:w="1379" w:type="dxa"/>
            <w:gridSpan w:val="3"/>
            <w:vMerge w:val="restart"/>
            <w:vAlign w:val="center"/>
          </w:tcPr>
          <w:p>
            <w:pPr>
              <w:jc w:val="center"/>
              <w:rPr>
                <w:rFonts w:ascii="宋体" w:hAnsi="宋体"/>
                <w:sz w:val="24"/>
              </w:rPr>
            </w:pPr>
            <w:r>
              <w:rPr>
                <w:rFonts w:hint="eastAsia" w:ascii="宋体" w:hAnsi="宋体"/>
                <w:sz w:val="24"/>
              </w:rPr>
              <w:t>合同编号</w:t>
            </w:r>
          </w:p>
        </w:tc>
        <w:tc>
          <w:tcPr>
            <w:tcW w:w="1750" w:type="dxa"/>
            <w:vMerge w:val="restart"/>
            <w:vAlign w:val="center"/>
          </w:tcPr>
          <w:p>
            <w:pPr>
              <w:spacing w:before="40" w:after="40" w:line="288" w:lineRule="auto"/>
              <w:jc w:val="center"/>
            </w:pPr>
            <w:r>
              <w:rPr>
                <w:rFonts w:ascii="Times New Roman" w:hAnsi="Times New Roman" w:cs="Times New Roman" w:eastAsia="宋体"/>
                <w:b w:val="0"/>
                <w:i w:val="0"/>
                <w:sz w:val="21"/>
              </w:rPr>
              <w:t>2025-A002</w:t>
            </w:r>
          </w:p>
        </w:tc>
        <w:tc>
          <w:tcPr>
            <w:tcW w:w="1060" w:type="dxa"/>
            <w:vMerge w:val="restart"/>
            <w:vAlign w:val="center"/>
          </w:tcPr>
          <w:p>
            <w:pPr>
              <w:jc w:val="center"/>
              <w:rPr>
                <w:rFonts w:ascii="宋体" w:hAnsi="宋体"/>
                <w:sz w:val="24"/>
              </w:rPr>
            </w:pPr>
            <w:r>
              <w:rPr>
                <w:rFonts w:hint="eastAsia" w:ascii="宋体" w:hAnsi="宋体"/>
                <w:sz w:val="24"/>
              </w:rPr>
              <w:t>起止年月</w:t>
            </w:r>
          </w:p>
        </w:tc>
        <w:tc>
          <w:tcPr>
            <w:tcW w:w="1660" w:type="dxa"/>
            <w:gridSpan w:val="2"/>
            <w:vMerge w:val="restart"/>
            <w:vAlign w:val="center"/>
          </w:tcPr>
          <w:p>
            <w:pPr>
              <w:spacing w:before="40" w:after="40" w:line="288" w:lineRule="auto"/>
              <w:jc w:val="center"/>
            </w:pPr>
            <w:r>
              <w:rPr>
                <w:rFonts w:ascii="Times New Roman" w:hAnsi="Times New Roman" w:cs="Times New Roman" w:eastAsia="宋体"/>
                <w:b w:val="0"/>
                <w:i w:val="0"/>
                <w:sz w:val="21"/>
              </w:rPr>
              <w:t>2024.12-2026.12</w:t>
            </w:r>
          </w:p>
        </w:tc>
        <w:tc>
          <w:tcPr>
            <w:tcW w:w="1291" w:type="dxa"/>
            <w:vAlign w:val="center"/>
          </w:tcPr>
          <w:p>
            <w:pPr>
              <w:jc w:val="center"/>
              <w:rPr>
                <w:rFonts w:ascii="宋体" w:hAnsi="宋体"/>
                <w:sz w:val="24"/>
              </w:rPr>
            </w:pPr>
            <w:r>
              <w:rPr>
                <w:rFonts w:hint="eastAsia" w:ascii="宋体" w:hAnsi="宋体"/>
                <w:sz w:val="24"/>
              </w:rPr>
              <w:t>项目负责人</w:t>
            </w:r>
          </w:p>
        </w:tc>
        <w:tc>
          <w:tcPr>
            <w:tcW w:w="1900" w:type="dxa"/>
            <w:vAlign w:val="center"/>
          </w:tcPr>
          <w:p>
            <w:pPr>
              <w:spacing w:before="40" w:after="40" w:line="288" w:lineRule="auto"/>
              <w:jc w:val="center"/>
            </w:pPr>
            <w:r>
              <w:rPr>
                <w:rFonts w:ascii="Times New Roman" w:hAnsi="Times New Roman" w:cs="Times New Roman" w:eastAsia="宋体"/>
                <w:b w:val="0"/>
                <w:i w:val="0"/>
                <w:sz w:val="21"/>
              </w:rPr>
              <w:t>杨磊</w:t>
            </w:r>
          </w:p>
        </w:tc>
      </w:tr>
      <w:tr>
        <w:trPr>
          <w:trHeight w:val="340" w:hRule="atLeast"/>
          <w:jc w:val="center"/>
        </w:trPr>
        <w:tc>
          <w:tcPr>
            <w:tcW w:w="1379" w:type="dxa"/>
            <w:gridSpan w:val="3"/>
            <w:vMerge w:val="continue"/>
            <w:vAlign w:val="center"/>
          </w:tcPr>
          <w:p>
            <w:pPr>
              <w:jc w:val="center"/>
              <w:rPr>
                <w:rFonts w:ascii="宋体" w:hAnsi="宋体"/>
                <w:sz w:val="24"/>
              </w:rPr>
            </w:pPr>
          </w:p>
        </w:tc>
        <w:tc>
          <w:tcPr>
            <w:tcW w:w="1750" w:type="dxa"/>
            <w:vMerge w:val="continue"/>
            <w:vAlign w:val="center"/>
          </w:tcPr>
          <w:p>
            <w:pPr>
              <w:jc w:val="center"/>
              <w:rPr>
                <w:rFonts w:ascii="宋体" w:hAnsi="宋体"/>
                <w:sz w:val="24"/>
              </w:rPr>
            </w:pPr>
          </w:p>
        </w:tc>
        <w:tc>
          <w:tcPr>
            <w:tcW w:w="1060" w:type="dxa"/>
            <w:vMerge w:val="continue"/>
            <w:vAlign w:val="center"/>
          </w:tcPr>
          <w:p>
            <w:pPr>
              <w:jc w:val="center"/>
              <w:rPr>
                <w:rFonts w:ascii="宋体" w:hAnsi="宋体"/>
                <w:sz w:val="24"/>
              </w:rPr>
            </w:pPr>
          </w:p>
        </w:tc>
        <w:tc>
          <w:tcPr>
            <w:tcW w:w="1660" w:type="dxa"/>
            <w:gridSpan w:val="2"/>
            <w:vMerge w:val="continue"/>
            <w:vAlign w:val="center"/>
          </w:tcPr>
          <w:p>
            <w:pPr>
              <w:jc w:val="center"/>
              <w:rPr>
                <w:rFonts w:ascii="宋体" w:hAnsi="宋体"/>
                <w:sz w:val="24"/>
              </w:rPr>
            </w:pPr>
          </w:p>
        </w:tc>
        <w:tc>
          <w:tcPr>
            <w:tcW w:w="1291" w:type="dxa"/>
            <w:vAlign w:val="center"/>
          </w:tcPr>
          <w:p>
            <w:pPr>
              <w:jc w:val="center"/>
              <w:rPr>
                <w:rFonts w:ascii="宋体" w:hAnsi="宋体"/>
                <w:sz w:val="24"/>
              </w:rPr>
            </w:pPr>
            <w:r>
              <w:rPr>
                <w:rFonts w:hint="eastAsia" w:ascii="宋体" w:hAnsi="宋体"/>
                <w:sz w:val="24"/>
              </w:rPr>
              <w:t>联系电话</w:t>
            </w:r>
          </w:p>
        </w:tc>
        <w:tc>
          <w:tcPr>
            <w:tcW w:w="1900" w:type="dxa"/>
            <w:vAlign w:val="center"/>
          </w:tcPr>
          <w:p>
            <w:pPr>
              <w:spacing w:before="40" w:after="40" w:line="288" w:lineRule="auto"/>
              <w:jc w:val="center"/>
            </w:pPr>
            <w:r>
              <w:rPr>
                <w:rFonts w:ascii="Times New Roman" w:hAnsi="Times New Roman" w:cs="Times New Roman" w:eastAsia="宋体"/>
                <w:b w:val="0"/>
                <w:i w:val="0"/>
                <w:sz w:val="21"/>
              </w:rPr>
              <w:t>15387496005</w:t>
            </w:r>
          </w:p>
        </w:tc>
      </w:tr>
      <w:tr>
        <w:trPr>
          <w:trHeight w:val="340" w:hRule="atLeast"/>
          <w:jc w:val="center"/>
        </w:trPr>
        <w:tc>
          <w:tcPr>
            <w:tcW w:w="502" w:type="dxa"/>
            <w:vMerge w:val="restart"/>
            <w:vAlign w:val="center"/>
          </w:tcPr>
          <w:p>
            <w:pPr>
              <w:jc w:val="center"/>
              <w:rPr>
                <w:rFonts w:ascii="宋体" w:hAnsi="宋体"/>
                <w:sz w:val="28"/>
              </w:rPr>
            </w:pPr>
            <w:r>
              <w:rPr>
                <w:rFonts w:hint="eastAsia" w:ascii="宋体" w:hAnsi="宋体"/>
                <w:sz w:val="28"/>
              </w:rPr>
              <w:t>项目执行情况</w:t>
            </w:r>
          </w:p>
        </w:tc>
        <w:tc>
          <w:tcPr>
            <w:tcW w:w="517" w:type="dxa"/>
          </w:tcPr>
          <w:p>
            <w:pPr>
              <w:spacing w:line="500" w:lineRule="atLeast"/>
              <w:rPr>
                <w:rFonts w:ascii="宋体" w:hAnsi="宋体"/>
                <w:sz w:val="24"/>
              </w:rPr>
            </w:pPr>
            <w:r>
              <w:rPr>
                <w:rFonts w:hint="eastAsia" w:ascii="宋体" w:hAnsi="宋体"/>
                <w:sz w:val="24"/>
              </w:rPr>
              <w:t>合同规定</w:t>
            </w:r>
          </w:p>
        </w:tc>
        <w:tc>
          <w:tcPr>
            <w:tcW w:w="8021" w:type="dxa"/>
            <w:gridSpan w:val="7"/>
            <w:vAlign w:val="top"/>
          </w:tcPr>
          <w:p>
            <w:pPr>
              <w:spacing w:before="40" w:after="40" w:line="300" w:lineRule="auto"/>
              <w:jc w:val="both"/>
            </w:pPr>
            <w:r>
              <w:rPr>
                <w:rFonts w:ascii="Times New Roman" w:hAnsi="Times New Roman" w:cs="Times New Roman" w:eastAsia="宋体"/>
                <w:b/>
                <w:i w:val="0"/>
                <w:sz w:val="19"/>
              </w:rPr>
              <w:t>一、合同约定研究内容（六大专题）：</w:t>
            </w:r>
          </w:p>
          <w:p>
            <w:pPr>
              <w:spacing w:before="40" w:after="40" w:line="300" w:lineRule="auto"/>
              <w:jc w:val="both"/>
            </w:pPr>
            <w:r>
              <w:rPr>
                <w:rFonts w:ascii="Times New Roman" w:hAnsi="Times New Roman" w:cs="Times New Roman" w:eastAsia="宋体"/>
                <w:b w:val="0"/>
                <w:i w:val="0"/>
                <w:sz w:val="19"/>
              </w:rPr>
              <w:t>（1）专题一：装配整体式大跨度钢框架和幕墙数字化智能建造及精细安装控制技术（多尺度激光扫描点云重构、BIM引导点云分割、端板螺孔刚体配准及不确定度保护带虚拟预拼装）；</w:t>
            </w:r>
          </w:p>
          <w:p>
            <w:pPr>
              <w:spacing w:before="40" w:after="40" w:line="300" w:lineRule="auto"/>
              <w:jc w:val="both"/>
            </w:pPr>
            <w:r>
              <w:rPr>
                <w:rFonts w:ascii="Times New Roman" w:hAnsi="Times New Roman" w:cs="Times New Roman" w:eastAsia="宋体"/>
                <w:b w:val="0"/>
                <w:i w:val="0"/>
                <w:sz w:val="19"/>
              </w:rPr>
              <w:t>（2）专题二：基于BIM的装配整体式钢框架-现浇楼承板结构虚拟建造技术（BIM参数化建模、主体钢结构+大型吊装设备4D仿真、偏心吊装力学包络与防碰撞分析）；</w:t>
            </w:r>
          </w:p>
          <w:p>
            <w:pPr>
              <w:spacing w:before="40" w:after="40" w:line="300" w:lineRule="auto"/>
              <w:jc w:val="both"/>
            </w:pPr>
            <w:r>
              <w:rPr>
                <w:rFonts w:ascii="Times New Roman" w:hAnsi="Times New Roman" w:cs="Times New Roman" w:eastAsia="宋体"/>
                <w:b w:val="0"/>
                <w:i w:val="0"/>
                <w:sz w:val="19"/>
              </w:rPr>
              <w:t>（3）专题三：基于多传感器融合与三维激光移动扫描的结构施工监测及金刚砂地面缺陷检测技术（方差倒数加权融合监测、GRU趋势预测、双光融合地面微裂缝与平整度检测）；</w:t>
            </w:r>
          </w:p>
          <w:p>
            <w:pPr>
              <w:spacing w:before="40" w:after="40" w:line="300" w:lineRule="auto"/>
              <w:jc w:val="both"/>
            </w:pPr>
            <w:r>
              <w:rPr>
                <w:rFonts w:ascii="Times New Roman" w:hAnsi="Times New Roman" w:cs="Times New Roman" w:eastAsia="宋体"/>
                <w:b w:val="0"/>
                <w:i w:val="0"/>
                <w:sz w:val="19"/>
              </w:rPr>
              <w:t>（4）专题四：基于声发射与时频域音频信号的钢管混凝土柱横隔板下动态浇筑密实度检测技术（超声首波走时与小波包能量特征反演，横隔板下密实度探测误差 ≤ 5%）；</w:t>
            </w:r>
          </w:p>
          <w:p>
            <w:pPr>
              <w:spacing w:before="40" w:after="40" w:line="300" w:lineRule="auto"/>
              <w:jc w:val="both"/>
            </w:pPr>
            <w:r>
              <w:rPr>
                <w:rFonts w:ascii="Times New Roman" w:hAnsi="Times New Roman" w:cs="Times New Roman" w:eastAsia="宋体"/>
                <w:b w:val="0"/>
                <w:i w:val="0"/>
                <w:sz w:val="19"/>
              </w:rPr>
              <w:t>（5）专题五：基于知识图谱与系统动力学的施工安全风险管控技术（安全知识图谱构建、正态云模型评价与未闭合风险系统动力学演化调控）；</w:t>
            </w:r>
          </w:p>
          <w:p>
            <w:pPr>
              <w:spacing w:before="40" w:after="40" w:line="300" w:lineRule="auto"/>
              <w:jc w:val="both"/>
            </w:pPr>
            <w:r>
              <w:rPr>
                <w:rFonts w:ascii="Times New Roman" w:hAnsi="Times New Roman" w:cs="Times New Roman" w:eastAsia="宋体"/>
                <w:b w:val="0"/>
                <w:i w:val="0"/>
                <w:sz w:val="19"/>
              </w:rPr>
              <w:t>（6）专题六：复杂环境和条件下高强度施工与交通融合组织与优化技术（场内重载车辆排队论优化与“禁+环+限+疏+宣+管”六位一体交通管控体系）。</w:t>
            </w:r>
          </w:p>
          <w:p>
            <w:pPr>
              <w:spacing w:before="40" w:after="40" w:line="300" w:lineRule="auto"/>
              <w:jc w:val="both"/>
            </w:pPr>
            <w:r>
              <w:rPr>
                <w:rFonts w:ascii="Times New Roman" w:hAnsi="Times New Roman" w:cs="Times New Roman" w:eastAsia="宋体"/>
                <w:b/>
                <w:i w:val="0"/>
                <w:sz w:val="19"/>
              </w:rPr>
              <w:t>二、合同约定成果指标：</w:t>
            </w:r>
          </w:p>
          <w:p>
            <w:pPr>
              <w:spacing w:before="40" w:after="40" w:line="300" w:lineRule="auto"/>
              <w:jc w:val="both"/>
            </w:pPr>
            <w:r>
              <w:rPr>
                <w:rFonts w:ascii="Times New Roman" w:hAnsi="Times New Roman" w:cs="Times New Roman" w:eastAsia="宋体"/>
                <w:b w:val="0"/>
                <w:i w:val="0"/>
                <w:sz w:val="19"/>
              </w:rPr>
              <w:t>形成《装配整体式大跨度框架结构智能建造关键技术体系研究》总研究报告1份及阶段科研进展工作总结1份，申请并获授权国家发明专利6项。</w:t>
            </w:r>
          </w:p>
        </w:tc>
      </w:tr>
      <w:tr>
        <w:trPr>
          <w:trHeight w:val="340" w:hRule="atLeast"/>
          <w:jc w:val="center"/>
        </w:trPr>
        <w:tc>
          <w:tcPr>
            <w:tcW w:w="502" w:type="dxa"/>
            <w:vMerge w:val="continue"/>
          </w:tcPr>
          <w:p>
            <w:pPr>
              <w:rPr>
                <w:rFonts w:ascii="宋体" w:hAnsi="宋体"/>
                <w:sz w:val="28"/>
              </w:rPr>
            </w:pPr>
          </w:p>
        </w:tc>
        <w:tc>
          <w:tcPr>
            <w:tcW w:w="517" w:type="dxa"/>
          </w:tcPr>
          <w:p>
            <w:pPr>
              <w:spacing w:line="500" w:lineRule="atLeast"/>
              <w:rPr>
                <w:rFonts w:ascii="宋体" w:hAnsi="宋体"/>
                <w:sz w:val="24"/>
              </w:rPr>
            </w:pPr>
            <w:r>
              <w:rPr>
                <w:rFonts w:hint="eastAsia" w:ascii="宋体" w:hAnsi="宋体"/>
                <w:sz w:val="24"/>
              </w:rPr>
              <w:t>实际完成</w:t>
            </w:r>
          </w:p>
        </w:tc>
        <w:tc>
          <w:tcPr>
            <w:tcW w:w="8021" w:type="dxa"/>
            <w:gridSpan w:val="7"/>
            <w:vAlign w:val="top"/>
          </w:tcPr>
          <w:p>
            <w:pPr>
              <w:spacing w:before="40" w:after="40" w:line="300" w:lineRule="auto"/>
              <w:jc w:val="both"/>
            </w:pPr>
            <w:r>
              <w:rPr>
                <w:rFonts w:ascii="Times New Roman" w:hAnsi="Times New Roman" w:cs="Times New Roman" w:eastAsia="宋体"/>
                <w:b/>
                <w:i w:val="0"/>
                <w:sz w:val="19"/>
              </w:rPr>
              <w:t>一、六个专题阶段性研究进展（按计划全面推进，已完成核心理论建模、算法研发与算例/工程验证）：</w:t>
            </w:r>
          </w:p>
          <w:p>
            <w:pPr>
              <w:spacing w:before="40" w:after="40" w:line="300" w:lineRule="auto"/>
              <w:jc w:val="both"/>
            </w:pPr>
            <w:r>
              <w:rPr>
                <w:rFonts w:ascii="Times New Roman" w:hAnsi="Times New Roman" w:cs="Times New Roman" w:eastAsia="宋体"/>
                <w:b w:val="0"/>
                <w:i w:val="0"/>
                <w:sz w:val="19"/>
              </w:rPr>
              <w:t>（1）</w:t>
            </w:r>
            <w:r>
              <w:rPr>
                <w:rFonts w:ascii="Times New Roman" w:hAnsi="Times New Roman" w:cs="Times New Roman" w:eastAsia="宋体"/>
                <w:b/>
                <w:i w:val="0"/>
                <w:sz w:val="19"/>
              </w:rPr>
              <w:t>专题一</w:t>
            </w:r>
            <w:r>
              <w:rPr>
                <w:rFonts w:ascii="Times New Roman" w:hAnsi="Times New Roman" w:cs="Times New Roman" w:eastAsia="宋体"/>
                <w:b w:val="0"/>
                <w:i w:val="0"/>
                <w:sz w:val="19"/>
              </w:rPr>
              <w:t>：完成了18 m跨H型钢梁（</w:t>
            </w:r>
            <w:r>
              <w:rPr>
                <w:rFonts w:ascii="Times New Roman" w:hAnsi="Times New Roman" w:cs="Times New Roman" w:eastAsia="宋体"/>
                <w:b w:val="0"/>
                <w:i/>
                <w:sz w:val="19"/>
              </w:rPr>
              <w:t>h</w:t>
            </w:r>
            <w:r>
              <w:rPr>
                <w:rFonts w:ascii="Times New Roman" w:hAnsi="Times New Roman" w:cs="Times New Roman" w:eastAsia="宋体"/>
                <w:b w:val="0"/>
                <w:i w:val="0"/>
                <w:sz w:val="19"/>
              </w:rPr>
              <w:t xml:space="preserve"> = 900 mm，</w:t>
            </w:r>
            <w:r>
              <w:rPr>
                <w:rFonts w:ascii="Times New Roman" w:hAnsi="Times New Roman" w:cs="Times New Roman" w:eastAsia="宋体"/>
                <w:b w:val="0"/>
                <w:i/>
                <w:sz w:val="19"/>
              </w:rPr>
              <w:t>b</w:t>
            </w:r>
            <w:r>
              <w:rPr>
                <w:rFonts w:ascii="Times New Roman" w:hAnsi="Times New Roman" w:cs="Times New Roman" w:eastAsia="宋体"/>
                <w:b w:val="0"/>
                <w:i w:val="0"/>
                <w:sz w:val="19"/>
              </w:rPr>
              <w:t xml:space="preserve"> = 300 mm，</w:t>
            </w:r>
            <w:r>
              <w:rPr>
                <w:rFonts w:ascii="Times New Roman" w:hAnsi="Times New Roman" w:cs="Times New Roman" w:eastAsia="宋体"/>
                <w:b w:val="0"/>
                <w:i/>
                <w:sz w:val="19"/>
              </w:rPr>
              <w:t>t</w:t>
            </w:r>
            <w:r>
              <w:rPr>
                <w:rFonts w:ascii="Times New Roman" w:hAnsi="Times New Roman" w:cs="Times New Roman" w:eastAsia="宋体"/>
                <w:b w:val="0"/>
                <w:i w:val="0"/>
                <w:sz w:val="19"/>
                <w:vertAlign w:val="subscript"/>
              </w:rPr>
              <w:t>f</w:t>
            </w:r>
            <w:r>
              <w:rPr>
                <w:rFonts w:ascii="Times New Roman" w:hAnsi="Times New Roman" w:cs="Times New Roman" w:eastAsia="宋体"/>
                <w:b w:val="0"/>
                <w:i w:val="0"/>
                <w:sz w:val="19"/>
              </w:rPr>
              <w:t xml:space="preserve"> = 24 mm，</w:t>
            </w:r>
            <w:r>
              <w:rPr>
                <w:rFonts w:ascii="Times New Roman" w:hAnsi="Times New Roman" w:cs="Times New Roman" w:eastAsia="宋体"/>
                <w:b w:val="0"/>
                <w:i/>
                <w:sz w:val="19"/>
              </w:rPr>
              <w:t>t</w:t>
            </w:r>
            <w:r>
              <w:rPr>
                <w:rFonts w:ascii="Times New Roman" w:hAnsi="Times New Roman" w:cs="Times New Roman" w:eastAsia="宋体"/>
                <w:b w:val="0"/>
                <w:i w:val="0"/>
                <w:sz w:val="19"/>
                <w:vertAlign w:val="subscript"/>
              </w:rPr>
              <w:t>w</w:t>
            </w:r>
            <w:r>
              <w:rPr>
                <w:rFonts w:ascii="Times New Roman" w:hAnsi="Times New Roman" w:cs="Times New Roman" w:eastAsia="宋体"/>
                <w:b w:val="0"/>
                <w:i w:val="0"/>
                <w:sz w:val="19"/>
              </w:rPr>
              <w:t xml:space="preserve"> = 16 mm，</w:t>
            </w:r>
            <w:r>
              <w:rPr>
                <w:rFonts w:ascii="Times New Roman" w:hAnsi="Times New Roman" w:cs="Times New Roman" w:eastAsia="宋体"/>
                <w:b w:val="0"/>
                <w:i/>
                <w:sz w:val="19"/>
              </w:rPr>
              <w:t>I</w:t>
            </w:r>
            <w:r>
              <w:rPr>
                <w:rFonts w:ascii="Times New Roman" w:hAnsi="Times New Roman" w:cs="Times New Roman" w:eastAsia="宋体"/>
                <w:b w:val="0"/>
                <w:i w:val="0"/>
                <w:sz w:val="19"/>
              </w:rPr>
              <w:t xml:space="preserve"> = 0.003588 m</w:t>
            </w:r>
            <w:r>
              <w:rPr>
                <w:rFonts w:ascii="Times New Roman" w:hAnsi="Times New Roman" w:cs="Times New Roman" w:eastAsia="宋体"/>
                <w:b w:val="0"/>
                <w:i w:val="0"/>
                <w:sz w:val="19"/>
                <w:vertAlign w:val="superscript"/>
              </w:rPr>
              <w:t>4</w:t>
            </w:r>
            <w:r>
              <w:rPr>
                <w:rFonts w:ascii="Times New Roman" w:hAnsi="Times New Roman" w:cs="Times New Roman" w:eastAsia="宋体"/>
                <w:b w:val="0"/>
                <w:i w:val="0"/>
                <w:sz w:val="19"/>
              </w:rPr>
              <w:t>）施工期自重挠度（3.99 mm）、楼承板湿重挠度（33.12 mm）、20 K温差伸长量（4.32 mm）及10 K上下温差曲率挠度（5.40 mm）理论核算；提出了基于BIM引导的三维点云分割与尺度固定刚体配准方法，四孔端板节点算例配准均方根误差RMSE = 0.324 mm，最大残差</w:t>
            </w:r>
            <w:r>
              <w:rPr>
                <w:rFonts w:ascii="Times New Roman" w:hAnsi="Times New Roman" w:cs="Times New Roman" w:eastAsia="宋体"/>
                <w:b w:val="0"/>
                <w:i/>
                <w:sz w:val="19"/>
              </w:rPr>
              <w:t>r</w:t>
            </w:r>
            <w:r>
              <w:rPr>
                <w:rFonts w:ascii="Times New Roman" w:hAnsi="Times New Roman" w:cs="Times New Roman" w:eastAsia="宋体"/>
                <w:b w:val="0"/>
                <w:i w:val="0"/>
                <w:sz w:val="19"/>
                <w:vertAlign w:val="subscript"/>
              </w:rPr>
              <w:t>max</w:t>
            </w:r>
            <w:r>
              <w:rPr>
                <w:rFonts w:ascii="Times New Roman" w:hAnsi="Times New Roman" w:cs="Times New Roman" w:eastAsia="宋体"/>
                <w:b w:val="0"/>
                <w:i w:val="0"/>
                <w:sz w:val="19"/>
              </w:rPr>
              <w:t xml:space="preserve"> = 0.415 mm，局部扩展不确定度</w:t>
            </w:r>
            <w:r>
              <w:rPr>
                <w:rFonts w:ascii="Times New Roman" w:hAnsi="Times New Roman" w:cs="Times New Roman" w:eastAsia="宋体"/>
                <w:b w:val="0"/>
                <w:i/>
                <w:sz w:val="19"/>
              </w:rPr>
              <w:t>U</w:t>
            </w:r>
            <w:r>
              <w:rPr>
                <w:rFonts w:ascii="Times New Roman" w:hAnsi="Times New Roman" w:cs="Times New Roman" w:eastAsia="宋体"/>
                <w:b w:val="0"/>
                <w:i w:val="0"/>
                <w:sz w:val="19"/>
              </w:rPr>
              <w:t xml:space="preserve"> = 0.707 mm，满足</w:t>
            </w:r>
            <w:r>
              <w:rPr>
                <w:rFonts w:ascii="Times New Roman" w:hAnsi="Times New Roman" w:cs="Times New Roman" w:eastAsia="宋体"/>
                <w:b w:val="0"/>
                <w:i/>
                <w:sz w:val="19"/>
              </w:rPr>
              <w:t>r</w:t>
            </w:r>
            <w:r>
              <w:rPr>
                <w:rFonts w:ascii="Times New Roman" w:hAnsi="Times New Roman" w:cs="Times New Roman" w:eastAsia="宋体"/>
                <w:b w:val="0"/>
                <w:i w:val="0"/>
                <w:sz w:val="19"/>
                <w:vertAlign w:val="subscript"/>
              </w:rPr>
              <w:t>max</w:t>
            </w:r>
            <w:r>
              <w:rPr>
                <w:rFonts w:ascii="Times New Roman" w:hAnsi="Times New Roman" w:cs="Times New Roman" w:eastAsia="宋体"/>
                <w:b w:val="0"/>
                <w:i w:val="0"/>
                <w:sz w:val="19"/>
              </w:rPr>
              <w:t xml:space="preserve"> + </w:t>
            </w:r>
            <w:r>
              <w:rPr>
                <w:rFonts w:ascii="Times New Roman" w:hAnsi="Times New Roman" w:cs="Times New Roman" w:eastAsia="宋体"/>
                <w:b w:val="0"/>
                <w:i/>
                <w:sz w:val="19"/>
              </w:rPr>
              <w:t>U</w:t>
            </w:r>
            <w:r>
              <w:rPr>
                <w:rFonts w:ascii="Times New Roman" w:hAnsi="Times New Roman" w:cs="Times New Roman" w:eastAsia="宋体"/>
                <w:b w:val="0"/>
                <w:i w:val="0"/>
                <w:sz w:val="19"/>
              </w:rPr>
              <w:t xml:space="preserve"> = 1.122 mm ≤ 2.0 mm保护带判定准则。</w:t>
            </w:r>
          </w:p>
          <w:p>
            <w:pPr>
              <w:spacing w:before="40" w:after="40" w:line="300" w:lineRule="auto"/>
              <w:jc w:val="both"/>
            </w:pPr>
            <w:r>
              <w:rPr>
                <w:rFonts w:ascii="Times New Roman" w:hAnsi="Times New Roman" w:cs="Times New Roman" w:eastAsia="宋体"/>
                <w:b w:val="0"/>
                <w:i w:val="0"/>
                <w:sz w:val="19"/>
              </w:rPr>
              <w:t>（2）</w:t>
            </w:r>
            <w:r>
              <w:rPr>
                <w:rFonts w:ascii="Times New Roman" w:hAnsi="Times New Roman" w:cs="Times New Roman" w:eastAsia="宋体"/>
                <w:b/>
                <w:i w:val="0"/>
                <w:sz w:val="19"/>
              </w:rPr>
              <w:t>专题二</w:t>
            </w:r>
            <w:r>
              <w:rPr>
                <w:rFonts w:ascii="Times New Roman" w:hAnsi="Times New Roman" w:cs="Times New Roman" w:eastAsia="宋体"/>
                <w:b w:val="0"/>
                <w:i w:val="0"/>
                <w:sz w:val="19"/>
              </w:rPr>
              <w:t>：建立了深圳国际综合物流枢纽中心项目主体钢框架-现浇楼承板与起重设备4D虚拟建造模型，完成了24 t偏心钢梁（吊点距</w:t>
            </w:r>
            <w:r>
              <w:rPr>
                <w:rFonts w:ascii="Times New Roman" w:hAnsi="Times New Roman" w:cs="Times New Roman" w:eastAsia="宋体"/>
                <w:b w:val="0"/>
                <w:i/>
                <w:sz w:val="19"/>
              </w:rPr>
              <w:t>a</w:t>
            </w:r>
            <w:r>
              <w:rPr>
                <w:rFonts w:ascii="Times New Roman" w:hAnsi="Times New Roman" w:cs="Times New Roman" w:eastAsia="宋体"/>
                <w:b w:val="0"/>
                <w:i w:val="0"/>
                <w:sz w:val="19"/>
              </w:rPr>
              <w:t xml:space="preserve"> = 8 m，偏心</w:t>
            </w:r>
            <w:r>
              <w:rPr>
                <w:rFonts w:ascii="Times New Roman" w:hAnsi="Times New Roman" w:cs="Times New Roman" w:eastAsia="宋体"/>
                <w:b w:val="0"/>
                <w:i/>
                <w:sz w:val="19"/>
              </w:rPr>
              <w:t>e</w:t>
            </w:r>
            <w:r>
              <w:rPr>
                <w:rFonts w:ascii="Times New Roman" w:hAnsi="Times New Roman" w:cs="Times New Roman" w:eastAsia="宋体"/>
                <w:b w:val="0"/>
                <w:i w:val="0"/>
                <w:sz w:val="19"/>
              </w:rPr>
              <w:t xml:space="preserve"> = 0.4 m，两吊点竖向反力按 45% 和 55% 分配）吊装索力分析（吊索倾角</w:t>
            </w:r>
            <w:r>
              <w:rPr>
                <w:rFonts w:ascii="Times New Roman" w:hAnsi="Times New Roman" w:cs="Times New Roman" w:eastAsia="宋体"/>
                <w:b w:val="0"/>
                <w:i/>
                <w:sz w:val="19"/>
              </w:rPr>
              <w:t>β</w:t>
            </w:r>
            <w:r>
              <w:rPr>
                <w:rFonts w:ascii="Times New Roman" w:hAnsi="Times New Roman" w:cs="Times New Roman" w:eastAsia="宋体"/>
                <w:b w:val="0"/>
                <w:i w:val="0"/>
                <w:sz w:val="19"/>
              </w:rPr>
              <w:t>由 45° 增至 60° 时最不利索力</w:t>
            </w:r>
            <w:r>
              <w:rPr>
                <w:rFonts w:ascii="Times New Roman" w:hAnsi="Times New Roman" w:cs="Times New Roman" w:eastAsia="宋体"/>
                <w:b w:val="0"/>
                <w:i/>
                <w:sz w:val="19"/>
              </w:rPr>
              <w:t>T</w:t>
            </w:r>
            <w:r>
              <w:rPr>
                <w:rFonts w:ascii="Times New Roman" w:hAnsi="Times New Roman" w:cs="Times New Roman" w:eastAsia="宋体"/>
                <w:b w:val="0"/>
                <w:i w:val="0"/>
                <w:sz w:val="19"/>
                <w:vertAlign w:val="subscript"/>
              </w:rPr>
              <w:t>2</w:t>
            </w:r>
            <w:r>
              <w:rPr>
                <w:rFonts w:ascii="Times New Roman" w:hAnsi="Times New Roman" w:cs="Times New Roman" w:eastAsia="宋体"/>
                <w:b w:val="0"/>
                <w:i w:val="0"/>
                <w:sz w:val="19"/>
              </w:rPr>
              <w:t>由 201.44 kN 降至 164.48 kN）及运动包络扩展量（0.459 m）核算。</w:t>
            </w:r>
          </w:p>
          <w:p>
            <w:pPr>
              <w:spacing w:before="40" w:after="40" w:line="300" w:lineRule="auto"/>
              <w:jc w:val="both"/>
            </w:pPr>
            <w:r>
              <w:rPr>
                <w:rFonts w:ascii="Times New Roman" w:hAnsi="Times New Roman" w:cs="Times New Roman" w:eastAsia="宋体"/>
                <w:b w:val="0"/>
                <w:i w:val="0"/>
                <w:sz w:val="19"/>
              </w:rPr>
              <w:t>（3）</w:t>
            </w:r>
            <w:r>
              <w:rPr>
                <w:rFonts w:ascii="Times New Roman" w:hAnsi="Times New Roman" w:cs="Times New Roman" w:eastAsia="宋体"/>
                <w:b/>
                <w:i w:val="0"/>
                <w:sz w:val="19"/>
              </w:rPr>
              <w:t>专题三</w:t>
            </w:r>
            <w:r>
              <w:rPr>
                <w:rFonts w:ascii="Times New Roman" w:hAnsi="Times New Roman" w:cs="Times New Roman" w:eastAsia="宋体"/>
                <w:b w:val="0"/>
                <w:i w:val="0"/>
                <w:sz w:val="19"/>
              </w:rPr>
              <w:t>：构建了多源环境与结构传感监测协同评估方法，双通道独立方差倒数加权融合标准不确定度为 0.706 mm（计入0.6 mm公共基准项后合成不确定度为 0.926 mm）；建立了金刚砂地面双光融合检测分辨率与裂缝宽度不确定度模型，1.0 m拍摄距离下地面采样分辨率GSD = 0.274 mm/px，3像素覆盖对应 0.822 mm（0.3 mm目标按3像素覆盖需将拍摄距离控制在 0.365 m 以内）。</w:t>
            </w:r>
          </w:p>
          <w:p>
            <w:pPr>
              <w:spacing w:before="40" w:after="40" w:line="300" w:lineRule="auto"/>
              <w:jc w:val="both"/>
            </w:pPr>
            <w:r>
              <w:rPr>
                <w:rFonts w:ascii="Times New Roman" w:hAnsi="Times New Roman" w:cs="Times New Roman" w:eastAsia="宋体"/>
                <w:b w:val="0"/>
                <w:i w:val="0"/>
                <w:sz w:val="19"/>
              </w:rPr>
              <w:t>（4）</w:t>
            </w:r>
            <w:r>
              <w:rPr>
                <w:rFonts w:ascii="Times New Roman" w:hAnsi="Times New Roman" w:cs="Times New Roman" w:eastAsia="宋体"/>
                <w:b/>
                <w:i w:val="0"/>
                <w:sz w:val="19"/>
              </w:rPr>
              <w:t>专题四</w:t>
            </w:r>
            <w:r>
              <w:rPr>
                <w:rFonts w:ascii="Times New Roman" w:hAnsi="Times New Roman" w:cs="Times New Roman" w:eastAsia="宋体"/>
                <w:b w:val="0"/>
                <w:i w:val="0"/>
                <w:sz w:val="19"/>
              </w:rPr>
              <w:t>：完成了400 mm截面钢管混凝土声阻抗反射与传播时间分析（密实基准声时</w:t>
            </w:r>
            <w:r>
              <w:rPr>
                <w:rFonts w:ascii="Times New Roman" w:hAnsi="Times New Roman" w:cs="Times New Roman" w:eastAsia="宋体"/>
                <w:b w:val="0"/>
                <w:i/>
                <w:sz w:val="19"/>
              </w:rPr>
              <w:t>t</w:t>
            </w:r>
            <w:r>
              <w:rPr>
                <w:rFonts w:ascii="Times New Roman" w:hAnsi="Times New Roman" w:cs="Times New Roman" w:eastAsia="宋体"/>
                <w:b w:val="0"/>
                <w:i w:val="0"/>
                <w:sz w:val="19"/>
                <w:vertAlign w:val="subscript"/>
              </w:rPr>
              <w:t>0</w:t>
            </w:r>
            <w:r>
              <w:rPr>
                <w:rFonts w:ascii="Times New Roman" w:hAnsi="Times New Roman" w:cs="Times New Roman" w:eastAsia="宋体"/>
                <w:b w:val="0"/>
                <w:i w:val="0"/>
                <w:sz w:val="19"/>
              </w:rPr>
              <w:t xml:space="preserve"> = 98.39 μs，1 mm空气替代层理想附加时差约 2.67 μs）及150 mm × 25 mm界面缺陷平测/斜测三级小波包8子带能量占比</w:t>
            </w:r>
            <w:r>
              <w:rPr>
                <w:rFonts w:ascii="Times New Roman" w:hAnsi="Times New Roman" w:cs="Times New Roman" w:eastAsia="宋体"/>
                <w:b w:val="0"/>
                <w:i/>
                <w:sz w:val="19"/>
              </w:rPr>
              <w:t>η</w:t>
            </w:r>
            <w:r>
              <w:rPr>
                <w:rFonts w:ascii="Times New Roman" w:hAnsi="Times New Roman" w:cs="Times New Roman" w:eastAsia="宋体"/>
                <w:b w:val="0"/>
                <w:i/>
                <w:sz w:val="19"/>
                <w:vertAlign w:val="subscript"/>
              </w:rPr>
              <w:t>j</w:t>
            </w:r>
            <w:r>
              <w:rPr>
                <w:rFonts w:ascii="Times New Roman" w:hAnsi="Times New Roman" w:cs="Times New Roman" w:eastAsia="宋体"/>
                <w:b w:val="0"/>
                <w:i w:val="0"/>
                <w:sz w:val="19"/>
              </w:rPr>
              <w:t>规律验证，构建了时频双分支ConvLSTM与跨层注意力融合识别模型。</w:t>
            </w:r>
          </w:p>
          <w:p>
            <w:pPr>
              <w:spacing w:before="40" w:after="40" w:line="300" w:lineRule="auto"/>
              <w:jc w:val="both"/>
            </w:pPr>
            <w:r>
              <w:rPr>
                <w:rFonts w:ascii="Times New Roman" w:hAnsi="Times New Roman" w:cs="Times New Roman" w:eastAsia="宋体"/>
                <w:b w:val="0"/>
                <w:i w:val="0"/>
                <w:sz w:val="19"/>
              </w:rPr>
              <w:t>（5）</w:t>
            </w:r>
            <w:r>
              <w:rPr>
                <w:rFonts w:ascii="Times New Roman" w:hAnsi="Times New Roman" w:cs="Times New Roman" w:eastAsia="宋体"/>
                <w:b/>
                <w:i w:val="0"/>
                <w:sz w:val="19"/>
              </w:rPr>
              <w:t>专题五、六</w:t>
            </w:r>
            <w:r>
              <w:rPr>
                <w:rFonts w:ascii="Times New Roman" w:hAnsi="Times New Roman" w:cs="Times New Roman" w:eastAsia="宋体"/>
                <w:b w:val="0"/>
                <w:i w:val="0"/>
                <w:sz w:val="19"/>
              </w:rPr>
              <w:t>：构建了施工安全知识图谱与未闭合风险动态模型（处置系数</w:t>
            </w:r>
            <w:r>
              <w:rPr>
                <w:rFonts w:ascii="Times New Roman" w:hAnsi="Times New Roman" w:cs="Times New Roman" w:eastAsia="宋体"/>
                <w:b w:val="0"/>
                <w:i/>
                <w:sz w:val="19"/>
              </w:rPr>
              <w:t>c</w:t>
            </w:r>
            <w:r>
              <w:rPr>
                <w:rFonts w:ascii="Times New Roman" w:hAnsi="Times New Roman" w:cs="Times New Roman" w:eastAsia="宋体"/>
                <w:b w:val="0"/>
                <w:i w:val="0"/>
                <w:sz w:val="19"/>
              </w:rPr>
              <w:t>由 0.25 d</w:t>
            </w:r>
            <w:r>
              <w:rPr>
                <w:rFonts w:ascii="Times New Roman" w:hAnsi="Times New Roman" w:cs="Times New Roman" w:eastAsia="宋体"/>
                <w:b w:val="0"/>
                <w:i w:val="0"/>
                <w:sz w:val="19"/>
                <w:vertAlign w:val="superscript"/>
              </w:rPr>
              <w:t>−1</w:t>
            </w:r>
            <w:r>
              <w:rPr>
                <w:rFonts w:ascii="Times New Roman" w:hAnsi="Times New Roman" w:cs="Times New Roman" w:eastAsia="宋体"/>
                <w:b w:val="0"/>
                <w:i w:val="0"/>
                <w:sz w:val="19"/>
              </w:rPr>
              <w:t xml:space="preserve"> 升至 0.40 d</w:t>
            </w:r>
            <w:r>
              <w:rPr>
                <w:rFonts w:ascii="Times New Roman" w:hAnsi="Times New Roman" w:cs="Times New Roman" w:eastAsia="宋体"/>
                <w:b w:val="0"/>
                <w:i w:val="0"/>
                <w:sz w:val="19"/>
                <w:vertAlign w:val="superscript"/>
              </w:rPr>
              <w:t>−1</w:t>
            </w:r>
            <w:r>
              <w:rPr>
                <w:rFonts w:ascii="Times New Roman" w:hAnsi="Times New Roman" w:cs="Times New Roman" w:eastAsia="宋体"/>
                <w:b w:val="0"/>
                <w:i w:val="0"/>
                <w:sz w:val="19"/>
              </w:rPr>
              <w:t xml:space="preserve"> 时平衡存量由 0.4000 降至 0.1600）；应用单服务点排队模型（M/D/1，服务时间 3 min/辆），验证了到达率</w:t>
            </w:r>
            <w:r>
              <w:rPr>
                <w:rFonts w:ascii="Times New Roman" w:hAnsi="Times New Roman" w:cs="Times New Roman" w:eastAsia="宋体"/>
                <w:b w:val="0"/>
                <w:i/>
                <w:sz w:val="19"/>
              </w:rPr>
              <w:t>λ</w:t>
            </w:r>
            <w:r>
              <w:rPr>
                <w:rFonts w:ascii="Times New Roman" w:hAnsi="Times New Roman" w:cs="Times New Roman" w:eastAsia="宋体"/>
                <w:b w:val="0"/>
                <w:i w:val="0"/>
                <w:sz w:val="19"/>
              </w:rPr>
              <w:t>由 18 辆/h 调控至 14 辆/h 时平均排队等待时间</w:t>
            </w:r>
            <w:r>
              <w:rPr>
                <w:rFonts w:ascii="Times New Roman" w:hAnsi="Times New Roman" w:cs="Times New Roman" w:eastAsia="宋体"/>
                <w:b w:val="0"/>
                <w:i/>
                <w:sz w:val="19"/>
              </w:rPr>
              <w:t>W</w:t>
            </w:r>
            <w:r>
              <w:rPr>
                <w:rFonts w:ascii="Times New Roman" w:hAnsi="Times New Roman" w:cs="Times New Roman" w:eastAsia="宋体"/>
                <w:b w:val="0"/>
                <w:i w:val="0"/>
                <w:sz w:val="19"/>
                <w:vertAlign w:val="subscript"/>
              </w:rPr>
              <w:t>q</w:t>
            </w:r>
            <w:r>
              <w:rPr>
                <w:rFonts w:ascii="Times New Roman" w:hAnsi="Times New Roman" w:cs="Times New Roman" w:eastAsia="宋体"/>
                <w:b w:val="0"/>
                <w:i w:val="0"/>
                <w:sz w:val="19"/>
              </w:rPr>
              <w:t>由 13.5 min 降至 3.5 min，90 min受限窗口净作业 60 min 可安排 17 项作业。</w:t>
            </w:r>
          </w:p>
          <w:p>
            <w:pPr>
              <w:spacing w:before="40" w:after="40" w:line="300" w:lineRule="auto"/>
              <w:jc w:val="both"/>
            </w:pPr>
            <w:r>
              <w:rPr>
                <w:rFonts w:ascii="Times New Roman" w:hAnsi="Times New Roman" w:cs="Times New Roman" w:eastAsia="宋体"/>
                <w:b/>
                <w:i w:val="0"/>
                <w:sz w:val="19"/>
              </w:rPr>
              <w:t>二、已取得并归档的研发成果（均有正式佐证文件）：</w:t>
            </w:r>
          </w:p>
          <w:p>
            <w:pPr>
              <w:spacing w:before="40" w:after="40" w:line="300" w:lineRule="auto"/>
              <w:jc w:val="both"/>
            </w:pPr>
            <w:r>
              <w:rPr>
                <w:rFonts w:ascii="Times New Roman" w:hAnsi="Times New Roman" w:cs="Times New Roman" w:eastAsia="宋体"/>
                <w:b w:val="0"/>
                <w:i w:val="0"/>
                <w:sz w:val="19"/>
              </w:rPr>
              <w:t>（1）已编制完成《深圳国际综合物流枢纽中心项目科研进展工作总结》1份及《装配整体式大跨度框架结构智能建造关键技术体系研究》总研究报告1份；</w:t>
            </w:r>
          </w:p>
          <w:p>
            <w:pPr>
              <w:spacing w:before="40" w:after="40" w:line="300" w:lineRule="auto"/>
              <w:jc w:val="both"/>
            </w:pPr>
            <w:r>
              <w:rPr>
                <w:rFonts w:ascii="Times New Roman" w:hAnsi="Times New Roman" w:cs="Times New Roman" w:eastAsia="宋体"/>
                <w:b w:val="0"/>
                <w:i w:val="0"/>
                <w:sz w:val="19"/>
              </w:rPr>
              <w:t xml:space="preserve">（2）已申请并获授权国家发明专利 </w:t>
            </w:r>
            <w:r>
              <w:rPr>
                <w:rFonts w:ascii="Times New Roman" w:hAnsi="Times New Roman" w:cs="Times New Roman" w:eastAsia="宋体"/>
                <w:b/>
                <w:i w:val="0"/>
                <w:sz w:val="19"/>
              </w:rPr>
              <w:t>6项</w:t>
            </w:r>
            <w:r>
              <w:rPr>
                <w:rFonts w:ascii="Times New Roman" w:hAnsi="Times New Roman" w:cs="Times New Roman" w:eastAsia="宋体"/>
                <w:b w:val="0"/>
                <w:i w:val="0"/>
                <w:sz w:val="19"/>
              </w:rPr>
              <w:t>（均已取得国家知识产权局授权专利证书）：①《基于多源环境传感数据的钢结构建筑状态评估方法和系统》（ZL202510710807.2）；②《基于时频域的音频信号的钢管混凝土缺陷检测方法和系统》（ZL202510845138.X）；③《基于BIM的装配整体式钢结构的三维点云分割方法和系统》（ZL202510845137.5）；④《一种金刚砂地面缺陷识别方法和系统》（ZL202510598192.9）；⑤《一种基于传感数据的施工结构安全监测方法和系统》（ZL202510598190.X）；⑥《一种施工区域的三维可视化方法和装置》（ZL202510710806.8）。</w:t>
            </w:r>
          </w:p>
        </w:tc>
      </w:tr>
      <w:tr>
        <w:trPr>
          <w:trHeight w:val="340" w:hRule="atLeast"/>
          <w:jc w:val="center"/>
        </w:trPr>
        <w:tc>
          <w:tcPr>
            <w:tcW w:w="1019" w:type="dxa"/>
            <w:gridSpan w:val="2"/>
            <w:vAlign w:val="center"/>
          </w:tcPr>
          <w:p>
            <w:pPr>
              <w:jc w:val="center"/>
              <w:rPr>
                <w:rFonts w:ascii="宋体" w:hAnsi="宋体"/>
                <w:sz w:val="28"/>
              </w:rPr>
            </w:pPr>
            <w:r>
              <w:rPr>
                <w:rFonts w:hint="eastAsia" w:ascii="宋体" w:hAnsi="宋体"/>
                <w:sz w:val="28"/>
              </w:rPr>
              <w:t>经费使用情况</w:t>
            </w:r>
          </w:p>
        </w:tc>
        <w:tc>
          <w:tcPr>
            <w:tcW w:w="3730" w:type="dxa"/>
            <w:gridSpan w:val="4"/>
          </w:tcPr>
          <w:p>
            <w:pPr>
              <w:spacing w:before="40" w:after="40" w:line="288" w:lineRule="auto"/>
              <w:jc w:val="left"/>
            </w:pPr>
            <w:r>
              <w:rPr>
                <w:rFonts w:ascii="Times New Roman" w:hAnsi="Times New Roman" w:cs="Times New Roman" w:eastAsia="宋体"/>
                <w:b w:val="0"/>
                <w:i w:val="0"/>
                <w:sz w:val="19"/>
              </w:rPr>
              <w:t>按计划规范使用（2025年度财务辅助账RD18已归集研发费用692.19万元，其中人员人工437.10万元、直接投入247.84万元、其他7.24万元）</w:t>
            </w:r>
          </w:p>
        </w:tc>
        <w:tc>
          <w:tcPr>
            <w:tcW w:w="1100" w:type="dxa"/>
          </w:tcPr>
          <w:p>
            <w:pPr>
              <w:rPr>
                <w:rFonts w:ascii="宋体" w:hAnsi="宋体"/>
                <w:color w:val="auto"/>
                <w:sz w:val="28"/>
              </w:rPr>
            </w:pPr>
            <w:r>
              <w:rPr>
                <w:rFonts w:hint="eastAsia" w:ascii="宋体" w:hAnsi="宋体"/>
                <w:color w:val="auto"/>
                <w:sz w:val="28"/>
              </w:rPr>
              <w:t>存在问题及相应措施</w:t>
            </w:r>
          </w:p>
        </w:tc>
        <w:tc>
          <w:tcPr>
            <w:tcW w:w="3191" w:type="dxa"/>
            <w:gridSpan w:val="2"/>
          </w:tcPr>
          <w:p>
            <w:pPr>
              <w:spacing w:before="40" w:after="40" w:line="288" w:lineRule="auto"/>
              <w:jc w:val="left"/>
            </w:pPr>
            <w:r>
              <w:rPr>
                <w:rFonts w:ascii="Times New Roman" w:hAnsi="Times New Roman" w:cs="Times New Roman" w:eastAsia="宋体"/>
                <w:b w:val="0"/>
                <w:i w:val="0"/>
                <w:sz w:val="19"/>
              </w:rPr>
              <w:t>课题整体进展顺利，6项国家发明专利均已获授权，阶段工作总结与研究报告已编制完成，后续将持续做好现场测量与监测数据归集。</w:t>
            </w:r>
          </w:p>
        </w:tc>
      </w:tr>
      <w:tr>
        <w:trPr>
          <w:trHeight w:val="340" w:hRule="atLeast"/>
          <w:jc w:val="center"/>
        </w:trPr>
        <w:tc>
          <w:tcPr>
            <w:tcW w:w="1019" w:type="dxa"/>
            <w:gridSpan w:val="2"/>
            <w:vAlign w:val="center"/>
          </w:tcPr>
          <w:p>
            <w:pPr>
              <w:jc w:val="center"/>
              <w:rPr>
                <w:rFonts w:ascii="宋体" w:hAnsi="宋体"/>
                <w:sz w:val="28"/>
              </w:rPr>
            </w:pPr>
            <w:r>
              <w:rPr>
                <w:rFonts w:hint="eastAsia" w:ascii="宋体" w:hAnsi="宋体"/>
                <w:sz w:val="28"/>
              </w:rPr>
              <w:t>承担单位意见</w:t>
            </w:r>
          </w:p>
        </w:tc>
        <w:tc>
          <w:tcPr>
            <w:tcW w:w="8021" w:type="dxa"/>
            <w:gridSpan w:val="7"/>
          </w:tcPr>
          <w:p>
            <w:pPr>
              <w:spacing w:before="40" w:after="40" w:line="288" w:lineRule="auto"/>
              <w:jc w:val="left"/>
            </w:pPr>
            <w:r>
              <w:rPr>
                <w:rFonts w:ascii="Times New Roman" w:hAnsi="Times New Roman" w:cs="Times New Roman" w:eastAsia="宋体"/>
                <w:b w:val="0"/>
                <w:i w:val="0"/>
                <w:sz w:val="20"/>
              </w:rPr>
              <w:t>项目按计划推进，已完成阶段性研发目标，经费使用合规。                单位公章</w:t>
              <w:br/>
              <w:t>课题负责人签字：杨磊       2026年 9月 27日</w:t>
            </w:r>
          </w:p>
        </w:tc>
      </w:tr>
      <w:tr>
        <w:trPr>
          <w:trHeight w:val="340" w:hRule="atLeast"/>
          <w:jc w:val="center"/>
        </w:trPr>
        <w:tc>
          <w:tcPr>
            <w:tcW w:w="1019" w:type="dxa"/>
            <w:gridSpan w:val="2"/>
            <w:vAlign w:val="center"/>
          </w:tcPr>
          <w:p>
            <w:pPr>
              <w:jc w:val="center"/>
              <w:rPr>
                <w:rFonts w:ascii="宋体" w:hAnsi="宋体"/>
                <w:sz w:val="28"/>
              </w:rPr>
            </w:pPr>
            <w:r>
              <w:rPr>
                <w:rFonts w:hint="eastAsia" w:ascii="宋体" w:hAnsi="宋体"/>
                <w:sz w:val="28"/>
              </w:rPr>
              <w:t>主管部门意见</w:t>
            </w:r>
          </w:p>
        </w:tc>
        <w:tc>
          <w:tcPr>
            <w:tcW w:w="8021" w:type="dxa"/>
            <w:gridSpan w:val="7"/>
          </w:tcPr>
          <w:p>
            <w:pPr>
              <w:spacing w:before="40" w:after="40" w:line="288" w:lineRule="auto"/>
              <w:jc w:val="left"/>
            </w:pPr>
            <w:r>
              <w:rPr>
                <w:rFonts w:ascii="Times New Roman" w:hAnsi="Times New Roman" w:cs="Times New Roman" w:eastAsia="宋体"/>
                <w:b w:val="0"/>
                <w:i w:val="0"/>
                <w:sz w:val="20"/>
              </w:rPr>
              <w:t>审核属实，同意继续按计划开展后续研究与总结验收工作。                  单位公章</w:t>
              <w:br/>
              <w:t>领导签字：               2026年 9月 28日</w:t>
            </w:r>
          </w:p>
        </w:tc>
      </w:tr>
    </w:tbl>
    <w:sectPr>
      <w:pgSz w:w="11906" w:h="16838"/>
      <w:pgMar w:top="1418" w:right="1440" w:bottom="1361"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B20A2D"/>
    <w:rsid w:val="0DB20A2D"/>
    <w:rsid w:val="43500B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Lines="0" w:afterLines="0"/>
      <w:ind w:left="220"/>
      <w:outlineLvl w:val="2"/>
    </w:pPr>
    <w:rPr>
      <w:rFonts w:hint="eastAsia"/>
      <w:b/>
      <w:sz w:val="32"/>
    </w:rPr>
  </w:style>
  <w:style w:type="paragraph" w:styleId="3">
    <w:name w:val="heading 5"/>
    <w:basedOn w:val="1"/>
    <w:next w:val="1"/>
    <w:unhideWhenUsed/>
    <w:qFormat/>
    <w:uiPriority w:val="0"/>
    <w:pPr>
      <w:spacing w:beforeLines="0" w:afterLines="0"/>
      <w:ind w:left="681"/>
      <w:outlineLvl w:val="4"/>
    </w:pPr>
    <w:rPr>
      <w:rFonts w:hint="eastAsia"/>
      <w:b/>
      <w:sz w:val="28"/>
    </w:rPr>
  </w:style>
  <w:style w:type="paragraph" w:styleId="4">
    <w:name w:val="heading 6"/>
    <w:basedOn w:val="1"/>
    <w:next w:val="1"/>
    <w:unhideWhenUsed/>
    <w:qFormat/>
    <w:uiPriority w:val="0"/>
    <w:pPr>
      <w:spacing w:before="23" w:beforeLines="0" w:afterLines="0"/>
      <w:ind w:left="1963"/>
      <w:outlineLvl w:val="5"/>
    </w:pPr>
    <w:rPr>
      <w:rFonts w:hint="eastAsia"/>
      <w:sz w:val="2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qFormat/>
    <w:uiPriority w:val="0"/>
    <w:pPr>
      <w:spacing w:beforeLines="0" w:afterLines="0"/>
    </w:pPr>
    <w:rPr>
      <w:rFonts w:hint="eastAsia"/>
      <w:sz w:val="24"/>
    </w:rPr>
  </w:style>
  <w:style w:type="paragraph" w:customStyle="1" w:styleId="8">
    <w:name w:val="表格"/>
    <w:next w:val="1"/>
    <w:qFormat/>
    <w:uiPriority w:val="0"/>
    <w:pPr>
      <w:spacing w:line="440" w:lineRule="atLeast"/>
      <w:ind w:firstLine="643" w:firstLineChars="200"/>
    </w:pPr>
    <w:rPr>
      <w:rFonts w:ascii="仿宋_GB2312" w:hAnsi="仿宋_GB2312" w:eastAsia="仿宋_GB2312" w:cs="Times New Roman"/>
      <w:kern w:val="2"/>
      <w:sz w:val="24"/>
      <w:szCs w:val="21"/>
      <w:lang w:val="en-US" w:eastAsia="zh-CN" w:bidi="ar-SA"/>
    </w:rPr>
  </w:style>
  <w:style w:type="paragraph" w:customStyle="1" w:styleId="9">
    <w:name w:val="Table Paragraph"/>
    <w:basedOn w:val="1"/>
    <w:unhideWhenUsed/>
    <w:qFormat/>
    <w:uiPriority w:val="1"/>
    <w:pPr>
      <w:spacing w:beforeLines="0" w:afterLines="0"/>
    </w:pPr>
    <w:rPr>
      <w:rFonts w:hint="eastAsia"/>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中铁25局</Company>
  <Pages>1</Pages>
  <Words>0</Words>
  <Characters>0</Characters>
  <Lines>0</Lines>
  <Paragraphs>0</Paragraphs>
  <TotalTime>0</TotalTime>
  <ScaleCrop>false</ScaleCrop>
  <LinksUpToDate>false</LinksUpToDate>
  <CharactersWithSpaces>0</CharactersWithSpaces>
  <Application>WPS Office_11.8.2.9015_F1E327BC-269C-435d-A152-05C5408002CA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2026-10-08T01:31:00Z</dcterms:created>
  <dc:creator>wlm</dc:creator>
  <cp:lastModifiedBy>wlm</cp:lastModifiedBy>
  <dcterms:modified xsi:type="dcterms:W3CDTF">2026-10-08T02:00:27Z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2052-11.8.2.9015</vt:lpwstr>
  </property>
</Properties>
</file>