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tabs>
          <w:tab w:val="left" w:pos="1120"/>
        </w:tabs>
        <w:kinsoku w:val="0"/>
        <w:overflowPunct w:val="0"/>
        <w:spacing w:before="12" w:beforeLines="0" w:afterLines="0"/>
        <w:ind w:left="220"/>
        <w:rPr>
          <w:rFonts w:hint="eastAsia" w:ascii="黑体" w:hAnsi="黑体" w:eastAsia="黑体"/>
          <w:color w:val="auto"/>
          <w:sz w:val="26"/>
        </w:rPr>
      </w:pPr>
      <w:r>
        <w:rPr>
          <w:rFonts w:hint="eastAsia" w:ascii="黑体" w:hAnsi="黑体" w:eastAsia="黑体"/>
          <w:color w:val="auto"/>
          <w:sz w:val="24"/>
        </w:rPr>
        <w:t>附件</w:t>
      </w:r>
      <w:r>
        <w:rPr>
          <w:rFonts w:hint="eastAsia" w:ascii="黑体" w:hAnsi="黑体" w:eastAsia="黑体"/>
          <w:color w:val="auto"/>
          <w:spacing w:val="-61"/>
          <w:sz w:val="24"/>
          <w:lang w:val="en-US" w:eastAsia="zh-CN"/>
        </w:rPr>
        <w:t>10</w:t>
      </w:r>
      <w:r>
        <w:rPr>
          <w:rFonts w:hint="eastAsia" w:ascii="黑体" w:hAnsi="黑体" w:eastAsia="黑体"/>
          <w:color w:val="auto"/>
          <w:sz w:val="24"/>
        </w:rPr>
        <w:tab/>
      </w:r>
      <w:r>
        <w:rPr>
          <w:rFonts w:hint="eastAsia" w:ascii="黑体" w:hAnsi="黑体" w:eastAsia="黑体"/>
          <w:color w:val="auto"/>
          <w:sz w:val="24"/>
        </w:rPr>
        <w:t>（一式三份）</w:t>
      </w:r>
    </w:p>
    <w:p>
      <w:pPr>
        <w:pStyle w:val="2"/>
        <w:kinsoku w:val="0"/>
        <w:overflowPunct w:val="0"/>
        <w:spacing w:beforeLines="0" w:afterLines="0"/>
        <w:jc w:val="center"/>
        <w:rPr>
          <w:rFonts w:hint="eastAsia"/>
          <w:color w:val="auto"/>
          <w:sz w:val="32"/>
        </w:rPr>
      </w:pPr>
      <w:r>
        <w:rPr>
          <w:rFonts w:hint="eastAsia"/>
          <w:color w:val="auto"/>
          <w:sz w:val="32"/>
        </w:rPr>
        <w:t>中铁</w:t>
      </w:r>
      <w:r>
        <w:rPr>
          <w:rFonts w:hint="eastAsia"/>
          <w:color w:val="auto"/>
          <w:sz w:val="32"/>
          <w:lang w:val="en-US" w:eastAsia="zh-CN"/>
        </w:rPr>
        <w:t>二十五局集团</w:t>
      </w:r>
      <w:r>
        <w:rPr>
          <w:rFonts w:hint="eastAsia"/>
          <w:color w:val="auto"/>
          <w:sz w:val="32"/>
        </w:rPr>
        <w:t>有限公司</w:t>
      </w:r>
    </w:p>
    <w:p>
      <w:pPr>
        <w:pStyle w:val="2"/>
        <w:kinsoku w:val="0"/>
        <w:overflowPunct w:val="0"/>
        <w:spacing w:beforeLines="0" w:afterLines="0"/>
        <w:rPr>
          <w:rFonts w:hint="eastAsia"/>
          <w:color w:val="auto"/>
          <w:sz w:val="32"/>
        </w:rPr>
      </w:pPr>
    </w:p>
    <w:p>
      <w:pPr>
        <w:pStyle w:val="5"/>
        <w:kinsoku w:val="0"/>
        <w:overflowPunct w:val="0"/>
        <w:spacing w:before="20" w:beforeLines="0" w:afterLines="0"/>
        <w:jc w:val="center"/>
        <w:rPr>
          <w:rFonts w:hint="eastAsia"/>
          <w:b/>
          <w:color w:val="auto"/>
          <w:sz w:val="32"/>
        </w:rPr>
      </w:pPr>
      <w:r>
        <w:rPr>
          <w:rFonts w:hint="eastAsia"/>
          <w:b/>
          <w:color w:val="auto"/>
          <w:sz w:val="32"/>
        </w:rPr>
        <w:t>科研计</w:t>
      </w:r>
      <w:r>
        <w:rPr>
          <w:rFonts w:hint="eastAsia"/>
          <w:b/>
          <w:color w:val="auto"/>
          <w:sz w:val="32"/>
          <w:szCs w:val="22"/>
        </w:rPr>
        <w:t>划</w:t>
      </w:r>
      <w:r>
        <w:rPr>
          <w:rFonts w:hint="eastAsia"/>
          <w:b/>
          <w:color w:val="auto"/>
          <w:sz w:val="32"/>
          <w:szCs w:val="22"/>
          <w:lang w:val="en-US" w:eastAsia="zh-CN"/>
        </w:rPr>
        <w:t>项目/</w:t>
      </w:r>
      <w:r>
        <w:rPr>
          <w:rFonts w:hint="eastAsia"/>
          <w:b/>
          <w:color w:val="auto"/>
          <w:sz w:val="32"/>
          <w:szCs w:val="22"/>
        </w:rPr>
        <w:t>课</w:t>
      </w:r>
      <w:r>
        <w:rPr>
          <w:rFonts w:hint="eastAsia"/>
          <w:b/>
          <w:color w:val="auto"/>
          <w:sz w:val="32"/>
        </w:rPr>
        <w:t>题合同结题验收申请表</w:t>
      </w:r>
    </w:p>
    <w:p>
      <w:pPr>
        <w:pStyle w:val="5"/>
        <w:kinsoku w:val="0"/>
        <w:overflowPunct w:val="0"/>
        <w:spacing w:beforeLines="0" w:afterLines="0"/>
        <w:rPr>
          <w:rFonts w:hint="eastAsia"/>
          <w:b/>
          <w:color w:val="auto"/>
          <w:sz w:val="20"/>
        </w:rPr>
      </w:pPr>
    </w:p>
    <w:p>
      <w:pPr>
        <w:pStyle w:val="5"/>
        <w:kinsoku w:val="0"/>
        <w:overflowPunct w:val="0"/>
        <w:spacing w:before="181" w:beforeLines="0" w:after="38" w:afterLines="0"/>
        <w:ind w:left="220"/>
        <w:rPr>
          <w:rFonts w:hint="eastAsia"/>
          <w:color w:val="auto"/>
          <w:sz w:val="24"/>
        </w:rPr>
      </w:pPr>
      <w:r>
        <w:rPr>
          <w:rFonts w:ascii="Times New Roman" w:hAnsi="Times New Roman" w:cs="Times New Roman" w:eastAsia="宋体"/>
          <w:b w:val="0"/>
          <w:i w:val="0"/>
          <w:sz w:val="24"/>
        </w:rPr>
        <w:t>填报单位：中铁二十五局集团第三工程有限公司</w:t>
      </w:r>
    </w:p>
    <w:tbl>
      <w:tblPr>
        <w:tblStyle w:val="6"/>
        <w:tblW w:w="9058" w:type="dxa"/>
        <w:tblInd w:w="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0" w:type="dxa"/>
          <w:left w:w="45" w:type="dxa"/>
          <w:bottom w:w="40" w:type="dxa"/>
          <w:right w:w="45" w:type="dxa"/>
        </w:tblCellMar>
      </w:tblPr>
      <w:tblGrid>
        <w:gridCol w:w="1833"/>
        <w:gridCol w:w="7225"/>
      </w:tblGrid>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szCs w:val="22"/>
                <w:lang w:val="en-US" w:eastAsia="zh-CN"/>
              </w:rPr>
              <w:t>项目/</w:t>
            </w:r>
            <w:r>
              <w:rPr>
                <w:rFonts w:hint="eastAsia"/>
                <w:color w:val="auto"/>
                <w:szCs w:val="22"/>
              </w:rPr>
              <w:t>项</w:t>
            </w:r>
            <w:r>
              <w:rPr>
                <w:rFonts w:hint="eastAsia"/>
                <w:color w:val="auto"/>
              </w:rPr>
              <w:t>目名称</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i w:val="0"/>
                <w:sz w:val="21"/>
              </w:rPr>
              <w:t>装配整体式大跨度框架结构智能建造关键技术体系研究</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合同编号</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288" w:lineRule="auto"/>
              <w:jc w:val="center"/>
            </w:pPr>
            <w:r>
              <w:rPr>
                <w:rFonts w:ascii="Times New Roman" w:hAnsi="Times New Roman" w:cs="Times New Roman" w:eastAsia="宋体"/>
                <w:b w:val="0"/>
                <w:i w:val="0"/>
                <w:sz w:val="21"/>
              </w:rPr>
              <w:t>2025-A002</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rPr>
              <w:t>合同规定</w:t>
            </w:r>
          </w:p>
          <w:p>
            <w:pPr>
              <w:jc w:val="center"/>
              <w:rPr>
                <w:rFonts w:hint="default"/>
                <w:color w:val="auto"/>
              </w:rPr>
            </w:pPr>
            <w:r>
              <w:rPr>
                <w:rFonts w:hint="eastAsia"/>
                <w:color w:val="auto"/>
              </w:rPr>
              <w:t>要求</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300" w:lineRule="auto"/>
              <w:jc w:val="both"/>
            </w:pPr>
            <w:r>
              <w:rPr>
                <w:rFonts w:ascii="Times New Roman" w:hAnsi="Times New Roman" w:cs="Times New Roman" w:eastAsia="宋体"/>
                <w:b/>
                <w:i w:val="0"/>
                <w:sz w:val="20"/>
              </w:rPr>
              <w:t>1、合同约定的主要研究内容：</w:t>
            </w:r>
          </w:p>
          <w:p>
            <w:pPr>
              <w:spacing w:before="40" w:after="40" w:line="300" w:lineRule="auto"/>
              <w:jc w:val="both"/>
            </w:pPr>
            <w:r>
              <w:rPr>
                <w:rFonts w:ascii="Times New Roman" w:hAnsi="Times New Roman" w:cs="Times New Roman" w:eastAsia="宋体"/>
                <w:b w:val="0"/>
                <w:i w:val="0"/>
                <w:sz w:val="20"/>
              </w:rPr>
              <w:t>围绕深圳国际综合物流枢纽中心项目大跨度装配整体式框架结构，开展六个专题研究：（1）装配整体式大跨度钢框架和幕墙数字化智能建造及精细安装控制技术；（2）基于BIM的装配整体式钢框架-现浇楼承板结构虚拟建造技术；（3）基于多传感器融合与三维激光移动扫描的结构施工监测及金刚砂地面缺陷检测技术；（4）基于声发射与时频域音频信号的钢管混凝土柱横隔板下动态浇筑密实度检测技术；（5）基于知识图谱与系统动力学的施工安全风险管控技术；（6）复杂环境和条件下高强度施工与交通融合组织与优化技术。</w:t>
            </w:r>
          </w:p>
          <w:p>
            <w:pPr>
              <w:spacing w:before="40" w:after="40" w:line="300" w:lineRule="auto"/>
              <w:jc w:val="both"/>
            </w:pPr>
            <w:r>
              <w:rPr>
                <w:rFonts w:ascii="Times New Roman" w:hAnsi="Times New Roman" w:cs="Times New Roman" w:eastAsia="宋体"/>
                <w:b/>
                <w:i w:val="0"/>
                <w:sz w:val="20"/>
              </w:rPr>
              <w:t>2、合同约定的成果形式及主要技术指标：</w:t>
            </w:r>
          </w:p>
          <w:p>
            <w:pPr>
              <w:spacing w:before="40" w:after="40" w:line="300" w:lineRule="auto"/>
              <w:jc w:val="both"/>
            </w:pPr>
            <w:r>
              <w:rPr>
                <w:rFonts w:ascii="Times New Roman" w:hAnsi="Times New Roman" w:cs="Times New Roman" w:eastAsia="宋体"/>
                <w:b w:val="0"/>
                <w:i w:val="0"/>
                <w:sz w:val="20"/>
              </w:rPr>
              <w:t>（1）技术指标：钢管混凝土柱横隔板下密实度探测误差 ≤ 5%；大跨度钢结构点云虚拟预拼装螺孔配准均方根误差RMSE ≤ 0.5 mm；多源传感变形融合不确定度 ≤ 1.0 mm，金刚砂地面双光检测分辨率GSD ≤ 0.30 mm/px；</w:t>
            </w:r>
          </w:p>
          <w:p>
            <w:pPr>
              <w:spacing w:before="40" w:after="40" w:line="300" w:lineRule="auto"/>
              <w:jc w:val="both"/>
            </w:pPr>
            <w:r>
              <w:rPr>
                <w:rFonts w:ascii="Times New Roman" w:hAnsi="Times New Roman" w:cs="Times New Roman" w:eastAsia="宋体"/>
                <w:b w:val="0"/>
                <w:i w:val="0"/>
                <w:sz w:val="20"/>
              </w:rPr>
              <w:t>（2）成果形式：形成《装配整体式大跨度框架结构智能建造关键技术体系研究》总研究报告1份、《深圳国际综合物流枢纽中心项目科研进展工作总结》1份，申请并获授权国家发明专利6项。</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rPr>
              <w:t>完成情况</w:t>
            </w:r>
          </w:p>
          <w:p>
            <w:pPr>
              <w:jc w:val="center"/>
              <w:rPr>
                <w:rFonts w:hint="eastAsia"/>
                <w:color w:val="auto"/>
              </w:rPr>
            </w:pPr>
            <w:r>
              <w:rPr>
                <w:rFonts w:hint="eastAsia"/>
                <w:color w:val="auto"/>
              </w:rPr>
              <w:t>及提供的</w:t>
            </w:r>
          </w:p>
          <w:p>
            <w:pPr>
              <w:jc w:val="center"/>
              <w:rPr>
                <w:rFonts w:hint="eastAsia"/>
                <w:color w:val="auto"/>
              </w:rPr>
            </w:pPr>
            <w:r>
              <w:rPr>
                <w:rFonts w:hint="eastAsia"/>
                <w:color w:val="auto"/>
              </w:rPr>
              <w:t>技术文件</w:t>
            </w:r>
          </w:p>
          <w:p>
            <w:pPr>
              <w:jc w:val="center"/>
              <w:rPr>
                <w:rFonts w:hint="default"/>
                <w:color w:val="auto"/>
              </w:rPr>
            </w:pPr>
            <w:r>
              <w:rPr>
                <w:rFonts w:hint="eastAsia"/>
                <w:color w:val="auto"/>
              </w:rPr>
              <w:t>目    录</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spacing w:before="40" w:after="40" w:line="300" w:lineRule="auto"/>
              <w:jc w:val="both"/>
            </w:pPr>
            <w:r>
              <w:rPr>
                <w:rFonts w:ascii="Times New Roman" w:hAnsi="Times New Roman" w:cs="Times New Roman" w:eastAsia="宋体"/>
                <w:b/>
                <w:i w:val="0"/>
                <w:sz w:val="20"/>
              </w:rPr>
              <w:t>1、合同约定研究内容完成情况：</w:t>
            </w:r>
          </w:p>
          <w:p>
            <w:pPr>
              <w:spacing w:before="40" w:after="40" w:line="300" w:lineRule="auto"/>
              <w:jc w:val="both"/>
            </w:pPr>
            <w:r>
              <w:rPr>
                <w:rFonts w:ascii="Times New Roman" w:hAnsi="Times New Roman" w:cs="Times New Roman" w:eastAsia="宋体"/>
                <w:b w:val="0"/>
                <w:i w:val="0"/>
                <w:sz w:val="20"/>
              </w:rPr>
              <w:t>已完成全部六个研究专题的理论推导、核心算法建模、算例分析及深圳国际综合物流枢纽中心项目工程应用场景验证，各项技术指标均达到计划要求（其中四孔端板配准RMSE = 0.324 mm，最大残差</w:t>
            </w:r>
            <w:r>
              <w:rPr>
                <w:rFonts w:ascii="Times New Roman" w:hAnsi="Times New Roman" w:cs="Times New Roman" w:eastAsia="宋体"/>
                <w:b w:val="0"/>
                <w:i/>
                <w:sz w:val="20"/>
              </w:rPr>
              <w:t>r</w:t>
            </w:r>
            <w:r>
              <w:rPr>
                <w:rFonts w:ascii="Times New Roman" w:hAnsi="Times New Roman" w:cs="Times New Roman" w:eastAsia="宋体"/>
                <w:b w:val="0"/>
                <w:i w:val="0"/>
                <w:sz w:val="20"/>
                <w:vertAlign w:val="subscript"/>
              </w:rPr>
              <w:t>max</w:t>
            </w:r>
            <w:r>
              <w:rPr>
                <w:rFonts w:ascii="Times New Roman" w:hAnsi="Times New Roman" w:cs="Times New Roman" w:eastAsia="宋体"/>
                <w:b w:val="0"/>
                <w:i w:val="0"/>
                <w:sz w:val="20"/>
              </w:rPr>
              <w:t xml:space="preserve"> = 0.415 mm，局部扩展不确定度</w:t>
            </w:r>
            <w:r>
              <w:rPr>
                <w:rFonts w:ascii="Times New Roman" w:hAnsi="Times New Roman" w:cs="Times New Roman" w:eastAsia="宋体"/>
                <w:b w:val="0"/>
                <w:i/>
                <w:sz w:val="20"/>
              </w:rPr>
              <w:t>U</w:t>
            </w:r>
            <w:r>
              <w:rPr>
                <w:rFonts w:ascii="Times New Roman" w:hAnsi="Times New Roman" w:cs="Times New Roman" w:eastAsia="宋体"/>
                <w:b w:val="0"/>
                <w:i w:val="0"/>
                <w:sz w:val="20"/>
              </w:rPr>
              <w:t xml:space="preserve"> = 0.707 mm，保护带判定量 1.122 mm ≤ 2.0 mm；双通道独立融合不确定度 0.706 mm，计入公共基准项后合成不确定度 0.926 mm ≤ 1.0 mm；1.0 m拍摄距离下金刚砂地面成像分辨率GSD = 0.274 mm/px ≤ 0.30 mm/px；钢管混凝土400 mm声路密实基准传播时间 98.39 μs，建立时频双分支ConvLSTM与注意力融合识别机制；单服务点到达率由 18 辆/h 调控至 14 辆/h 时平均排队等待时间由 13.5 min 降至 3.5 min）。</w:t>
            </w:r>
          </w:p>
          <w:p>
            <w:pPr>
              <w:spacing w:before="40" w:after="40" w:line="300" w:lineRule="auto"/>
              <w:jc w:val="both"/>
            </w:pPr>
            <w:r>
              <w:rPr>
                <w:rFonts w:ascii="Times New Roman" w:hAnsi="Times New Roman" w:cs="Times New Roman" w:eastAsia="宋体"/>
                <w:b/>
                <w:i w:val="0"/>
                <w:sz w:val="20"/>
              </w:rPr>
              <w:t>2、提供的技术文件及知识产权成果目录（均已归档完备）：</w:t>
            </w:r>
          </w:p>
          <w:p>
            <w:pPr>
              <w:spacing w:before="40" w:after="40" w:line="300" w:lineRule="auto"/>
              <w:jc w:val="both"/>
            </w:pPr>
            <w:r>
              <w:rPr>
                <w:rFonts w:ascii="Times New Roman" w:hAnsi="Times New Roman" w:cs="Times New Roman" w:eastAsia="宋体"/>
                <w:b w:val="0"/>
                <w:i w:val="0"/>
                <w:sz w:val="20"/>
              </w:rPr>
              <w:t>（1）《装配整体式大跨度框架结构智能建造关键技术体系研究》研究报告（1份）；</w:t>
            </w:r>
          </w:p>
          <w:p>
            <w:pPr>
              <w:spacing w:before="40" w:after="40" w:line="300" w:lineRule="auto"/>
              <w:jc w:val="both"/>
            </w:pPr>
            <w:r>
              <w:rPr>
                <w:rFonts w:ascii="Times New Roman" w:hAnsi="Times New Roman" w:cs="Times New Roman" w:eastAsia="宋体"/>
                <w:b w:val="0"/>
                <w:i w:val="0"/>
                <w:sz w:val="20"/>
              </w:rPr>
              <w:t>（2）《深圳国际综合物流枢纽中心项目科研进展工作总结》（1份）；</w:t>
            </w:r>
          </w:p>
          <w:p>
            <w:pPr>
              <w:spacing w:before="40" w:after="40" w:line="300" w:lineRule="auto"/>
              <w:jc w:val="both"/>
            </w:pPr>
            <w:r>
              <w:rPr>
                <w:rFonts w:ascii="Times New Roman" w:hAnsi="Times New Roman" w:cs="Times New Roman" w:eastAsia="宋体"/>
                <w:b w:val="0"/>
                <w:i w:val="0"/>
                <w:sz w:val="20"/>
              </w:rPr>
              <w:t>（3）立项决议文件（集团科数网〔2025〕70号）、项目申请书、联合申报合作协议及2025年度RD18研发支出辅助账汇总表与明细表；</w:t>
            </w:r>
          </w:p>
          <w:p>
            <w:pPr>
              <w:spacing w:before="40" w:after="40" w:line="300" w:lineRule="auto"/>
              <w:jc w:val="both"/>
            </w:pPr>
            <w:r>
              <w:rPr>
                <w:rFonts w:ascii="Times New Roman" w:hAnsi="Times New Roman" w:cs="Times New Roman" w:eastAsia="宋体"/>
                <w:b w:val="0"/>
                <w:i w:val="0"/>
                <w:sz w:val="20"/>
              </w:rPr>
              <w:t xml:space="preserve">（4）已获授权国家发明专利证书 </w:t>
            </w:r>
            <w:r>
              <w:rPr>
                <w:rFonts w:ascii="Times New Roman" w:hAnsi="Times New Roman" w:cs="Times New Roman" w:eastAsia="宋体"/>
                <w:b/>
                <w:i w:val="0"/>
                <w:sz w:val="20"/>
              </w:rPr>
              <w:t>6项</w:t>
            </w:r>
            <w:r>
              <w:rPr>
                <w:rFonts w:ascii="Times New Roman" w:hAnsi="Times New Roman" w:cs="Times New Roman" w:eastAsia="宋体"/>
                <w:b w:val="0"/>
                <w:i w:val="0"/>
                <w:sz w:val="20"/>
              </w:rPr>
              <w:t>：① ZL202510710807.2《基于多源环境传感数据的钢结构建筑状态评估方法和系统》；② ZL202510845138.X《基于时频域的音频信号的钢管混凝土缺陷检测方法和系统》；③ ZL202510845137.5《基于BIM的装配整体式钢结构的三维点云分割方法和系统》；④ ZL202510598192.9《一种金刚砂地面缺陷识别方法和系统》；⑤ ZL202510598190.X《一种基于传感数据的施工结构安全监测方法和系统》；⑥ ZL202510710806.8《一种施工区域的三维可视化方法和装置》。</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lang w:val="en-US" w:eastAsia="zh-CN"/>
              </w:rPr>
            </w:pPr>
            <w:r>
              <w:rPr>
                <w:rFonts w:hint="eastAsia"/>
                <w:color w:val="auto"/>
              </w:rPr>
              <w:t>承担</w:t>
            </w:r>
            <w:r>
              <w:rPr>
                <w:rFonts w:hint="eastAsia"/>
                <w:color w:val="auto"/>
                <w:lang w:val="en-US" w:eastAsia="zh-CN"/>
              </w:rPr>
              <w:t>单位</w:t>
            </w:r>
          </w:p>
          <w:p>
            <w:pPr>
              <w:jc w:val="center"/>
              <w:rPr>
                <w:rFonts w:hint="default"/>
                <w:color w:val="auto"/>
              </w:rPr>
            </w:pPr>
            <w:r>
              <w:rPr>
                <w:rFonts w:hint="eastAsia"/>
                <w:color w:val="auto"/>
              </w:rPr>
              <w:t>意见</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5" w:beforeLines="0" w:afterLines="0"/>
              <w:rPr>
                <w:rFonts w:hint="eastAsia"/>
                <w:color w:val="auto"/>
                <w:sz w:val="20"/>
              </w:rPr>
            </w:pPr>
          </w:p>
          <w:p>
            <w:pPr>
              <w:pStyle w:val="9"/>
              <w:tabs>
                <w:tab w:val="left" w:pos="1199"/>
                <w:tab w:val="left" w:pos="1800"/>
                <w:tab w:val="left" w:pos="2400"/>
              </w:tabs>
              <w:kinsoku w:val="0"/>
              <w:overflowPunct w:val="0"/>
              <w:spacing w:before="1" w:beforeLines="0" w:afterLines="0"/>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lang w:val="en-US" w:eastAsia="zh-CN"/>
              </w:rPr>
              <w:t>集团</w:t>
            </w:r>
            <w:r>
              <w:rPr>
                <w:rFonts w:hint="eastAsia"/>
                <w:color w:val="auto"/>
              </w:rPr>
              <w:t>公司</w:t>
            </w:r>
          </w:p>
          <w:p>
            <w:pPr>
              <w:jc w:val="center"/>
              <w:rPr>
                <w:rFonts w:hint="eastAsia"/>
                <w:color w:val="auto"/>
              </w:rPr>
            </w:pPr>
            <w:r>
              <w:rPr>
                <w:rFonts w:hint="eastAsia"/>
                <w:color w:val="auto"/>
              </w:rPr>
              <w:t>科技部</w:t>
            </w:r>
          </w:p>
          <w:p>
            <w:pPr>
              <w:jc w:val="center"/>
              <w:rPr>
                <w:rFonts w:hint="default"/>
                <w:color w:val="auto"/>
              </w:rPr>
            </w:pPr>
            <w:r>
              <w:rPr>
                <w:rFonts w:hint="eastAsia"/>
                <w:color w:val="auto"/>
              </w:rPr>
              <w:t>意见</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3" w:beforeLines="0" w:afterLines="0"/>
              <w:rPr>
                <w:rFonts w:hint="eastAsia"/>
                <w:color w:val="auto"/>
                <w:sz w:val="20"/>
              </w:rPr>
            </w:pPr>
          </w:p>
          <w:p>
            <w:pPr>
              <w:pStyle w:val="9"/>
              <w:tabs>
                <w:tab w:val="left" w:pos="1199"/>
                <w:tab w:val="left" w:pos="1800"/>
                <w:tab w:val="left" w:pos="2400"/>
              </w:tabs>
              <w:kinsoku w:val="0"/>
              <w:overflowPunct w:val="0"/>
              <w:spacing w:beforeLines="0" w:afterLines="0"/>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eastAsia"/>
                <w:color w:val="auto"/>
              </w:rPr>
            </w:pPr>
            <w:r>
              <w:rPr>
                <w:rFonts w:hint="eastAsia"/>
                <w:color w:val="auto"/>
                <w:lang w:val="en-US" w:eastAsia="zh-CN"/>
              </w:rPr>
              <w:t>集团</w:t>
            </w:r>
            <w:r>
              <w:rPr>
                <w:rFonts w:hint="eastAsia"/>
                <w:color w:val="auto"/>
              </w:rPr>
              <w:t>公司</w:t>
            </w:r>
          </w:p>
          <w:p>
            <w:pPr>
              <w:jc w:val="center"/>
              <w:rPr>
                <w:rFonts w:hint="eastAsia"/>
                <w:color w:val="auto"/>
              </w:rPr>
            </w:pPr>
            <w:r>
              <w:rPr>
                <w:rFonts w:hint="eastAsia"/>
                <w:color w:val="auto"/>
              </w:rPr>
              <w:t>财务部门</w:t>
            </w:r>
          </w:p>
          <w:p>
            <w:pPr>
              <w:jc w:val="center"/>
              <w:rPr>
                <w:rFonts w:hint="default"/>
                <w:color w:val="auto"/>
              </w:rPr>
            </w:pPr>
            <w:r>
              <w:rPr>
                <w:rFonts w:hint="eastAsia"/>
                <w:color w:val="auto"/>
              </w:rPr>
              <w:t>意见</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8" w:beforeLines="0" w:afterLines="0"/>
              <w:rPr>
                <w:rFonts w:hint="eastAsia"/>
                <w:color w:val="auto"/>
                <w:sz w:val="20"/>
              </w:rPr>
            </w:pPr>
          </w:p>
          <w:p>
            <w:pPr>
              <w:pStyle w:val="9"/>
              <w:tabs>
                <w:tab w:val="left" w:pos="1199"/>
                <w:tab w:val="left" w:pos="1800"/>
                <w:tab w:val="left" w:pos="2400"/>
              </w:tabs>
              <w:kinsoku w:val="0"/>
              <w:overflowPunct w:val="0"/>
              <w:spacing w:beforeLines="0" w:afterLines="0"/>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r>
        <w:trPr>
          <w:trHeight w:val="340" w:hRule="atLeast"/>
        </w:trPr>
        <w:tc>
          <w:tcPr>
            <w:tcW w:w="1833" w:type="dxa"/>
            <w:tcBorders>
              <w:top w:val="single" w:color="000000" w:sz="4" w:space="0"/>
              <w:left w:val="single" w:color="000000" w:sz="4" w:space="0"/>
              <w:bottom w:val="single" w:color="000000" w:sz="4" w:space="0"/>
              <w:right w:val="single" w:color="000000" w:sz="4" w:space="0"/>
              <w:tl2br w:val="nil"/>
              <w:tr2bl w:val="nil"/>
            </w:tcBorders>
            <w:vAlign w:val="center"/>
          </w:tcPr>
          <w:p>
            <w:pPr>
              <w:jc w:val="center"/>
              <w:rPr>
                <w:rFonts w:hint="default"/>
                <w:color w:val="auto"/>
              </w:rPr>
            </w:pPr>
            <w:r>
              <w:rPr>
                <w:rFonts w:hint="eastAsia"/>
                <w:color w:val="auto"/>
              </w:rPr>
              <w:t>领导审批</w:t>
            </w:r>
          </w:p>
        </w:tc>
        <w:tc>
          <w:tcPr>
            <w:tcW w:w="7225" w:type="dxa"/>
            <w:tcBorders>
              <w:top w:val="single" w:color="000000" w:sz="4" w:space="0"/>
              <w:left w:val="single" w:color="000000" w:sz="4" w:space="0"/>
              <w:bottom w:val="single" w:color="000000" w:sz="4" w:space="0"/>
              <w:right w:val="single" w:color="000000" w:sz="4" w:space="0"/>
              <w:tl2br w:val="nil"/>
              <w:tr2bl w:val="nil"/>
            </w:tcBorders>
            <w:vAlign w:val="top"/>
          </w:tcPr>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Lines="0" w:afterLines="0"/>
              <w:rPr>
                <w:rFonts w:hint="eastAsia"/>
                <w:color w:val="auto"/>
                <w:sz w:val="24"/>
              </w:rPr>
            </w:pPr>
          </w:p>
          <w:p>
            <w:pPr>
              <w:pStyle w:val="9"/>
              <w:kinsoku w:val="0"/>
              <w:overflowPunct w:val="0"/>
              <w:spacing w:before="1" w:beforeLines="0" w:afterLines="0"/>
              <w:rPr>
                <w:rFonts w:hint="eastAsia"/>
                <w:color w:val="auto"/>
                <w:sz w:val="20"/>
              </w:rPr>
            </w:pPr>
          </w:p>
          <w:p>
            <w:pPr>
              <w:pStyle w:val="9"/>
              <w:tabs>
                <w:tab w:val="left" w:pos="1199"/>
                <w:tab w:val="left" w:pos="1800"/>
                <w:tab w:val="left" w:pos="2400"/>
              </w:tabs>
              <w:kinsoku w:val="0"/>
              <w:overflowPunct w:val="0"/>
              <w:spacing w:beforeLines="0" w:afterLines="0"/>
              <w:jc w:val="right"/>
              <w:rPr>
                <w:rFonts w:hint="default"/>
                <w:color w:val="auto"/>
                <w:sz w:val="24"/>
              </w:rPr>
            </w:pPr>
            <w:r>
              <w:rPr>
                <w:rFonts w:hint="eastAsia"/>
                <w:color w:val="auto"/>
                <w:sz w:val="24"/>
              </w:rPr>
              <w:t>（章）</w:t>
            </w:r>
            <w:r>
              <w:rPr>
                <w:rFonts w:hint="eastAsia"/>
                <w:color w:val="auto"/>
                <w:sz w:val="24"/>
              </w:rPr>
              <w:tab/>
            </w:r>
            <w:r>
              <w:rPr>
                <w:rFonts w:hint="eastAsia"/>
                <w:color w:val="auto"/>
                <w:sz w:val="24"/>
              </w:rPr>
              <w:t>年</w:t>
            </w:r>
            <w:r>
              <w:rPr>
                <w:rFonts w:hint="eastAsia"/>
                <w:color w:val="auto"/>
                <w:sz w:val="24"/>
              </w:rPr>
              <w:tab/>
            </w:r>
            <w:r>
              <w:rPr>
                <w:rFonts w:hint="eastAsia"/>
                <w:color w:val="auto"/>
                <w:sz w:val="24"/>
              </w:rPr>
              <w:t>月</w:t>
            </w:r>
            <w:r>
              <w:rPr>
                <w:rFonts w:hint="eastAsia"/>
                <w:color w:val="auto"/>
                <w:sz w:val="24"/>
              </w:rPr>
              <w:tab/>
            </w:r>
            <w:r>
              <w:rPr>
                <w:rFonts w:hint="eastAsia"/>
                <w:color w:val="auto"/>
                <w:sz w:val="24"/>
              </w:rPr>
              <w:t>日</w:t>
            </w:r>
          </w:p>
        </w:tc>
      </w:tr>
    </w:tbl>
    <w:p>
      <w:pPr>
        <w:spacing w:beforeLines="0" w:afterLines="0"/>
        <w:rPr>
          <w:rFonts w:hint="default"/>
          <w:color w:val="auto"/>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B20A2D"/>
    <w:rsid w:val="0DB20A2D"/>
    <w:rsid w:val="43500B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Lines="0" w:afterLines="0"/>
      <w:ind w:left="220"/>
      <w:outlineLvl w:val="2"/>
    </w:pPr>
    <w:rPr>
      <w:rFonts w:hint="eastAsia"/>
      <w:b/>
      <w:sz w:val="32"/>
    </w:rPr>
  </w:style>
  <w:style w:type="paragraph" w:styleId="3">
    <w:name w:val="heading 5"/>
    <w:basedOn w:val="1"/>
    <w:next w:val="1"/>
    <w:unhideWhenUsed/>
    <w:qFormat/>
    <w:uiPriority w:val="0"/>
    <w:pPr>
      <w:spacing w:beforeLines="0" w:afterLines="0"/>
      <w:ind w:left="681"/>
      <w:outlineLvl w:val="4"/>
    </w:pPr>
    <w:rPr>
      <w:rFonts w:hint="eastAsia"/>
      <w:b/>
      <w:sz w:val="28"/>
    </w:rPr>
  </w:style>
  <w:style w:type="paragraph" w:styleId="4">
    <w:name w:val="heading 6"/>
    <w:basedOn w:val="1"/>
    <w:next w:val="1"/>
    <w:unhideWhenUsed/>
    <w:qFormat/>
    <w:uiPriority w:val="0"/>
    <w:pPr>
      <w:spacing w:before="23" w:beforeLines="0" w:afterLines="0"/>
      <w:ind w:left="1963"/>
      <w:outlineLvl w:val="5"/>
    </w:pPr>
    <w:rPr>
      <w:rFonts w:hint="eastAsia"/>
      <w:sz w:val="28"/>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qFormat/>
    <w:uiPriority w:val="0"/>
    <w:pPr>
      <w:spacing w:beforeLines="0" w:afterLines="0"/>
    </w:pPr>
    <w:rPr>
      <w:rFonts w:hint="eastAsia"/>
      <w:sz w:val="24"/>
    </w:rPr>
  </w:style>
  <w:style w:type="paragraph" w:customStyle="1" w:styleId="8">
    <w:name w:val="表格"/>
    <w:next w:val="1"/>
    <w:qFormat/>
    <w:uiPriority w:val="0"/>
    <w:pPr>
      <w:spacing w:line="440" w:lineRule="atLeast"/>
      <w:ind w:firstLine="643" w:firstLineChars="200"/>
    </w:pPr>
    <w:rPr>
      <w:rFonts w:ascii="仿宋_GB2312" w:hAnsi="仿宋_GB2312" w:eastAsia="仿宋_GB2312" w:cs="Times New Roman"/>
      <w:kern w:val="2"/>
      <w:sz w:val="24"/>
      <w:szCs w:val="21"/>
      <w:lang w:val="en-US" w:eastAsia="zh-CN" w:bidi="ar-SA"/>
    </w:rPr>
  </w:style>
  <w:style w:type="paragraph" w:customStyle="1" w:styleId="9">
    <w:name w:val="Table Paragraph"/>
    <w:basedOn w:val="1"/>
    <w:unhideWhenUsed/>
    <w:qFormat/>
    <w:uiPriority w:val="1"/>
    <w:pPr>
      <w:spacing w:beforeLines="0" w:afterLines="0"/>
    </w:pPr>
    <w:rPr>
      <w:rFonts w:hint="eastAsia"/>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中铁25局</Company>
  <Pages>1</Pages>
  <Words>0</Words>
  <Characters>0</Characters>
  <Lines>0</Lines>
  <Paragraphs>0</Paragraphs>
  <TotalTime>0</TotalTime>
  <ScaleCrop>false</ScaleCrop>
  <LinksUpToDate>false</LinksUpToDate>
  <CharactersWithSpaces>0</CharactersWithSpaces>
  <Application>WPS Office_11.8.2.9015_F1E327BC-269C-435d-A152-05C5408002CA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2026-10-08T01:31:00Z</dcterms:created>
  <dc:creator>wlm</dc:creator>
  <cp:lastModifiedBy>wlm</cp:lastModifiedBy>
  <dcterms:modified xsi:type="dcterms:W3CDTF">2026-10-08T02:00:27Z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2052-11.8.2.9015</vt:lpwstr>
  </property>
</Properties>
</file>