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tabs>
          <w:tab w:val="left" w:pos="1120"/>
        </w:tabs>
        <w:kinsoku w:val="0"/>
        <w:overflowPunct w:val="0"/>
        <w:spacing w:before="12" w:beforeLines="0" w:afterLines="0"/>
        <w:ind w:left="220"/>
        <w:rPr>
          <w:rFonts w:hint="eastAsia" w:ascii="黑体" w:hAnsi="黑体" w:eastAsia="黑体"/>
          <w:color w:val="auto"/>
          <w:sz w:val="26"/>
        </w:rPr>
      </w:pPr>
      <w:r>
        <w:rPr>
          <w:rFonts w:hint="eastAsia" w:ascii="黑体" w:hAnsi="黑体" w:eastAsia="黑体"/>
          <w:color w:val="auto"/>
          <w:sz w:val="24"/>
        </w:rPr>
        <w:t>附件</w:t>
      </w:r>
      <w:r>
        <w:rPr>
          <w:rFonts w:hint="eastAsia" w:ascii="黑体" w:hAnsi="黑体" w:eastAsia="黑体"/>
          <w:color w:val="auto"/>
          <w:spacing w:val="-61"/>
          <w:sz w:val="24"/>
          <w:lang w:val="en-US" w:eastAsia="zh-CN"/>
        </w:rPr>
        <w:t>10</w:t>
      </w:r>
      <w:r>
        <w:rPr>
          <w:rFonts w:hint="eastAsia" w:ascii="黑体" w:hAnsi="黑体" w:eastAsia="黑体"/>
          <w:color w:val="auto"/>
          <w:sz w:val="24"/>
        </w:rPr>
        <w:tab/>
      </w:r>
      <w:r>
        <w:rPr>
          <w:rFonts w:hint="eastAsia" w:ascii="黑体" w:hAnsi="黑体" w:eastAsia="黑体"/>
          <w:color w:val="auto"/>
          <w:sz w:val="24"/>
        </w:rPr>
        <w:t>（一式三份）</w:t>
      </w:r>
    </w:p>
    <w:p>
      <w:pPr>
        <w:pStyle w:val="2"/>
        <w:kinsoku w:val="0"/>
        <w:overflowPunct w:val="0"/>
        <w:spacing w:beforeLines="0" w:afterLines="0"/>
        <w:jc w:val="center"/>
        <w:rPr>
          <w:rFonts w:hint="eastAsia"/>
          <w:color w:val="auto"/>
          <w:sz w:val="32"/>
        </w:rPr>
      </w:pPr>
      <w:r>
        <w:rPr>
          <w:rFonts w:hint="eastAsia"/>
          <w:color w:val="auto"/>
          <w:sz w:val="32"/>
        </w:rPr>
        <w:t>中铁</w:t>
      </w:r>
      <w:r>
        <w:rPr>
          <w:rFonts w:hint="eastAsia"/>
          <w:color w:val="auto"/>
          <w:sz w:val="32"/>
          <w:lang w:val="en-US" w:eastAsia="zh-CN"/>
        </w:rPr>
        <w:t>二十五局集团</w:t>
      </w:r>
      <w:r>
        <w:rPr>
          <w:rFonts w:hint="eastAsia"/>
          <w:color w:val="auto"/>
          <w:sz w:val="32"/>
        </w:rPr>
        <w:t>有限公司</w:t>
      </w:r>
    </w:p>
    <w:p>
      <w:pPr>
        <w:pStyle w:val="2"/>
        <w:kinsoku w:val="0"/>
        <w:overflowPunct w:val="0"/>
        <w:spacing w:beforeLines="0" w:afterLines="0"/>
        <w:rPr>
          <w:rFonts w:hint="eastAsia"/>
          <w:color w:val="auto"/>
          <w:sz w:val="32"/>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20" w:beforeLines="0" w:afterLines="0"/>
        <w:jc w:val="center"/>
        <w:rPr>
          <w:rFonts w:hint="eastAsia"/>
          <w:b/>
          <w:color w:val="auto"/>
          <w:sz w:val="32"/>
        </w:rPr>
      </w:pPr>
      <w:r>
        <w:rPr>
          <w:rFonts w:hint="eastAsia"/>
          <w:b/>
          <w:color w:val="auto"/>
          <w:sz w:val="32"/>
        </w:rPr>
        <w:t>科研计</w:t>
      </w:r>
      <w:r>
        <w:rPr>
          <w:rFonts w:hint="eastAsia"/>
          <w:b/>
          <w:color w:val="auto"/>
          <w:sz w:val="32"/>
          <w:szCs w:val="22"/>
        </w:rPr>
        <w:t>划</w:t>
      </w:r>
      <w:r>
        <w:rPr>
          <w:rFonts w:hint="eastAsia"/>
          <w:b/>
          <w:color w:val="auto"/>
          <w:sz w:val="32"/>
          <w:szCs w:val="22"/>
          <w:lang w:val="en-US" w:eastAsia="zh-CN"/>
        </w:rPr>
        <w:t>项目/</w:t>
      </w:r>
      <w:r>
        <w:rPr>
          <w:rFonts w:hint="eastAsia"/>
          <w:b/>
          <w:color w:val="auto"/>
          <w:sz w:val="32"/>
          <w:szCs w:val="22"/>
        </w:rPr>
        <w:t>课</w:t>
      </w:r>
      <w:r>
        <w:rPr>
          <w:rFonts w:hint="eastAsia"/>
          <w:b/>
          <w:color w:val="auto"/>
          <w:sz w:val="32"/>
        </w:rPr>
        <w:t>题合同结题验收申请表</w:t>
      </w:r>
    </w:p>
    <w:p>
      <w:pPr>
        <w:pStyle w:val="5"/>
        <w:kinsoku w:val="0"/>
        <w:overflowPunct w:val="0"/>
        <w:spacing w:beforeLines="0" w:afterLines="0"/>
        <w:rPr>
          <w:rFonts w:hint="eastAsia"/>
          <w:b/>
          <w:color w:val="auto"/>
          <w:sz w:val="20"/>
        </w:rPr>
      </w:pPr>
    </w:p>
    <w:p>
      <w:pPr>
        <w:pStyle w:val="5"/>
        <w:kinsoku w:val="0"/>
        <w:overflowPunct w:val="0"/>
        <w:spacing w:before="181" w:beforeLines="0" w:after="38" w:afterLines="0"/>
        <w:ind w:left="220"/>
        <w:rPr>
          <w:rFonts w:hint="eastAsia"/>
          <w:color w:val="auto"/>
          <w:sz w:val="24"/>
        </w:rPr>
      </w:pPr>
      <w:r>
        <w:rPr>
          <w:rFonts w:ascii="Times New Roman" w:hAnsi="Times New Roman" w:cs="Times New Roman" w:eastAsia="宋体"/>
          <w:b w:val="0"/>
          <w:i w:val="0"/>
          <w:sz w:val="24"/>
        </w:rPr>
        <w:t>填报单位：中铁二十五局集团第三工程有限公司</w:t>
      </w:r>
    </w:p>
    <w:tbl>
      <w:tblPr>
        <w:tblStyle w:val="6"/>
        <w:tblW w:w="9058" w:type="dxa"/>
        <w:tblInd w:w="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1833"/>
        <w:gridCol w:w="7225"/>
      </w:tblGrid>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szCs w:val="22"/>
                <w:lang w:val="en-US" w:eastAsia="zh-CN"/>
              </w:rPr>
              <w:t>项目/</w:t>
            </w:r>
            <w:r>
              <w:rPr>
                <w:rFonts w:hint="eastAsia"/>
                <w:color w:val="auto"/>
                <w:szCs w:val="22"/>
              </w:rPr>
              <w:t>项</w:t>
            </w:r>
            <w:r>
              <w:rPr>
                <w:rFonts w:hint="eastAsia"/>
                <w:color w:val="auto"/>
              </w:rPr>
              <w:t>目名称</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i w:val="0"/>
                <w:sz w:val="21"/>
              </w:rPr>
              <w:t>装配整体式大跨度框架结构智能建造关键技术体系研究</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合同编号</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21"/>
              </w:rPr>
              <w:t>2025-A002</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合同规定</w:t>
            </w:r>
          </w:p>
          <w:p>
            <w:pPr>
              <w:jc w:val="center"/>
              <w:rPr>
                <w:rFonts w:hint="default"/>
                <w:color w:val="auto"/>
              </w:rPr>
            </w:pPr>
            <w:r>
              <w:rPr>
                <w:rFonts w:hint="eastAsia"/>
                <w:color w:val="auto"/>
              </w:rPr>
              <w:t>要求</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300" w:lineRule="auto"/>
              <w:jc w:val="both"/>
            </w:pPr>
            <w:r>
              <w:rPr>
                <w:rFonts w:ascii="Times New Roman" w:hAnsi="Times New Roman" w:cs="Times New Roman" w:eastAsia="宋体"/>
                <w:b/>
                <w:i w:val="0"/>
                <w:sz w:val="20"/>
              </w:rPr>
              <w:t>1、合同约定的主要研究内容：</w:t>
            </w:r>
          </w:p>
          <w:p>
            <w:pPr>
              <w:spacing w:before="40" w:after="40" w:line="300" w:lineRule="auto"/>
              <w:jc w:val="both"/>
            </w:pPr>
            <w:r>
              <w:rPr>
                <w:rFonts w:ascii="Times New Roman" w:hAnsi="Times New Roman" w:cs="Times New Roman" w:eastAsia="宋体"/>
                <w:b w:val="0"/>
                <w:i w:val="0"/>
                <w:sz w:val="20"/>
              </w:rPr>
              <w:t>围绕深圳国际综合物流枢纽中心项目大跨度装配整体式框架结构，开展六个专题研究：（1）装配整体式大跨度钢框架和幕墙数字化智能建造及精细安装控制技术；（2）基于BIM的装配整体式钢框架-现浇楼承板结构虚拟建造技术；（3）基于多传感器融合与三维激光移动扫描的结构施工监测及金刚砂地面缺陷检测技术；（4）基于声发射与时频域音频信号的钢管混凝土柱横隔板下动态浇筑密实度检测技术；（5）基于知识图谱与系统动力学的施工安全风险管控技术；（6）复杂环境和条件下高强度施工与交通融合组织与优化技术。</w:t>
            </w:r>
          </w:p>
          <w:p>
            <w:pPr>
              <w:spacing w:before="40" w:after="40" w:line="300" w:lineRule="auto"/>
              <w:jc w:val="both"/>
            </w:pPr>
            <w:r>
              <w:rPr>
                <w:rFonts w:ascii="Times New Roman" w:hAnsi="Times New Roman" w:cs="Times New Roman" w:eastAsia="宋体"/>
                <w:b/>
                <w:i w:val="0"/>
                <w:sz w:val="20"/>
              </w:rPr>
              <w:t>2、合同约定的成果形式及主要技术指标：</w:t>
            </w:r>
          </w:p>
          <w:p>
            <w:pPr>
              <w:spacing w:before="40" w:after="40" w:line="300" w:lineRule="auto"/>
              <w:jc w:val="both"/>
            </w:pPr>
            <w:r>
              <w:rPr>
                <w:rFonts w:ascii="Times New Roman" w:hAnsi="Times New Roman" w:cs="Times New Roman" w:eastAsia="宋体"/>
                <w:b w:val="0"/>
                <w:i w:val="0"/>
                <w:sz w:val="20"/>
              </w:rPr>
              <w:t>（1）技术指标：钢管混凝土柱横隔板下密实度探测误差 ≤ 5%；大跨度钢结构点云虚拟预拼装螺孔配准均方根误差RMSE ≤ 0.5 mm；多源传感变形融合不确定度 ≤ 1.0 mm，金刚砂地面双光检测分辨率GSD ≤ 0.30 mm/px；</w:t>
            </w:r>
          </w:p>
          <w:p>
            <w:pPr>
              <w:spacing w:before="40" w:after="40" w:line="300" w:lineRule="auto"/>
              <w:jc w:val="both"/>
            </w:pPr>
            <w:r>
              <w:rPr>
                <w:rFonts w:ascii="Times New Roman" w:hAnsi="Times New Roman" w:cs="Times New Roman" w:eastAsia="宋体"/>
                <w:b w:val="0"/>
                <w:i w:val="0"/>
                <w:sz w:val="20"/>
              </w:rPr>
              <w:t>（2）成果形式：形成《装配整体式大跨度框架结构智能建造关键技术体系研究》总研究报告1份、《深圳国际综合物流枢纽中心项目科研进展工作总结》1份，申请并获授权国家发明专利6项。</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完成情况</w:t>
            </w:r>
          </w:p>
          <w:p>
            <w:pPr>
              <w:jc w:val="center"/>
              <w:rPr>
                <w:rFonts w:hint="eastAsia"/>
                <w:color w:val="auto"/>
              </w:rPr>
            </w:pPr>
            <w:r>
              <w:rPr>
                <w:rFonts w:hint="eastAsia"/>
                <w:color w:val="auto"/>
              </w:rPr>
              <w:t>及提供的</w:t>
            </w:r>
          </w:p>
          <w:p>
            <w:pPr>
              <w:jc w:val="center"/>
              <w:rPr>
                <w:rFonts w:hint="eastAsia"/>
                <w:color w:val="auto"/>
              </w:rPr>
            </w:pPr>
            <w:r>
              <w:rPr>
                <w:rFonts w:hint="eastAsia"/>
                <w:color w:val="auto"/>
              </w:rPr>
              <w:t>技术文件</w:t>
            </w:r>
          </w:p>
          <w:p>
            <w:pPr>
              <w:jc w:val="center"/>
              <w:rPr>
                <w:rFonts w:hint="default"/>
                <w:color w:val="auto"/>
              </w:rPr>
            </w:pPr>
            <w:r>
              <w:rPr>
                <w:rFonts w:hint="eastAsia"/>
                <w:color w:val="auto"/>
              </w:rPr>
              <w:t>目    录</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300" w:lineRule="auto"/>
              <w:jc w:val="both"/>
            </w:pPr>
            <w:r>
              <w:rPr>
                <w:rFonts w:ascii="Times New Roman" w:hAnsi="Times New Roman" w:cs="Times New Roman" w:eastAsia="宋体"/>
                <w:b/>
                <w:i w:val="0"/>
                <w:sz w:val="20"/>
              </w:rPr>
              <w:t>1、合同约定研究内容完成情况：</w:t>
            </w:r>
          </w:p>
          <w:p>
            <w:pPr>
              <w:spacing w:before="40" w:after="40" w:line="300" w:lineRule="auto"/>
              <w:jc w:val="both"/>
            </w:pPr>
            <w:r>
              <w:rPr>
                <w:rFonts w:ascii="Times New Roman" w:hAnsi="Times New Roman" w:cs="Times New Roman" w:eastAsia="宋体"/>
                <w:b w:val="0"/>
                <w:i w:val="0"/>
                <w:sz w:val="20"/>
              </w:rPr>
              <w:t>已完成全部六个研究专题的理论推导、核心算法建模、算例分析及深圳国际综合物流枢纽中心项目工程应用场景验证，各项技术指标均达到计划要求（其中四孔端板配准RMSE = 0.324 mm，最大残差</w:t>
            </w:r>
            <w:r>
              <w:rPr>
                <w:rFonts w:ascii="Times New Roman" w:hAnsi="Times New Roman" w:cs="Times New Roman" w:eastAsia="宋体"/>
                <w:b w:val="0"/>
                <w:i/>
                <w:sz w:val="20"/>
              </w:rPr>
              <w:t>r</w:t>
            </w:r>
            <w:r>
              <w:rPr>
                <w:rFonts w:ascii="Times New Roman" w:hAnsi="Times New Roman" w:cs="Times New Roman" w:eastAsia="宋体"/>
                <w:b w:val="0"/>
                <w:i w:val="0"/>
                <w:sz w:val="20"/>
                <w:vertAlign w:val="subscript"/>
              </w:rPr>
              <w:t>max</w:t>
            </w:r>
            <w:r>
              <w:rPr>
                <w:rFonts w:ascii="Times New Roman" w:hAnsi="Times New Roman" w:cs="Times New Roman" w:eastAsia="宋体"/>
                <w:b w:val="0"/>
                <w:i w:val="0"/>
                <w:sz w:val="20"/>
              </w:rPr>
              <w:t xml:space="preserve"> = 0.415 mm，局部扩展不确定度</w:t>
            </w:r>
            <w:r>
              <w:rPr>
                <w:rFonts w:ascii="Times New Roman" w:hAnsi="Times New Roman" w:cs="Times New Roman" w:eastAsia="宋体"/>
                <w:b w:val="0"/>
                <w:i/>
                <w:sz w:val="20"/>
              </w:rPr>
              <w:t>U</w:t>
            </w:r>
            <w:r>
              <w:rPr>
                <w:rFonts w:ascii="Times New Roman" w:hAnsi="Times New Roman" w:cs="Times New Roman" w:eastAsia="宋体"/>
                <w:b w:val="0"/>
                <w:i w:val="0"/>
                <w:sz w:val="20"/>
              </w:rPr>
              <w:t xml:space="preserve"> = 0.707 mm，保护带判定量 1.122 mm ≤ 2.0 mm；双通道独立融合不确定度 0.706 mm，计入公共基准项后合成不确定度 0.926 mm ≤ 1.0 mm；1.0 m拍摄距离下金刚砂地面成像分辨率GSD = 0.274 mm/px ≤ 0.30 mm/px；钢管混凝土400 mm声路密实基准传播时间 98.39 μs，建立时频双分支ConvLSTM与注意力融合识别机制；单服务点到达率由 18 辆/h 调控至 14 辆/h 时平均排队等待时间由 13.5 min 降至 3.5 min）。</w:t>
            </w:r>
          </w:p>
          <w:p>
            <w:pPr>
              <w:spacing w:before="40" w:after="40" w:line="300" w:lineRule="auto"/>
              <w:jc w:val="both"/>
            </w:pPr>
            <w:r>
              <w:rPr>
                <w:rFonts w:ascii="Times New Roman" w:hAnsi="Times New Roman" w:cs="Times New Roman" w:eastAsia="宋体"/>
                <w:b/>
                <w:i w:val="0"/>
                <w:sz w:val="20"/>
              </w:rPr>
              <w:t>2、提供的技术文件及知识产权成果目录（均已归档完备）：</w:t>
            </w:r>
          </w:p>
          <w:p>
            <w:pPr>
              <w:spacing w:before="40" w:after="40" w:line="300" w:lineRule="auto"/>
              <w:jc w:val="both"/>
            </w:pPr>
            <w:r>
              <w:rPr>
                <w:rFonts w:ascii="Times New Roman" w:hAnsi="Times New Roman" w:cs="Times New Roman" w:eastAsia="宋体"/>
                <w:b w:val="0"/>
                <w:i w:val="0"/>
                <w:sz w:val="20"/>
              </w:rPr>
              <w:t>（1）《装配整体式大跨度框架结构智能建造关键技术体系研究》研究报告（1份）；</w:t>
            </w:r>
          </w:p>
          <w:p>
            <w:pPr>
              <w:spacing w:before="40" w:after="40" w:line="300" w:lineRule="auto"/>
              <w:jc w:val="both"/>
            </w:pPr>
            <w:r>
              <w:rPr>
                <w:rFonts w:ascii="Times New Roman" w:hAnsi="Times New Roman" w:cs="Times New Roman" w:eastAsia="宋体"/>
                <w:b w:val="0"/>
                <w:i w:val="0"/>
                <w:sz w:val="20"/>
              </w:rPr>
              <w:t>（2）《深圳国际综合物流枢纽中心项目科研进展工作总结》（1份）；</w:t>
            </w:r>
          </w:p>
          <w:p>
            <w:pPr>
              <w:spacing w:before="40" w:after="40" w:line="300" w:lineRule="auto"/>
              <w:jc w:val="both"/>
            </w:pPr>
            <w:r>
              <w:rPr>
                <w:rFonts w:ascii="Times New Roman" w:hAnsi="Times New Roman" w:cs="Times New Roman" w:eastAsia="宋体"/>
                <w:b w:val="0"/>
                <w:i w:val="0"/>
                <w:sz w:val="20"/>
              </w:rPr>
              <w:t>（3）立项决议文件（集团科数网〔2025〕70号）、项目申请书、联合申报合作协议及2025年度RD18研发支出辅助账汇总表与明细表；</w:t>
            </w:r>
          </w:p>
          <w:p>
            <w:pPr>
              <w:spacing w:before="40" w:after="40" w:line="300" w:lineRule="auto"/>
              <w:jc w:val="both"/>
            </w:pPr>
            <w:r>
              <w:rPr>
                <w:rFonts w:ascii="Times New Roman" w:hAnsi="Times New Roman" w:cs="Times New Roman" w:eastAsia="宋体"/>
                <w:b w:val="0"/>
                <w:i w:val="0"/>
                <w:sz w:val="20"/>
              </w:rPr>
              <w:t xml:space="preserve">（4）已获授权国家发明专利证书 </w:t>
            </w:r>
            <w:r>
              <w:rPr>
                <w:rFonts w:ascii="Times New Roman" w:hAnsi="Times New Roman" w:cs="Times New Roman" w:eastAsia="宋体"/>
                <w:b/>
                <w:i w:val="0"/>
                <w:sz w:val="20"/>
              </w:rPr>
              <w:t>6项</w:t>
            </w:r>
            <w:r>
              <w:rPr>
                <w:rFonts w:ascii="Times New Roman" w:hAnsi="Times New Roman" w:cs="Times New Roman" w:eastAsia="宋体"/>
                <w:b w:val="0"/>
                <w:i w:val="0"/>
                <w:sz w:val="20"/>
              </w:rPr>
              <w:t>：① ZL202510710807.2《基于多源环境传感数据的钢结构建筑状态评估方法和系统》；② ZL202510845138.X《基于时频域的音频信号的钢管混凝土缺陷检测方法和系统》；③ ZL202510845137.5《基于BIM的装配整体式钢结构的三维点云分割方法和系统》；④ ZL202510598192.9《一种金刚砂地面缺陷识别方法和系统》；⑤ ZL202510598190.X《一种基于传感数据的施工结构安全监测方法和系统》；⑥ ZL202510710806.8《一种施工区域的三维可视化方法和装置》。</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lang w:val="en-US" w:eastAsia="zh-CN"/>
              </w:rPr>
            </w:pPr>
            <w:r>
              <w:rPr>
                <w:rFonts w:hint="eastAsia"/>
                <w:color w:val="auto"/>
              </w:rPr>
              <w:t>承担</w:t>
            </w:r>
            <w:r>
              <w:rPr>
                <w:rFonts w:hint="eastAsia"/>
                <w:color w:val="auto"/>
                <w:lang w:val="en-US" w:eastAsia="zh-CN"/>
              </w:rPr>
              <w:t>单位</w:t>
            </w:r>
          </w:p>
          <w:p>
            <w:pPr>
              <w:jc w:val="center"/>
              <w:rPr>
                <w:rFonts w:hint="default"/>
                <w:color w:val="auto"/>
              </w:rPr>
            </w:pPr>
            <w:r>
              <w:rPr>
                <w:rFonts w:hint="eastAsia"/>
                <w:color w:val="auto"/>
              </w:rPr>
              <w:t>意见</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5" w:beforeLines="0" w:afterLines="0"/>
              <w:rPr>
                <w:rFonts w:hint="eastAsia"/>
                <w:color w:val="auto"/>
                <w:sz w:val="20"/>
              </w:rPr>
            </w:pPr>
          </w:p>
          <w:p>
            <w:pPr>
              <w:pStyle w:val="9"/>
              <w:tabs>
                <w:tab w:val="left" w:pos="1199"/>
                <w:tab w:val="left" w:pos="1800"/>
                <w:tab w:val="left" w:pos="2400"/>
              </w:tabs>
              <w:kinsoku w:val="0"/>
              <w:overflowPunct w:val="0"/>
              <w:spacing w:before="1" w:beforeLines="0" w:afterLines="0"/>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lang w:val="en-US" w:eastAsia="zh-CN"/>
              </w:rPr>
              <w:t>集团</w:t>
            </w:r>
            <w:r>
              <w:rPr>
                <w:rFonts w:hint="eastAsia"/>
                <w:color w:val="auto"/>
              </w:rPr>
              <w:t>公司</w:t>
            </w:r>
          </w:p>
          <w:p>
            <w:pPr>
              <w:jc w:val="center"/>
              <w:rPr>
                <w:rFonts w:hint="eastAsia"/>
                <w:color w:val="auto"/>
              </w:rPr>
            </w:pPr>
            <w:r>
              <w:rPr>
                <w:rFonts w:hint="eastAsia"/>
                <w:color w:val="auto"/>
              </w:rPr>
              <w:t>科技部</w:t>
            </w:r>
          </w:p>
          <w:p>
            <w:pPr>
              <w:jc w:val="center"/>
              <w:rPr>
                <w:rFonts w:hint="default"/>
                <w:color w:val="auto"/>
              </w:rPr>
            </w:pPr>
            <w:r>
              <w:rPr>
                <w:rFonts w:hint="eastAsia"/>
                <w:color w:val="auto"/>
              </w:rPr>
              <w:t>意见</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3" w:beforeLines="0" w:afterLines="0"/>
              <w:rPr>
                <w:rFonts w:hint="eastAsia"/>
                <w:color w:val="auto"/>
                <w:sz w:val="20"/>
              </w:rPr>
            </w:pPr>
          </w:p>
          <w:p>
            <w:pPr>
              <w:pStyle w:val="9"/>
              <w:tabs>
                <w:tab w:val="left" w:pos="1199"/>
                <w:tab w:val="left" w:pos="1800"/>
                <w:tab w:val="left" w:pos="2400"/>
              </w:tabs>
              <w:kinsoku w:val="0"/>
              <w:overflowPunct w:val="0"/>
              <w:spacing w:beforeLines="0" w:afterLines="0"/>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lang w:val="en-US" w:eastAsia="zh-CN"/>
              </w:rPr>
              <w:t>集团</w:t>
            </w:r>
            <w:r>
              <w:rPr>
                <w:rFonts w:hint="eastAsia"/>
                <w:color w:val="auto"/>
              </w:rPr>
              <w:t>公司</w:t>
            </w:r>
          </w:p>
          <w:p>
            <w:pPr>
              <w:jc w:val="center"/>
              <w:rPr>
                <w:rFonts w:hint="eastAsia"/>
                <w:color w:val="auto"/>
              </w:rPr>
            </w:pPr>
            <w:r>
              <w:rPr>
                <w:rFonts w:hint="eastAsia"/>
                <w:color w:val="auto"/>
              </w:rPr>
              <w:t>财务部门</w:t>
            </w:r>
          </w:p>
          <w:p>
            <w:pPr>
              <w:jc w:val="center"/>
              <w:rPr>
                <w:rFonts w:hint="default"/>
                <w:color w:val="auto"/>
              </w:rPr>
            </w:pPr>
            <w:r>
              <w:rPr>
                <w:rFonts w:hint="eastAsia"/>
                <w:color w:val="auto"/>
              </w:rPr>
              <w:t>意见</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8" w:beforeLines="0" w:afterLines="0"/>
              <w:rPr>
                <w:rFonts w:hint="eastAsia"/>
                <w:color w:val="auto"/>
                <w:sz w:val="20"/>
              </w:rPr>
            </w:pPr>
          </w:p>
          <w:p>
            <w:pPr>
              <w:pStyle w:val="9"/>
              <w:tabs>
                <w:tab w:val="left" w:pos="1199"/>
                <w:tab w:val="left" w:pos="1800"/>
                <w:tab w:val="left" w:pos="2400"/>
              </w:tabs>
              <w:kinsoku w:val="0"/>
              <w:overflowPunct w:val="0"/>
              <w:spacing w:beforeLines="0" w:afterLines="0"/>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领导审批</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1" w:beforeLines="0" w:afterLines="0"/>
              <w:rPr>
                <w:rFonts w:hint="eastAsia"/>
                <w:color w:val="auto"/>
                <w:sz w:val="20"/>
              </w:rPr>
            </w:pPr>
          </w:p>
          <w:p>
            <w:pPr>
              <w:pStyle w:val="9"/>
              <w:tabs>
                <w:tab w:val="left" w:pos="1199"/>
                <w:tab w:val="left" w:pos="1800"/>
                <w:tab w:val="left" w:pos="2400"/>
              </w:tabs>
              <w:kinsoku w:val="0"/>
              <w:overflowPunct w:val="0"/>
              <w:spacing w:beforeLines="0" w:afterLines="0"/>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bl>
    <w:p>
      <w:pPr>
        <w:spacing w:beforeLines="0" w:afterLines="0"/>
        <w:rPr>
          <w:rFonts w:hint="default"/>
          <w:color w:val="auto"/>
          <w:sz w:val="24"/>
        </w:rPr>
        <w:sectPr>
          <w:type w:val="continuous"/>
          <w:pgSz w:w="11910" w:h="16840"/>
          <w:pgMar w:top="1417" w:right="1417" w:bottom="1417" w:left="1531" w:header="720" w:footer="720" w:gutter="0"/>
          <w:lnNumType w:countBy="0" w:distance="360"/>
          <w:cols w:space="720" w:num="1"/>
          <w:rtlGutter w:val="0"/>
          <w:docGrid w:linePitch="0" w:charSpace="0"/>
        </w:sectPr>
      </w:pPr>
    </w:p>
    <w:p>
      <w:pPr>
        <w:pStyle w:val="5"/>
        <w:tabs>
          <w:tab w:val="left" w:pos="1020"/>
        </w:tabs>
        <w:kinsoku w:val="0"/>
        <w:overflowPunct w:val="0"/>
        <w:spacing w:before="1" w:beforeLines="0" w:afterLines="0"/>
        <w:ind w:left="120"/>
        <w:rPr>
          <w:rFonts w:hint="eastAsia" w:ascii="黑体" w:hAnsi="黑体" w:eastAsia="黑体"/>
          <w:color w:val="auto"/>
          <w:sz w:val="24"/>
        </w:rPr>
      </w:pPr>
      <w:r>
        <w:rPr>
          <w:rFonts w:hint="eastAsia" w:ascii="黑体" w:hAnsi="黑体" w:eastAsia="黑体"/>
          <w:color w:val="auto"/>
          <w:sz w:val="24"/>
        </w:rPr>
        <w:t>附件</w:t>
      </w:r>
      <w:r>
        <w:rPr>
          <w:rFonts w:hint="eastAsia" w:ascii="黑体" w:hAnsi="黑体" w:eastAsia="黑体"/>
          <w:color w:val="auto"/>
          <w:spacing w:val="-61"/>
          <w:sz w:val="24"/>
          <w:lang w:val="en-US" w:eastAsia="zh-CN"/>
        </w:rPr>
        <w:t>11</w:t>
      </w:r>
      <w:r>
        <w:rPr>
          <w:rFonts w:hint="eastAsia" w:ascii="黑体" w:hAnsi="黑体" w:eastAsia="黑体"/>
          <w:color w:val="auto"/>
          <w:sz w:val="24"/>
        </w:rPr>
        <w:tab/>
      </w:r>
      <w:r>
        <w:rPr>
          <w:rFonts w:hint="eastAsia" w:ascii="黑体" w:hAnsi="黑体" w:eastAsia="黑体"/>
          <w:color w:val="auto"/>
          <w:sz w:val="24"/>
        </w:rPr>
        <w:t>（一式三份）</w:t>
      </w: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Lines="0" w:afterLines="0"/>
        <w:rPr>
          <w:rFonts w:hint="eastAsia" w:ascii="黑体" w:hAnsi="黑体" w:eastAsia="黑体"/>
          <w:color w:val="auto"/>
          <w:sz w:val="24"/>
        </w:rPr>
      </w:pPr>
    </w:p>
    <w:p>
      <w:pPr>
        <w:pStyle w:val="5"/>
        <w:kinsoku w:val="0"/>
        <w:overflowPunct w:val="0"/>
        <w:spacing w:before="2" w:beforeLines="0" w:afterLines="0"/>
        <w:rPr>
          <w:rFonts w:hint="eastAsia" w:ascii="黑体" w:hAnsi="黑体" w:eastAsia="黑体"/>
          <w:color w:val="auto"/>
          <w:sz w:val="22"/>
        </w:rPr>
      </w:pPr>
    </w:p>
    <w:p>
      <w:pPr>
        <w:jc w:val="center"/>
        <w:rPr>
          <w:rFonts w:hint="eastAsia"/>
          <w:b/>
          <w:bCs/>
          <w:color w:val="auto"/>
          <w:sz w:val="44"/>
          <w:szCs w:val="44"/>
        </w:rPr>
      </w:pPr>
      <w:r>
        <w:rPr>
          <w:rFonts w:hint="eastAsia"/>
          <w:b/>
          <w:bCs/>
          <w:color w:val="auto"/>
          <w:sz w:val="44"/>
          <w:szCs w:val="44"/>
        </w:rPr>
        <w:t>中铁</w:t>
      </w:r>
      <w:r>
        <w:rPr>
          <w:rFonts w:hint="eastAsia"/>
          <w:b/>
          <w:bCs/>
          <w:color w:val="auto"/>
          <w:sz w:val="44"/>
          <w:szCs w:val="44"/>
          <w:lang w:val="en-US" w:eastAsia="zh-CN"/>
        </w:rPr>
        <w:t>二十五局集团</w:t>
      </w:r>
      <w:r>
        <w:rPr>
          <w:rFonts w:hint="eastAsia"/>
          <w:b/>
          <w:bCs/>
          <w:color w:val="auto"/>
          <w:sz w:val="44"/>
          <w:szCs w:val="44"/>
        </w:rPr>
        <w:t>有限公司</w:t>
      </w:r>
    </w:p>
    <w:p>
      <w:pPr>
        <w:jc w:val="center"/>
        <w:rPr>
          <w:rFonts w:hint="eastAsia"/>
          <w:b/>
          <w:bCs/>
          <w:color w:val="auto"/>
          <w:sz w:val="44"/>
          <w:szCs w:val="44"/>
        </w:rPr>
      </w:pPr>
      <w:r>
        <w:rPr>
          <w:rFonts w:hint="eastAsia"/>
          <w:b/>
          <w:bCs/>
          <w:color w:val="auto"/>
          <w:sz w:val="44"/>
          <w:szCs w:val="44"/>
        </w:rPr>
        <w:t>科研计划</w:t>
      </w:r>
      <w:r>
        <w:rPr>
          <w:rFonts w:hint="eastAsia"/>
          <w:b/>
          <w:bCs/>
          <w:color w:val="auto"/>
          <w:sz w:val="44"/>
          <w:szCs w:val="44"/>
          <w:lang w:val="en-US" w:eastAsia="zh-CN"/>
        </w:rPr>
        <w:t>项目/</w:t>
      </w:r>
      <w:r>
        <w:rPr>
          <w:rFonts w:hint="eastAsia"/>
          <w:b/>
          <w:bCs/>
          <w:color w:val="auto"/>
          <w:sz w:val="44"/>
          <w:szCs w:val="44"/>
        </w:rPr>
        <w:t>课题合同结题验收表</w:t>
      </w:r>
    </w:p>
    <w:p>
      <w:pPr>
        <w:pStyle w:val="5"/>
        <w:kinsoku w:val="0"/>
        <w:overflowPunct w:val="0"/>
        <w:spacing w:beforeLines="0" w:afterLines="0"/>
        <w:rPr>
          <w:rFonts w:hint="eastAsia"/>
          <w:b/>
          <w:color w:val="auto"/>
          <w:sz w:val="44"/>
        </w:rPr>
      </w:pPr>
    </w:p>
    <w:p>
      <w:pPr>
        <w:pStyle w:val="5"/>
        <w:kinsoku w:val="0"/>
        <w:overflowPunct w:val="0"/>
        <w:spacing w:beforeLines="0" w:afterLines="0"/>
        <w:rPr>
          <w:rFonts w:hint="eastAsia"/>
          <w:b/>
          <w:color w:val="auto"/>
          <w:sz w:val="44"/>
        </w:rPr>
      </w:pPr>
    </w:p>
    <w:p>
      <w:pPr>
        <w:pStyle w:val="4"/>
        <w:tabs>
          <w:tab w:val="left" w:pos="6649"/>
        </w:tabs>
        <w:kinsoku w:val="0"/>
        <w:overflowPunct w:val="0"/>
        <w:spacing w:before="80" w:beforeLines="0" w:afterLines="0" w:after="80"/>
        <w:ind w:left="0" w:leftChars="0" w:firstLine="1120" w:firstLineChars="400"/>
        <w:rPr>
          <w:rFonts w:hint="default" w:ascii="宋体" w:hAnsi="宋体" w:eastAsia="宋体"/>
          <w:color w:val="auto"/>
          <w:sz w:val="28"/>
          <w:szCs w:val="22"/>
          <w:lang w:val="en-US" w:eastAsia="zh-CN"/>
        </w:rPr>
      </w:pPr>
      <w:r>
        <w:rPr>
          <w:rFonts w:ascii="Times New Roman" w:hAnsi="Times New Roman" w:cs="Times New Roman" w:eastAsia="宋体"/>
          <w:b/>
          <w:i w:val="0"/>
          <w:sz w:val="24"/>
        </w:rPr>
        <w:t>项目/课题名称：</w:t>
      </w:r>
      <w:r>
        <w:rPr>
          <w:rFonts w:ascii="Times New Roman" w:hAnsi="Times New Roman" w:cs="Times New Roman" w:eastAsia="宋体"/>
          <w:b/>
          <w:i w:val="0"/>
          <w:sz w:val="24"/>
          <w:u w:val="single"/>
        </w:rPr>
        <w:t xml:space="preserve"> 装配整体式大跨度框架结构智能建造关键技术体系研究 </w:t>
      </w:r>
    </w:p>
    <w:p>
      <w:pPr>
        <w:pStyle w:val="5"/>
        <w:tabs>
          <w:tab w:val="left" w:pos="6649"/>
        </w:tabs>
        <w:kinsoku w:val="0"/>
        <w:overflowPunct w:val="0"/>
        <w:spacing w:before="80" w:beforeLines="0" w:afterLines="0" w:after="80"/>
        <w:ind w:firstLine="1120" w:firstLineChars="400"/>
        <w:rPr>
          <w:rFonts w:hint="default" w:ascii="宋体" w:hAnsi="宋体" w:eastAsia="宋体"/>
          <w:color w:val="auto"/>
          <w:sz w:val="28"/>
          <w:szCs w:val="22"/>
          <w:lang w:val="en-US" w:eastAsia="zh-CN"/>
        </w:rPr>
      </w:pPr>
      <w:r>
        <w:rPr>
          <w:rFonts w:ascii="Times New Roman" w:hAnsi="Times New Roman" w:cs="Times New Roman" w:eastAsia="宋体"/>
          <w:b/>
          <w:i w:val="0"/>
          <w:sz w:val="24"/>
        </w:rPr>
        <w:t>合同编号：</w:t>
      </w:r>
      <w:r>
        <w:rPr>
          <w:rFonts w:ascii="Times New Roman" w:hAnsi="Times New Roman" w:cs="Times New Roman" w:eastAsia="宋体"/>
          <w:b/>
          <w:i w:val="0"/>
          <w:sz w:val="24"/>
          <w:u w:val="single"/>
        </w:rPr>
        <w:t xml:space="preserve">                    2025-A002                    </w:t>
      </w:r>
    </w:p>
    <w:p>
      <w:pPr>
        <w:pStyle w:val="5"/>
        <w:tabs>
          <w:tab w:val="left" w:pos="6649"/>
        </w:tabs>
        <w:kinsoku w:val="0"/>
        <w:overflowPunct w:val="0"/>
        <w:spacing w:before="80" w:beforeLines="0" w:afterLines="0" w:after="80"/>
        <w:ind w:firstLine="1120" w:firstLineChars="400"/>
        <w:rPr>
          <w:rFonts w:hint="default" w:ascii="宋体" w:hAnsi="宋体" w:eastAsia="宋体"/>
          <w:color w:val="auto"/>
          <w:sz w:val="28"/>
          <w:szCs w:val="22"/>
          <w:lang w:val="en-US" w:eastAsia="zh-CN"/>
        </w:rPr>
      </w:pPr>
      <w:r>
        <w:rPr>
          <w:rFonts w:ascii="Times New Roman" w:hAnsi="Times New Roman" w:cs="Times New Roman" w:eastAsia="宋体"/>
          <w:b/>
          <w:i w:val="0"/>
          <w:sz w:val="24"/>
        </w:rPr>
        <w:t>承担单位：</w:t>
      </w:r>
      <w:r>
        <w:rPr>
          <w:rFonts w:ascii="Times New Roman" w:hAnsi="Times New Roman" w:cs="Times New Roman" w:eastAsia="宋体"/>
          <w:b/>
          <w:i w:val="0"/>
          <w:sz w:val="24"/>
          <w:u w:val="single"/>
        </w:rPr>
        <w:t>中铁二十五局集团有限公司/中铁二十五局集团第三工程有限公司</w:t>
      </w:r>
    </w:p>
    <w:p>
      <w:pPr>
        <w:pStyle w:val="5"/>
        <w:tabs>
          <w:tab w:val="left" w:pos="6649"/>
        </w:tabs>
        <w:kinsoku w:val="0"/>
        <w:overflowPunct w:val="0"/>
        <w:spacing w:before="80" w:beforeLines="0" w:afterLines="0" w:after="80"/>
        <w:ind w:firstLine="1120" w:firstLineChars="400"/>
        <w:rPr>
          <w:rFonts w:hint="default" w:ascii="宋体" w:hAnsi="宋体" w:eastAsia="宋体"/>
          <w:color w:val="auto"/>
          <w:sz w:val="28"/>
          <w:szCs w:val="22"/>
          <w:lang w:val="en-US" w:eastAsia="zh-CN"/>
        </w:rPr>
      </w:pPr>
      <w:r>
        <w:rPr>
          <w:rFonts w:ascii="Times New Roman" w:hAnsi="Times New Roman" w:cs="Times New Roman" w:eastAsia="宋体"/>
          <w:b/>
          <w:i w:val="0"/>
          <w:sz w:val="24"/>
        </w:rPr>
        <w:t>项目/课题负责人：</w:t>
      </w:r>
      <w:r>
        <w:rPr>
          <w:rFonts w:ascii="Times New Roman" w:hAnsi="Times New Roman" w:cs="Times New Roman" w:eastAsia="宋体"/>
          <w:b/>
          <w:i w:val="0"/>
          <w:sz w:val="24"/>
          <w:u w:val="single"/>
        </w:rPr>
        <w:t xml:space="preserve">                    杨  磊                    </w:t>
      </w:r>
    </w:p>
    <w:p>
      <w:pPr>
        <w:pStyle w:val="5"/>
        <w:tabs>
          <w:tab w:val="left" w:pos="3922"/>
          <w:tab w:val="left" w:pos="4484"/>
          <w:tab w:val="left" w:pos="5602"/>
          <w:tab w:val="left" w:pos="6162"/>
        </w:tabs>
        <w:kinsoku w:val="0"/>
        <w:overflowPunct w:val="0"/>
        <w:spacing w:before="80" w:beforeLines="0" w:afterLines="0" w:after="80"/>
        <w:ind w:firstLine="1120" w:firstLineChars="400"/>
        <w:rPr>
          <w:rFonts w:hint="eastAsia"/>
          <w:color w:val="auto"/>
          <w:sz w:val="28"/>
        </w:rPr>
      </w:pPr>
      <w:r>
        <w:rPr>
          <w:rFonts w:ascii="Times New Roman" w:hAnsi="Times New Roman" w:cs="Times New Roman" w:eastAsia="宋体"/>
          <w:b/>
          <w:i w:val="0"/>
          <w:sz w:val="24"/>
        </w:rPr>
        <w:t>起止年限：</w:t>
      </w:r>
      <w:r>
        <w:rPr>
          <w:rFonts w:ascii="Times New Roman" w:hAnsi="Times New Roman" w:cs="Times New Roman" w:eastAsia="宋体"/>
          <w:b/>
          <w:i w:val="0"/>
          <w:sz w:val="24"/>
          <w:u w:val="single"/>
        </w:rPr>
        <w:t xml:space="preserve">  2024  </w:t>
      </w:r>
      <w:r>
        <w:rPr>
          <w:rFonts w:ascii="Times New Roman" w:hAnsi="Times New Roman" w:cs="Times New Roman" w:eastAsia="宋体"/>
          <w:b/>
          <w:i w:val="0"/>
          <w:sz w:val="24"/>
        </w:rPr>
        <w:t>年</w:t>
      </w:r>
      <w:r>
        <w:rPr>
          <w:rFonts w:ascii="Times New Roman" w:hAnsi="Times New Roman" w:cs="Times New Roman" w:eastAsia="宋体"/>
          <w:b/>
          <w:i w:val="0"/>
          <w:sz w:val="24"/>
          <w:u w:val="single"/>
        </w:rPr>
        <w:t xml:space="preserve"> 12 </w:t>
      </w:r>
      <w:r>
        <w:rPr>
          <w:rFonts w:ascii="Times New Roman" w:hAnsi="Times New Roman" w:cs="Times New Roman" w:eastAsia="宋体"/>
          <w:b/>
          <w:i w:val="0"/>
          <w:sz w:val="24"/>
        </w:rPr>
        <w:t>月至</w:t>
      </w:r>
      <w:r>
        <w:rPr>
          <w:rFonts w:ascii="Times New Roman" w:hAnsi="Times New Roman" w:cs="Times New Roman" w:eastAsia="宋体"/>
          <w:b/>
          <w:i w:val="0"/>
          <w:sz w:val="24"/>
          <w:u w:val="single"/>
        </w:rPr>
        <w:t xml:space="preserve">  2026  </w:t>
      </w:r>
      <w:r>
        <w:rPr>
          <w:rFonts w:ascii="Times New Roman" w:hAnsi="Times New Roman" w:cs="Times New Roman" w:eastAsia="宋体"/>
          <w:b/>
          <w:i w:val="0"/>
          <w:sz w:val="24"/>
        </w:rPr>
        <w:t>年</w:t>
      </w:r>
      <w:r>
        <w:rPr>
          <w:rFonts w:ascii="Times New Roman" w:hAnsi="Times New Roman" w:cs="Times New Roman" w:eastAsia="宋体"/>
          <w:b/>
          <w:i w:val="0"/>
          <w:sz w:val="24"/>
          <w:u w:val="single"/>
        </w:rPr>
        <w:t xml:space="preserve"> 12 </w:t>
      </w:r>
      <w:r>
        <w:rPr>
          <w:rFonts w:ascii="Times New Roman" w:hAnsi="Times New Roman" w:cs="Times New Roman" w:eastAsia="宋体"/>
          <w:b/>
          <w:i w:val="0"/>
          <w:sz w:val="24"/>
        </w:rPr>
        <w:t>月</w:t>
      </w:r>
    </w:p>
    <w:p>
      <w:pPr>
        <w:pStyle w:val="5"/>
        <w:kinsoku w:val="0"/>
        <w:overflowPunct w:val="0"/>
        <w:spacing w:beforeLines="0" w:afterLines="0"/>
        <w:rPr>
          <w:rFonts w:hint="eastAsia"/>
          <w:color w:val="auto"/>
          <w:sz w:val="30"/>
        </w:rPr>
      </w:pPr>
    </w:p>
    <w:p>
      <w:pPr>
        <w:pStyle w:val="5"/>
        <w:kinsoku w:val="0"/>
        <w:overflowPunct w:val="0"/>
        <w:spacing w:beforeLines="0" w:afterLines="0"/>
        <w:rPr>
          <w:rFonts w:hint="eastAsia"/>
          <w:color w:val="auto"/>
          <w:sz w:val="30"/>
        </w:rPr>
      </w:pPr>
    </w:p>
    <w:p>
      <w:pPr>
        <w:pStyle w:val="5"/>
        <w:kinsoku w:val="0"/>
        <w:overflowPunct w:val="0"/>
        <w:spacing w:beforeLines="0" w:afterLines="0"/>
        <w:rPr>
          <w:rFonts w:hint="eastAsia"/>
          <w:color w:val="auto"/>
          <w:sz w:val="30"/>
        </w:rPr>
      </w:pPr>
    </w:p>
    <w:p>
      <w:pPr>
        <w:pStyle w:val="5"/>
        <w:kinsoku w:val="0"/>
        <w:overflowPunct w:val="0"/>
        <w:spacing w:beforeLines="0" w:afterLines="0"/>
        <w:rPr>
          <w:rFonts w:hint="eastAsia"/>
          <w:color w:val="auto"/>
          <w:sz w:val="30"/>
        </w:rPr>
      </w:pPr>
    </w:p>
    <w:p>
      <w:pPr>
        <w:pStyle w:val="5"/>
        <w:kinsoku w:val="0"/>
        <w:overflowPunct w:val="0"/>
        <w:spacing w:beforeLines="0" w:afterLines="0"/>
        <w:jc w:val="center"/>
        <w:rPr>
          <w:rFonts w:hint="eastAsia"/>
          <w:color w:val="auto"/>
          <w:sz w:val="28"/>
        </w:rPr>
      </w:pPr>
      <w:r>
        <w:rPr>
          <w:rFonts w:hint="eastAsia"/>
          <w:color w:val="auto"/>
          <w:sz w:val="28"/>
        </w:rPr>
        <w:t>中铁</w:t>
      </w:r>
      <w:r>
        <w:rPr>
          <w:rFonts w:hint="eastAsia"/>
          <w:color w:val="auto"/>
          <w:sz w:val="28"/>
          <w:lang w:val="en-US" w:eastAsia="zh-CN"/>
        </w:rPr>
        <w:t>二十五局集团</w:t>
      </w:r>
      <w:r>
        <w:rPr>
          <w:rFonts w:hint="eastAsia"/>
          <w:color w:val="auto"/>
          <w:sz w:val="28"/>
        </w:rPr>
        <w:t>有限公司制</w:t>
      </w:r>
    </w:p>
    <w:p>
      <w:pPr>
        <w:pStyle w:val="5"/>
        <w:kinsoku w:val="0"/>
        <w:overflowPunct w:val="0"/>
        <w:spacing w:beforeLines="0" w:afterLines="0"/>
        <w:ind w:left="3238"/>
        <w:rPr>
          <w:rFonts w:hint="eastAsia"/>
          <w:color w:val="auto"/>
          <w:sz w:val="28"/>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7" w:beforeLines="0" w:afterLines="0"/>
        <w:rPr>
          <w:rFonts w:hint="eastAsia"/>
          <w:color w:val="auto"/>
          <w:sz w:val="27"/>
        </w:rPr>
      </w:pPr>
    </w:p>
    <w:p>
      <w:pPr>
        <w:jc w:val="center"/>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rPr>
        <w:t>填写说</w:t>
      </w:r>
      <w:r>
        <w:rPr>
          <w:rFonts w:hint="eastAsia" w:ascii="黑体" w:hAnsi="黑体" w:eastAsia="黑体" w:cs="黑体"/>
          <w:color w:val="auto"/>
          <w:sz w:val="32"/>
          <w:szCs w:val="32"/>
          <w:lang w:val="en-US" w:eastAsia="zh-CN"/>
        </w:rPr>
        <w:t>明</w:t>
      </w:r>
    </w:p>
    <w:p>
      <w:pPr>
        <w:pStyle w:val="5"/>
        <w:kinsoku w:val="0"/>
        <w:overflowPunct w:val="0"/>
        <w:spacing w:before="193" w:beforeLines="0" w:afterLines="0"/>
        <w:ind w:left="120" w:firstLine="480" w:firstLineChars="200"/>
        <w:rPr>
          <w:rFonts w:hint="eastAsia"/>
          <w:color w:val="auto"/>
          <w:sz w:val="24"/>
        </w:rPr>
      </w:pPr>
      <w:r>
        <w:rPr>
          <w:rFonts w:hint="eastAsia"/>
          <w:color w:val="auto"/>
          <w:sz w:val="24"/>
        </w:rPr>
        <w:t>1、本表一式三份，</w:t>
      </w:r>
      <w:r>
        <w:rPr>
          <w:rFonts w:hint="eastAsia"/>
          <w:color w:val="auto"/>
          <w:sz w:val="24"/>
          <w:lang w:val="en-US" w:eastAsia="zh-CN"/>
        </w:rPr>
        <w:t>集团</w:t>
      </w:r>
      <w:r>
        <w:rPr>
          <w:rFonts w:hint="eastAsia"/>
          <w:color w:val="auto"/>
          <w:sz w:val="24"/>
        </w:rPr>
        <w:t>公司二份、课题承担单位一份。</w:t>
      </w:r>
    </w:p>
    <w:p>
      <w:pPr>
        <w:pStyle w:val="5"/>
        <w:kinsoku w:val="0"/>
        <w:overflowPunct w:val="0"/>
        <w:spacing w:before="154" w:beforeLines="0" w:afterLines="0"/>
        <w:ind w:left="120" w:firstLine="480" w:firstLineChars="200"/>
        <w:rPr>
          <w:rFonts w:hint="eastAsia"/>
          <w:color w:val="auto"/>
          <w:sz w:val="24"/>
        </w:rPr>
      </w:pPr>
      <w:r>
        <w:rPr>
          <w:rFonts w:hint="eastAsia"/>
          <w:color w:val="auto"/>
          <w:sz w:val="24"/>
        </w:rPr>
        <w:t>2、验收表用</w:t>
      </w:r>
      <w:r>
        <w:rPr>
          <w:rFonts w:hint="eastAsia"/>
          <w:color w:val="auto"/>
          <w:spacing w:val="-61"/>
          <w:sz w:val="24"/>
        </w:rPr>
        <w:t xml:space="preserve"> </w:t>
      </w:r>
      <w:r>
        <w:rPr>
          <w:rFonts w:hint="eastAsia"/>
          <w:color w:val="auto"/>
          <w:sz w:val="24"/>
        </w:rPr>
        <w:t>A4</w:t>
      </w:r>
      <w:r>
        <w:rPr>
          <w:rFonts w:hint="eastAsia"/>
          <w:color w:val="auto"/>
          <w:spacing w:val="-60"/>
          <w:sz w:val="24"/>
        </w:rPr>
        <w:t xml:space="preserve"> </w:t>
      </w:r>
      <w:r>
        <w:rPr>
          <w:rFonts w:hint="eastAsia"/>
          <w:color w:val="auto"/>
          <w:sz w:val="24"/>
        </w:rPr>
        <w:t>纸打印，宋体小四号字体填报。</w:t>
      </w:r>
    </w:p>
    <w:p>
      <w:pPr>
        <w:pStyle w:val="5"/>
        <w:kinsoku w:val="0"/>
        <w:overflowPunct w:val="0"/>
        <w:spacing w:before="154" w:beforeLines="0" w:afterLines="0"/>
        <w:ind w:left="120" w:firstLine="480" w:firstLineChars="200"/>
        <w:rPr>
          <w:rFonts w:hint="eastAsia"/>
          <w:color w:val="auto"/>
          <w:sz w:val="24"/>
        </w:rPr>
      </w:pPr>
      <w:r>
        <w:rPr>
          <w:rFonts w:hint="eastAsia"/>
          <w:color w:val="auto"/>
          <w:sz w:val="24"/>
        </w:rPr>
        <w:t>3、表“课题自评价报告”主要内容提示：</w:t>
      </w:r>
    </w:p>
    <w:p>
      <w:pPr>
        <w:pStyle w:val="5"/>
        <w:kinsoku w:val="0"/>
        <w:overflowPunct w:val="0"/>
        <w:spacing w:before="154" w:beforeLines="0" w:afterLines="0"/>
        <w:ind w:left="360"/>
        <w:rPr>
          <w:rFonts w:hint="eastAsia"/>
          <w:color w:val="auto"/>
          <w:sz w:val="24"/>
        </w:rPr>
      </w:pPr>
      <w:r>
        <w:rPr>
          <w:rFonts w:hint="eastAsia"/>
          <w:color w:val="auto"/>
          <w:sz w:val="24"/>
        </w:rPr>
        <w:t>（1）课题主要研究任务、考核目标及主要技术经济指标；</w:t>
      </w:r>
    </w:p>
    <w:p>
      <w:pPr>
        <w:pStyle w:val="5"/>
        <w:kinsoku w:val="0"/>
        <w:overflowPunct w:val="0"/>
        <w:spacing w:before="154" w:beforeLines="0" w:afterLines="0" w:line="357" w:lineRule="auto"/>
        <w:ind w:left="120" w:right="237" w:firstLine="239"/>
        <w:jc w:val="both"/>
        <w:rPr>
          <w:rFonts w:hint="eastAsia"/>
          <w:color w:val="auto"/>
          <w:sz w:val="24"/>
        </w:rPr>
      </w:pPr>
      <w:r>
        <w:rPr>
          <w:rFonts w:hint="eastAsia"/>
          <w:color w:val="auto"/>
          <w:sz w:val="24"/>
        </w:rPr>
        <w:t>（2</w:t>
      </w:r>
      <w:r>
        <w:rPr>
          <w:rFonts w:hint="eastAsia"/>
          <w:color w:val="auto"/>
          <w:spacing w:val="-15"/>
          <w:sz w:val="24"/>
        </w:rPr>
        <w:t>）</w:t>
      </w:r>
      <w:r>
        <w:rPr>
          <w:rFonts w:hint="eastAsia"/>
          <w:color w:val="auto"/>
          <w:sz w:val="24"/>
        </w:rPr>
        <w:t>课题执行情况评</w:t>
      </w:r>
      <w:r>
        <w:rPr>
          <w:rFonts w:hint="eastAsia"/>
          <w:color w:val="auto"/>
          <w:spacing w:val="-15"/>
          <w:sz w:val="24"/>
        </w:rPr>
        <w:t>价</w:t>
      </w:r>
      <w:r>
        <w:rPr>
          <w:rFonts w:hint="eastAsia"/>
          <w:color w:val="auto"/>
          <w:sz w:val="24"/>
        </w:rPr>
        <w:t>（包括目标</w:t>
      </w:r>
      <w:r>
        <w:rPr>
          <w:rFonts w:hint="eastAsia"/>
          <w:color w:val="auto"/>
          <w:spacing w:val="-15"/>
          <w:sz w:val="24"/>
        </w:rPr>
        <w:t>、</w:t>
      </w:r>
      <w:r>
        <w:rPr>
          <w:rFonts w:hint="eastAsia"/>
          <w:color w:val="auto"/>
          <w:sz w:val="24"/>
        </w:rPr>
        <w:t>任务完成情况</w:t>
      </w:r>
      <w:r>
        <w:rPr>
          <w:rFonts w:hint="eastAsia"/>
          <w:color w:val="auto"/>
          <w:spacing w:val="-15"/>
          <w:sz w:val="24"/>
        </w:rPr>
        <w:t>、</w:t>
      </w:r>
      <w:r>
        <w:rPr>
          <w:rFonts w:hint="eastAsia"/>
          <w:color w:val="auto"/>
          <w:sz w:val="24"/>
        </w:rPr>
        <w:t>解决的关键技术</w:t>
      </w:r>
      <w:r>
        <w:rPr>
          <w:rFonts w:hint="eastAsia"/>
          <w:color w:val="auto"/>
          <w:spacing w:val="-15"/>
          <w:sz w:val="24"/>
        </w:rPr>
        <w:t>、</w:t>
      </w:r>
      <w:r>
        <w:rPr>
          <w:rFonts w:hint="eastAsia"/>
          <w:color w:val="auto"/>
          <w:sz w:val="24"/>
        </w:rPr>
        <w:t>取得的重</w:t>
      </w:r>
      <w:r>
        <w:rPr>
          <w:rFonts w:hint="eastAsia"/>
          <w:color w:val="auto"/>
          <w:spacing w:val="2"/>
          <w:sz w:val="24"/>
        </w:rPr>
        <w:t>大成</w:t>
      </w:r>
      <w:r>
        <w:rPr>
          <w:rFonts w:hint="eastAsia"/>
          <w:color w:val="auto"/>
          <w:sz w:val="24"/>
        </w:rPr>
        <w:t>果</w:t>
      </w:r>
      <w:r>
        <w:rPr>
          <w:rFonts w:hint="eastAsia"/>
          <w:color w:val="auto"/>
          <w:spacing w:val="2"/>
          <w:sz w:val="24"/>
        </w:rPr>
        <w:t>、专</w:t>
      </w:r>
      <w:r>
        <w:rPr>
          <w:rFonts w:hint="eastAsia"/>
          <w:color w:val="auto"/>
          <w:sz w:val="24"/>
        </w:rPr>
        <w:t>利</w:t>
      </w:r>
      <w:r>
        <w:rPr>
          <w:rFonts w:hint="eastAsia"/>
          <w:color w:val="auto"/>
          <w:spacing w:val="2"/>
          <w:sz w:val="24"/>
        </w:rPr>
        <w:t>情</w:t>
      </w:r>
      <w:r>
        <w:rPr>
          <w:rFonts w:hint="eastAsia"/>
          <w:color w:val="auto"/>
          <w:sz w:val="24"/>
        </w:rPr>
        <w:t>况</w:t>
      </w:r>
      <w:r>
        <w:rPr>
          <w:rFonts w:hint="eastAsia"/>
          <w:color w:val="auto"/>
          <w:spacing w:val="2"/>
          <w:sz w:val="24"/>
        </w:rPr>
        <w:t>、</w:t>
      </w:r>
      <w:r>
        <w:rPr>
          <w:rFonts w:hint="eastAsia"/>
          <w:color w:val="auto"/>
          <w:sz w:val="24"/>
        </w:rPr>
        <w:t>整</w:t>
      </w:r>
      <w:r>
        <w:rPr>
          <w:rFonts w:hint="eastAsia"/>
          <w:color w:val="auto"/>
          <w:spacing w:val="2"/>
          <w:sz w:val="24"/>
        </w:rPr>
        <w:t>体水</w:t>
      </w:r>
      <w:r>
        <w:rPr>
          <w:rFonts w:hint="eastAsia"/>
          <w:color w:val="auto"/>
          <w:sz w:val="24"/>
        </w:rPr>
        <w:t>平</w:t>
      </w:r>
      <w:r>
        <w:rPr>
          <w:rFonts w:hint="eastAsia"/>
          <w:color w:val="auto"/>
          <w:spacing w:val="2"/>
          <w:sz w:val="24"/>
        </w:rPr>
        <w:t>及配</w:t>
      </w:r>
      <w:r>
        <w:rPr>
          <w:rFonts w:hint="eastAsia"/>
          <w:color w:val="auto"/>
          <w:sz w:val="24"/>
        </w:rPr>
        <w:t>套</w:t>
      </w:r>
      <w:r>
        <w:rPr>
          <w:rFonts w:hint="eastAsia"/>
          <w:color w:val="auto"/>
          <w:spacing w:val="2"/>
          <w:sz w:val="24"/>
        </w:rPr>
        <w:t>性</w:t>
      </w:r>
      <w:r>
        <w:rPr>
          <w:rFonts w:hint="eastAsia"/>
          <w:color w:val="auto"/>
          <w:sz w:val="24"/>
        </w:rPr>
        <w:t>、</w:t>
      </w:r>
      <w:r>
        <w:rPr>
          <w:rFonts w:hint="eastAsia"/>
          <w:color w:val="auto"/>
          <w:spacing w:val="2"/>
          <w:sz w:val="24"/>
        </w:rPr>
        <w:t>技</w:t>
      </w:r>
      <w:r>
        <w:rPr>
          <w:rFonts w:hint="eastAsia"/>
          <w:color w:val="auto"/>
          <w:sz w:val="24"/>
        </w:rPr>
        <w:t>术</w:t>
      </w:r>
      <w:r>
        <w:rPr>
          <w:rFonts w:hint="eastAsia"/>
          <w:color w:val="auto"/>
          <w:spacing w:val="2"/>
          <w:sz w:val="24"/>
        </w:rPr>
        <w:t>成果</w:t>
      </w:r>
      <w:r>
        <w:rPr>
          <w:rFonts w:hint="eastAsia"/>
          <w:color w:val="auto"/>
          <w:sz w:val="24"/>
        </w:rPr>
        <w:t>应</w:t>
      </w:r>
      <w:r>
        <w:rPr>
          <w:rFonts w:hint="eastAsia"/>
          <w:color w:val="auto"/>
          <w:spacing w:val="2"/>
          <w:sz w:val="24"/>
        </w:rPr>
        <w:t>用情</w:t>
      </w:r>
      <w:r>
        <w:rPr>
          <w:rFonts w:hint="eastAsia"/>
          <w:color w:val="auto"/>
          <w:sz w:val="24"/>
        </w:rPr>
        <w:t>况</w:t>
      </w:r>
      <w:r>
        <w:rPr>
          <w:rFonts w:hint="eastAsia"/>
          <w:color w:val="auto"/>
          <w:spacing w:val="2"/>
          <w:sz w:val="24"/>
        </w:rPr>
        <w:t>，</w:t>
      </w:r>
      <w:r>
        <w:rPr>
          <w:rFonts w:hint="eastAsia"/>
          <w:color w:val="auto"/>
          <w:sz w:val="24"/>
        </w:rPr>
        <w:t>课</w:t>
      </w:r>
      <w:r>
        <w:rPr>
          <w:rFonts w:hint="eastAsia"/>
          <w:color w:val="auto"/>
          <w:spacing w:val="2"/>
          <w:sz w:val="24"/>
        </w:rPr>
        <w:t>题</w:t>
      </w:r>
      <w:r>
        <w:rPr>
          <w:rFonts w:hint="eastAsia"/>
          <w:color w:val="auto"/>
          <w:sz w:val="24"/>
        </w:rPr>
        <w:t>完</w:t>
      </w:r>
      <w:r>
        <w:rPr>
          <w:rFonts w:hint="eastAsia"/>
          <w:color w:val="auto"/>
          <w:spacing w:val="2"/>
          <w:sz w:val="24"/>
        </w:rPr>
        <w:t>成后</w:t>
      </w:r>
      <w:r>
        <w:rPr>
          <w:rFonts w:hint="eastAsia"/>
          <w:color w:val="auto"/>
          <w:sz w:val="24"/>
        </w:rPr>
        <w:t>建</w:t>
      </w:r>
      <w:r>
        <w:rPr>
          <w:rFonts w:hint="eastAsia"/>
          <w:color w:val="auto"/>
          <w:spacing w:val="2"/>
          <w:sz w:val="24"/>
        </w:rPr>
        <w:t>成的</w:t>
      </w:r>
      <w:r>
        <w:rPr>
          <w:rFonts w:hint="eastAsia"/>
          <w:color w:val="auto"/>
          <w:sz w:val="24"/>
        </w:rPr>
        <w:t>试验基地、生产线及行程的技术标准等</w:t>
      </w:r>
      <w:r>
        <w:rPr>
          <w:rFonts w:hint="eastAsia"/>
          <w:color w:val="auto"/>
          <w:spacing w:val="-120"/>
          <w:sz w:val="24"/>
        </w:rPr>
        <w:t>）</w:t>
      </w:r>
      <w:r>
        <w:rPr>
          <w:rFonts w:hint="eastAsia"/>
          <w:color w:val="auto"/>
          <w:sz w:val="24"/>
        </w:rPr>
        <w:t>；</w:t>
      </w:r>
    </w:p>
    <w:p>
      <w:pPr>
        <w:pStyle w:val="5"/>
        <w:kinsoku w:val="0"/>
        <w:overflowPunct w:val="0"/>
        <w:spacing w:before="36" w:beforeLines="0" w:afterLines="0" w:line="357" w:lineRule="auto"/>
        <w:ind w:left="120" w:right="235" w:firstLine="239"/>
        <w:rPr>
          <w:rFonts w:hint="eastAsia"/>
          <w:color w:val="auto"/>
          <w:sz w:val="24"/>
        </w:rPr>
      </w:pPr>
      <w:r>
        <w:rPr>
          <w:rFonts w:hint="eastAsia"/>
          <w:color w:val="auto"/>
          <w:spacing w:val="2"/>
          <w:sz w:val="24"/>
        </w:rPr>
        <w:t>（3</w:t>
      </w:r>
      <w:r>
        <w:rPr>
          <w:rFonts w:hint="eastAsia"/>
          <w:color w:val="auto"/>
          <w:sz w:val="24"/>
        </w:rPr>
        <w:t>）</w:t>
      </w:r>
      <w:r>
        <w:rPr>
          <w:rFonts w:hint="eastAsia"/>
          <w:color w:val="auto"/>
          <w:spacing w:val="2"/>
          <w:sz w:val="24"/>
        </w:rPr>
        <w:t>成果</w:t>
      </w:r>
      <w:r>
        <w:rPr>
          <w:rFonts w:hint="eastAsia"/>
          <w:color w:val="auto"/>
          <w:sz w:val="24"/>
        </w:rPr>
        <w:t>转</w:t>
      </w:r>
      <w:r>
        <w:rPr>
          <w:rFonts w:hint="eastAsia"/>
          <w:color w:val="auto"/>
          <w:spacing w:val="2"/>
          <w:sz w:val="24"/>
        </w:rPr>
        <w:t>化</w:t>
      </w:r>
      <w:r>
        <w:rPr>
          <w:rFonts w:hint="eastAsia"/>
          <w:color w:val="auto"/>
          <w:sz w:val="24"/>
        </w:rPr>
        <w:t>、</w:t>
      </w:r>
      <w:r>
        <w:rPr>
          <w:rFonts w:hint="eastAsia"/>
          <w:color w:val="auto"/>
          <w:spacing w:val="2"/>
          <w:sz w:val="24"/>
        </w:rPr>
        <w:t>产</w:t>
      </w:r>
      <w:r>
        <w:rPr>
          <w:rFonts w:hint="eastAsia"/>
          <w:color w:val="auto"/>
          <w:sz w:val="24"/>
        </w:rPr>
        <w:t>业</w:t>
      </w:r>
      <w:r>
        <w:rPr>
          <w:rFonts w:hint="eastAsia"/>
          <w:color w:val="auto"/>
          <w:spacing w:val="2"/>
          <w:sz w:val="24"/>
        </w:rPr>
        <w:t>化情</w:t>
      </w:r>
      <w:r>
        <w:rPr>
          <w:rFonts w:hint="eastAsia"/>
          <w:color w:val="auto"/>
          <w:sz w:val="24"/>
        </w:rPr>
        <w:t>况</w:t>
      </w:r>
      <w:r>
        <w:rPr>
          <w:rFonts w:hint="eastAsia"/>
          <w:color w:val="auto"/>
          <w:spacing w:val="2"/>
          <w:sz w:val="24"/>
        </w:rPr>
        <w:t>、直</w:t>
      </w:r>
      <w:r>
        <w:rPr>
          <w:rFonts w:hint="eastAsia"/>
          <w:color w:val="auto"/>
          <w:sz w:val="24"/>
        </w:rPr>
        <w:t>接</w:t>
      </w:r>
      <w:r>
        <w:rPr>
          <w:rFonts w:hint="eastAsia"/>
          <w:color w:val="auto"/>
          <w:spacing w:val="2"/>
          <w:sz w:val="24"/>
        </w:rPr>
        <w:t>效</w:t>
      </w:r>
      <w:r>
        <w:rPr>
          <w:rFonts w:hint="eastAsia"/>
          <w:color w:val="auto"/>
          <w:sz w:val="24"/>
        </w:rPr>
        <w:t>益</w:t>
      </w:r>
      <w:r>
        <w:rPr>
          <w:rFonts w:hint="eastAsia"/>
          <w:color w:val="auto"/>
          <w:spacing w:val="2"/>
          <w:sz w:val="24"/>
        </w:rPr>
        <w:t>和</w:t>
      </w:r>
      <w:r>
        <w:rPr>
          <w:rFonts w:hint="eastAsia"/>
          <w:color w:val="auto"/>
          <w:sz w:val="24"/>
        </w:rPr>
        <w:t>间</w:t>
      </w:r>
      <w:r>
        <w:rPr>
          <w:rFonts w:hint="eastAsia"/>
          <w:color w:val="auto"/>
          <w:spacing w:val="2"/>
          <w:sz w:val="24"/>
        </w:rPr>
        <w:t>接效</w:t>
      </w:r>
      <w:r>
        <w:rPr>
          <w:rFonts w:hint="eastAsia"/>
          <w:color w:val="auto"/>
          <w:sz w:val="24"/>
        </w:rPr>
        <w:t>益</w:t>
      </w:r>
      <w:r>
        <w:rPr>
          <w:rFonts w:hint="eastAsia"/>
          <w:color w:val="auto"/>
          <w:spacing w:val="2"/>
          <w:sz w:val="24"/>
        </w:rPr>
        <w:t>（经</w:t>
      </w:r>
      <w:r>
        <w:rPr>
          <w:rFonts w:hint="eastAsia"/>
          <w:color w:val="auto"/>
          <w:sz w:val="24"/>
        </w:rPr>
        <w:t>济</w:t>
      </w:r>
      <w:r>
        <w:rPr>
          <w:rFonts w:hint="eastAsia"/>
          <w:color w:val="auto"/>
          <w:spacing w:val="2"/>
          <w:sz w:val="24"/>
        </w:rPr>
        <w:t>、</w:t>
      </w:r>
      <w:r>
        <w:rPr>
          <w:rFonts w:hint="eastAsia"/>
          <w:color w:val="auto"/>
          <w:sz w:val="24"/>
        </w:rPr>
        <w:t>社</w:t>
      </w:r>
      <w:r>
        <w:rPr>
          <w:rFonts w:hint="eastAsia"/>
          <w:color w:val="auto"/>
          <w:spacing w:val="2"/>
          <w:sz w:val="24"/>
        </w:rPr>
        <w:t>会</w:t>
      </w:r>
      <w:r>
        <w:rPr>
          <w:rFonts w:hint="eastAsia"/>
          <w:color w:val="auto"/>
          <w:sz w:val="24"/>
        </w:rPr>
        <w:t>和</w:t>
      </w:r>
      <w:r>
        <w:rPr>
          <w:rFonts w:hint="eastAsia"/>
          <w:color w:val="auto"/>
          <w:spacing w:val="2"/>
          <w:sz w:val="24"/>
        </w:rPr>
        <w:t>环境</w:t>
      </w:r>
      <w:r>
        <w:rPr>
          <w:rFonts w:hint="eastAsia"/>
          <w:color w:val="auto"/>
          <w:sz w:val="24"/>
        </w:rPr>
        <w:t>效</w:t>
      </w:r>
      <w:r>
        <w:rPr>
          <w:rFonts w:hint="eastAsia"/>
          <w:color w:val="auto"/>
          <w:spacing w:val="2"/>
          <w:sz w:val="24"/>
        </w:rPr>
        <w:t>益</w:t>
      </w:r>
      <w:r>
        <w:rPr>
          <w:rFonts w:hint="eastAsia"/>
          <w:color w:val="auto"/>
          <w:spacing w:val="-118"/>
          <w:sz w:val="24"/>
        </w:rPr>
        <w:t>）</w:t>
      </w:r>
      <w:r>
        <w:rPr>
          <w:rFonts w:hint="eastAsia"/>
          <w:color w:val="auto"/>
          <w:sz w:val="24"/>
        </w:rPr>
        <w:t>，成果推广应用前景的评价；</w:t>
      </w:r>
    </w:p>
    <w:p>
      <w:pPr>
        <w:pStyle w:val="5"/>
        <w:kinsoku w:val="0"/>
        <w:overflowPunct w:val="0"/>
        <w:spacing w:before="36" w:beforeLines="0" w:afterLines="0"/>
        <w:ind w:left="360"/>
        <w:rPr>
          <w:rFonts w:hint="eastAsia"/>
          <w:color w:val="auto"/>
          <w:sz w:val="24"/>
        </w:rPr>
      </w:pPr>
      <w:r>
        <w:rPr>
          <w:rFonts w:hint="eastAsia"/>
          <w:color w:val="auto"/>
          <w:sz w:val="24"/>
        </w:rPr>
        <w:t>（4）课题设置的科学性和合理性的后评估；</w:t>
      </w:r>
    </w:p>
    <w:p>
      <w:pPr>
        <w:pStyle w:val="5"/>
        <w:kinsoku w:val="0"/>
        <w:overflowPunct w:val="0"/>
        <w:spacing w:before="154" w:beforeLines="0" w:afterLines="0"/>
        <w:ind w:left="360"/>
        <w:rPr>
          <w:rFonts w:hint="eastAsia"/>
          <w:color w:val="auto"/>
          <w:sz w:val="24"/>
        </w:rPr>
      </w:pPr>
      <w:r>
        <w:rPr>
          <w:rFonts w:hint="eastAsia"/>
          <w:color w:val="auto"/>
          <w:sz w:val="24"/>
        </w:rPr>
        <w:t>（5）经费决算和经费使用评价；</w:t>
      </w:r>
    </w:p>
    <w:p>
      <w:pPr>
        <w:pStyle w:val="5"/>
        <w:kinsoku w:val="0"/>
        <w:overflowPunct w:val="0"/>
        <w:spacing w:before="154" w:beforeLines="0" w:afterLines="0" w:line="357" w:lineRule="auto"/>
        <w:ind w:left="120" w:right="237" w:firstLine="239"/>
        <w:rPr>
          <w:rFonts w:hint="eastAsia"/>
          <w:color w:val="auto"/>
          <w:sz w:val="24"/>
        </w:rPr>
      </w:pPr>
      <w:r>
        <w:rPr>
          <w:rFonts w:hint="eastAsia"/>
          <w:color w:val="auto"/>
          <w:sz w:val="24"/>
        </w:rPr>
        <w:t>（6</w:t>
      </w:r>
      <w:r>
        <w:rPr>
          <w:rFonts w:hint="eastAsia"/>
          <w:color w:val="auto"/>
          <w:spacing w:val="-17"/>
          <w:sz w:val="24"/>
        </w:rPr>
        <w:t>）</w:t>
      </w:r>
      <w:r>
        <w:rPr>
          <w:rFonts w:hint="eastAsia"/>
          <w:color w:val="auto"/>
          <w:sz w:val="24"/>
        </w:rPr>
        <w:t>组织管理经</w:t>
      </w:r>
      <w:r>
        <w:rPr>
          <w:rFonts w:hint="eastAsia"/>
          <w:color w:val="auto"/>
          <w:spacing w:val="-17"/>
          <w:sz w:val="24"/>
        </w:rPr>
        <w:t>验</w:t>
      </w:r>
      <w:r>
        <w:rPr>
          <w:rFonts w:hint="eastAsia"/>
          <w:color w:val="auto"/>
          <w:spacing w:val="-3"/>
          <w:sz w:val="24"/>
        </w:rPr>
        <w:t>（</w:t>
      </w:r>
      <w:r>
        <w:rPr>
          <w:rFonts w:hint="eastAsia"/>
          <w:color w:val="auto"/>
          <w:sz w:val="24"/>
        </w:rPr>
        <w:t>侧重评价科技工作面向经济</w:t>
      </w:r>
      <w:r>
        <w:rPr>
          <w:rFonts w:hint="eastAsia"/>
          <w:color w:val="auto"/>
          <w:spacing w:val="-17"/>
          <w:sz w:val="24"/>
        </w:rPr>
        <w:t>、</w:t>
      </w:r>
      <w:r>
        <w:rPr>
          <w:rFonts w:hint="eastAsia"/>
          <w:color w:val="auto"/>
          <w:sz w:val="24"/>
        </w:rPr>
        <w:t>社会发展</w:t>
      </w:r>
      <w:r>
        <w:rPr>
          <w:rFonts w:hint="eastAsia"/>
          <w:color w:val="auto"/>
          <w:spacing w:val="-17"/>
          <w:sz w:val="24"/>
        </w:rPr>
        <w:t>、</w:t>
      </w:r>
      <w:r>
        <w:rPr>
          <w:rFonts w:hint="eastAsia"/>
          <w:color w:val="auto"/>
          <w:sz w:val="24"/>
        </w:rPr>
        <w:t>成</w:t>
      </w:r>
      <w:r>
        <w:rPr>
          <w:rFonts w:hint="eastAsia"/>
          <w:color w:val="auto"/>
          <w:spacing w:val="-3"/>
          <w:sz w:val="24"/>
        </w:rPr>
        <w:t>果</w:t>
      </w:r>
      <w:r>
        <w:rPr>
          <w:rFonts w:hint="eastAsia"/>
          <w:color w:val="auto"/>
          <w:sz w:val="24"/>
        </w:rPr>
        <w:t>转化及产业化的经验</w:t>
      </w:r>
      <w:r>
        <w:rPr>
          <w:rFonts w:hint="eastAsia"/>
          <w:color w:val="auto"/>
          <w:spacing w:val="-120"/>
          <w:sz w:val="24"/>
        </w:rPr>
        <w:t>）</w:t>
      </w:r>
      <w:r>
        <w:rPr>
          <w:rFonts w:hint="eastAsia"/>
          <w:color w:val="auto"/>
          <w:sz w:val="24"/>
        </w:rPr>
        <w:t>；</w:t>
      </w:r>
    </w:p>
    <w:p>
      <w:pPr>
        <w:pStyle w:val="5"/>
        <w:kinsoku w:val="0"/>
        <w:overflowPunct w:val="0"/>
        <w:spacing w:before="36" w:beforeLines="0" w:afterLines="0"/>
        <w:ind w:left="360"/>
        <w:rPr>
          <w:rFonts w:hint="eastAsia"/>
          <w:color w:val="auto"/>
          <w:sz w:val="24"/>
        </w:rPr>
      </w:pPr>
      <w:r>
        <w:rPr>
          <w:rFonts w:hint="eastAsia"/>
          <w:color w:val="auto"/>
          <w:sz w:val="24"/>
        </w:rPr>
        <w:t>（7）存在的问题；</w:t>
      </w:r>
    </w:p>
    <w:p>
      <w:pPr>
        <w:pStyle w:val="5"/>
        <w:kinsoku w:val="0"/>
        <w:overflowPunct w:val="0"/>
        <w:spacing w:before="154" w:beforeLines="0" w:afterLines="0"/>
        <w:ind w:left="360"/>
        <w:rPr>
          <w:rFonts w:hint="eastAsia"/>
          <w:color w:val="auto"/>
          <w:sz w:val="24"/>
        </w:rPr>
      </w:pPr>
      <w:r>
        <w:rPr>
          <w:rFonts w:hint="eastAsia"/>
          <w:color w:val="auto"/>
          <w:sz w:val="24"/>
        </w:rPr>
        <w:t>（8）提供验收的技术文件清单。</w:t>
      </w:r>
    </w:p>
    <w:p>
      <w:pPr>
        <w:pStyle w:val="5"/>
        <w:kinsoku w:val="0"/>
        <w:overflowPunct w:val="0"/>
        <w:spacing w:before="154" w:beforeLines="0" w:afterLines="0" w:line="357" w:lineRule="auto"/>
        <w:ind w:left="120" w:right="237" w:firstLine="480" w:firstLineChars="200"/>
        <w:rPr>
          <w:rFonts w:hint="eastAsia"/>
          <w:color w:val="auto"/>
          <w:sz w:val="24"/>
        </w:rPr>
      </w:pPr>
      <w:r>
        <w:rPr>
          <w:rFonts w:hint="eastAsia"/>
          <w:color w:val="auto"/>
          <w:sz w:val="24"/>
        </w:rPr>
        <w:t>4</w:t>
      </w:r>
      <w:r>
        <w:rPr>
          <w:rFonts w:hint="eastAsia"/>
          <w:color w:val="auto"/>
          <w:spacing w:val="-3"/>
          <w:sz w:val="24"/>
        </w:rPr>
        <w:t>、</w:t>
      </w:r>
      <w:r>
        <w:rPr>
          <w:rFonts w:hint="eastAsia"/>
          <w:color w:val="auto"/>
          <w:sz w:val="24"/>
        </w:rPr>
        <w:t>表</w:t>
      </w:r>
      <w:r>
        <w:rPr>
          <w:rFonts w:hint="eastAsia"/>
          <w:color w:val="auto"/>
          <w:spacing w:val="-61"/>
          <w:sz w:val="24"/>
        </w:rPr>
        <w:t xml:space="preserve"> </w:t>
      </w:r>
      <w:r>
        <w:rPr>
          <w:rFonts w:hint="eastAsia"/>
          <w:color w:val="auto"/>
          <w:spacing w:val="-3"/>
          <w:sz w:val="24"/>
        </w:rPr>
        <w:t>2</w:t>
      </w:r>
      <w:r>
        <w:rPr>
          <w:rFonts w:hint="eastAsia"/>
          <w:color w:val="auto"/>
          <w:sz w:val="24"/>
        </w:rPr>
        <w:t>“课题参加单位及主要研究人员</w:t>
      </w:r>
      <w:r>
        <w:rPr>
          <w:rFonts w:hint="eastAsia"/>
          <w:color w:val="auto"/>
          <w:spacing w:val="-3"/>
          <w:sz w:val="24"/>
        </w:rPr>
        <w:t>”</w:t>
      </w:r>
      <w:r>
        <w:rPr>
          <w:rFonts w:hint="eastAsia"/>
          <w:color w:val="auto"/>
          <w:sz w:val="24"/>
        </w:rPr>
        <w:t>填写内容与合同约定一致</w:t>
      </w:r>
      <w:r>
        <w:rPr>
          <w:rFonts w:hint="eastAsia"/>
          <w:color w:val="auto"/>
          <w:spacing w:val="-3"/>
          <w:sz w:val="24"/>
        </w:rPr>
        <w:t>，</w:t>
      </w:r>
      <w:r>
        <w:rPr>
          <w:rFonts w:hint="eastAsia"/>
          <w:color w:val="auto"/>
          <w:sz w:val="24"/>
        </w:rPr>
        <w:t>如有变动</w:t>
      </w:r>
      <w:r>
        <w:rPr>
          <w:rFonts w:hint="eastAsia"/>
          <w:color w:val="auto"/>
          <w:spacing w:val="-3"/>
          <w:sz w:val="24"/>
        </w:rPr>
        <w:t>，</w:t>
      </w:r>
      <w:r>
        <w:rPr>
          <w:rFonts w:hint="eastAsia"/>
          <w:color w:val="auto"/>
          <w:sz w:val="24"/>
        </w:rPr>
        <w:t>需提请</w:t>
      </w:r>
      <w:r>
        <w:rPr>
          <w:rFonts w:hint="eastAsia"/>
          <w:color w:val="auto"/>
          <w:sz w:val="24"/>
          <w:lang w:val="en-US" w:eastAsia="zh-CN"/>
        </w:rPr>
        <w:t>集团</w:t>
      </w:r>
      <w:r>
        <w:rPr>
          <w:rFonts w:hint="eastAsia"/>
          <w:color w:val="auto"/>
          <w:sz w:val="24"/>
        </w:rPr>
        <w:t>公司批复。</w:t>
      </w:r>
    </w:p>
    <w:p>
      <w:pPr>
        <w:pStyle w:val="5"/>
        <w:kinsoku w:val="0"/>
        <w:overflowPunct w:val="0"/>
        <w:spacing w:before="36" w:beforeLines="0" w:afterLines="0" w:line="357" w:lineRule="auto"/>
        <w:ind w:left="120" w:right="113" w:firstLine="488" w:firstLineChars="200"/>
        <w:rPr>
          <w:rFonts w:hint="eastAsia"/>
          <w:color w:val="auto"/>
          <w:sz w:val="24"/>
        </w:rPr>
      </w:pPr>
      <w:r>
        <w:rPr>
          <w:rFonts w:hint="eastAsia"/>
          <w:color w:val="auto"/>
          <w:spacing w:val="2"/>
          <w:sz w:val="24"/>
        </w:rPr>
        <w:t>5、</w:t>
      </w:r>
      <w:r>
        <w:rPr>
          <w:rFonts w:hint="eastAsia"/>
          <w:color w:val="auto"/>
          <w:sz w:val="24"/>
        </w:rPr>
        <w:t>表</w:t>
      </w:r>
      <w:r>
        <w:rPr>
          <w:rFonts w:hint="eastAsia"/>
          <w:color w:val="auto"/>
          <w:spacing w:val="-1"/>
          <w:sz w:val="24"/>
        </w:rPr>
        <w:t xml:space="preserve"> </w:t>
      </w:r>
      <w:r>
        <w:rPr>
          <w:rFonts w:hint="eastAsia"/>
          <w:color w:val="auto"/>
          <w:spacing w:val="2"/>
          <w:sz w:val="24"/>
        </w:rPr>
        <w:t>3“</w:t>
      </w:r>
      <w:r>
        <w:rPr>
          <w:rFonts w:hint="eastAsia"/>
          <w:color w:val="auto"/>
          <w:sz w:val="24"/>
        </w:rPr>
        <w:t>科</w:t>
      </w:r>
      <w:r>
        <w:rPr>
          <w:rFonts w:hint="eastAsia"/>
          <w:color w:val="auto"/>
          <w:spacing w:val="2"/>
          <w:sz w:val="24"/>
        </w:rPr>
        <w:t>研</w:t>
      </w:r>
      <w:r>
        <w:rPr>
          <w:rFonts w:hint="eastAsia"/>
          <w:color w:val="auto"/>
          <w:sz w:val="24"/>
        </w:rPr>
        <w:t>计</w:t>
      </w:r>
      <w:r>
        <w:rPr>
          <w:rFonts w:hint="eastAsia"/>
          <w:color w:val="auto"/>
          <w:spacing w:val="2"/>
          <w:sz w:val="24"/>
        </w:rPr>
        <w:t>划</w:t>
      </w:r>
      <w:r>
        <w:rPr>
          <w:rFonts w:hint="eastAsia"/>
          <w:color w:val="auto"/>
          <w:sz w:val="24"/>
        </w:rPr>
        <w:t>课</w:t>
      </w:r>
      <w:r>
        <w:rPr>
          <w:rFonts w:hint="eastAsia"/>
          <w:color w:val="auto"/>
          <w:spacing w:val="2"/>
          <w:sz w:val="24"/>
        </w:rPr>
        <w:t>题决</w:t>
      </w:r>
      <w:r>
        <w:rPr>
          <w:rFonts w:hint="eastAsia"/>
          <w:color w:val="auto"/>
          <w:sz w:val="24"/>
        </w:rPr>
        <w:t>算</w:t>
      </w:r>
      <w:r>
        <w:rPr>
          <w:rFonts w:hint="eastAsia"/>
          <w:color w:val="auto"/>
          <w:spacing w:val="2"/>
          <w:sz w:val="24"/>
        </w:rPr>
        <w:t>”由</w:t>
      </w:r>
      <w:r>
        <w:rPr>
          <w:rFonts w:hint="eastAsia"/>
          <w:color w:val="auto"/>
          <w:sz w:val="24"/>
        </w:rPr>
        <w:t>课</w:t>
      </w:r>
      <w:r>
        <w:rPr>
          <w:rFonts w:hint="eastAsia"/>
          <w:color w:val="auto"/>
          <w:spacing w:val="2"/>
          <w:sz w:val="24"/>
        </w:rPr>
        <w:t>题</w:t>
      </w:r>
      <w:r>
        <w:rPr>
          <w:rFonts w:hint="eastAsia"/>
          <w:color w:val="auto"/>
          <w:sz w:val="24"/>
        </w:rPr>
        <w:t>第</w:t>
      </w:r>
      <w:r>
        <w:rPr>
          <w:rFonts w:hint="eastAsia"/>
          <w:color w:val="auto"/>
          <w:spacing w:val="2"/>
          <w:sz w:val="24"/>
        </w:rPr>
        <w:t>一</w:t>
      </w:r>
      <w:r>
        <w:rPr>
          <w:rFonts w:hint="eastAsia"/>
          <w:color w:val="auto"/>
          <w:sz w:val="24"/>
        </w:rPr>
        <w:t>完</w:t>
      </w:r>
      <w:r>
        <w:rPr>
          <w:rFonts w:hint="eastAsia"/>
          <w:color w:val="auto"/>
          <w:spacing w:val="2"/>
          <w:sz w:val="24"/>
        </w:rPr>
        <w:t>成单</w:t>
      </w:r>
      <w:r>
        <w:rPr>
          <w:rFonts w:hint="eastAsia"/>
          <w:color w:val="auto"/>
          <w:sz w:val="24"/>
        </w:rPr>
        <w:t>位</w:t>
      </w:r>
      <w:r>
        <w:rPr>
          <w:rFonts w:hint="eastAsia"/>
          <w:color w:val="auto"/>
          <w:spacing w:val="2"/>
          <w:sz w:val="24"/>
        </w:rPr>
        <w:t>，将</w:t>
      </w:r>
      <w:r>
        <w:rPr>
          <w:rFonts w:hint="eastAsia"/>
          <w:color w:val="auto"/>
          <w:sz w:val="24"/>
        </w:rPr>
        <w:t>各</w:t>
      </w:r>
      <w:r>
        <w:rPr>
          <w:rFonts w:hint="eastAsia"/>
          <w:color w:val="auto"/>
          <w:spacing w:val="2"/>
          <w:sz w:val="24"/>
        </w:rPr>
        <w:t>参</w:t>
      </w:r>
      <w:r>
        <w:rPr>
          <w:rFonts w:hint="eastAsia"/>
          <w:color w:val="auto"/>
          <w:sz w:val="24"/>
        </w:rPr>
        <w:t>与</w:t>
      </w:r>
      <w:r>
        <w:rPr>
          <w:rFonts w:hint="eastAsia"/>
          <w:color w:val="auto"/>
          <w:spacing w:val="2"/>
          <w:sz w:val="24"/>
        </w:rPr>
        <w:t>单</w:t>
      </w:r>
      <w:r>
        <w:rPr>
          <w:rFonts w:hint="eastAsia"/>
          <w:color w:val="auto"/>
          <w:sz w:val="24"/>
        </w:rPr>
        <w:t>位</w:t>
      </w:r>
      <w:r>
        <w:rPr>
          <w:rFonts w:hint="eastAsia"/>
          <w:color w:val="auto"/>
          <w:spacing w:val="2"/>
          <w:sz w:val="24"/>
        </w:rPr>
        <w:t>支出</w:t>
      </w:r>
      <w:r>
        <w:rPr>
          <w:rFonts w:hint="eastAsia"/>
          <w:color w:val="auto"/>
          <w:sz w:val="24"/>
        </w:rPr>
        <w:t>经</w:t>
      </w:r>
      <w:r>
        <w:rPr>
          <w:rFonts w:hint="eastAsia"/>
          <w:color w:val="auto"/>
          <w:spacing w:val="2"/>
          <w:sz w:val="24"/>
        </w:rPr>
        <w:t>费汇总</w:t>
      </w:r>
      <w:r>
        <w:rPr>
          <w:rFonts w:hint="eastAsia"/>
          <w:color w:val="auto"/>
          <w:sz w:val="24"/>
        </w:rPr>
        <w:t>，作为财务验收参考依据。</w:t>
      </w:r>
    </w:p>
    <w:p>
      <w:pPr>
        <w:pStyle w:val="5"/>
        <w:kinsoku w:val="0"/>
        <w:overflowPunct w:val="0"/>
        <w:spacing w:before="36" w:beforeLines="0" w:afterLines="0"/>
        <w:ind w:left="120" w:firstLine="480" w:firstLineChars="200"/>
        <w:rPr>
          <w:rFonts w:hint="eastAsia"/>
          <w:color w:val="auto"/>
          <w:sz w:val="24"/>
        </w:rPr>
      </w:pPr>
      <w:r>
        <w:rPr>
          <w:rFonts w:hint="eastAsia"/>
          <w:color w:val="auto"/>
          <w:sz w:val="24"/>
        </w:rPr>
        <w:t>6、表</w:t>
      </w:r>
      <w:r>
        <w:rPr>
          <w:rFonts w:hint="eastAsia"/>
          <w:color w:val="auto"/>
          <w:spacing w:val="-61"/>
          <w:sz w:val="24"/>
        </w:rPr>
        <w:t xml:space="preserve"> </w:t>
      </w:r>
      <w:r>
        <w:rPr>
          <w:rFonts w:hint="eastAsia"/>
          <w:color w:val="auto"/>
          <w:sz w:val="24"/>
        </w:rPr>
        <w:t>4“课题验收信息”为技术验收参考依据。</w:t>
      </w:r>
    </w:p>
    <w:p>
      <w:pPr>
        <w:pStyle w:val="5"/>
        <w:kinsoku w:val="0"/>
        <w:overflowPunct w:val="0"/>
        <w:spacing w:before="36" w:beforeLines="0" w:afterLines="0"/>
        <w:ind w:left="120"/>
        <w:rPr>
          <w:rFonts w:hint="eastAsia"/>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Lines="0" w:afterLines="0"/>
        <w:ind w:left="220"/>
        <w:rPr>
          <w:rFonts w:hint="eastAsia" w:ascii="黑体" w:hAnsi="黑体" w:eastAsia="黑体"/>
          <w:color w:val="auto"/>
          <w:sz w:val="24"/>
        </w:rPr>
      </w:pPr>
      <w:r>
        <w:rPr>
          <w:rFonts w:ascii="Times New Roman" w:hAnsi="Times New Roman" w:cs="Times New Roman" w:eastAsia="黑体"/>
          <w:b/>
          <w:i w:val="0"/>
          <w:sz w:val="24"/>
        </w:rPr>
        <w:t>1、项目/课题自评价报告</w:t>
      </w:r>
    </w:p>
    <w:p>
      <w:pPr>
        <w:spacing w:before="80" w:after="40" w:line="300" w:lineRule="auto"/>
        <w:ind w:firstLine="0"/>
        <w:jc w:val="both"/>
      </w:pPr>
      <w:r>
        <w:rPr>
          <w:rFonts w:ascii="Times New Roman" w:hAnsi="Times New Roman" w:cs="Times New Roman" w:eastAsia="黑体"/>
          <w:b/>
          <w:i w:val="0"/>
          <w:sz w:val="21"/>
        </w:rPr>
        <w:t>（1）课题主要研究任务、考核目标及主要技术经济指标</w:t>
      </w:r>
    </w:p>
    <w:p>
      <w:pPr>
        <w:spacing w:before="40" w:after="40" w:line="300" w:lineRule="auto"/>
        <w:ind w:firstLine="420"/>
        <w:jc w:val="both"/>
      </w:pPr>
      <w:r>
        <w:rPr>
          <w:rFonts w:ascii="Times New Roman" w:hAnsi="Times New Roman" w:cs="Times New Roman" w:eastAsia="宋体"/>
          <w:b w:val="0"/>
          <w:i w:val="0"/>
          <w:sz w:val="21"/>
        </w:rPr>
        <w:t>本课题为中铁二十五局集团有限公司2025年度科技研究开发计划A类重点课题（计划序号第2项，集团科数网〔2025〕70号，企业情况表编号1489，财务研发支出辅助账编号RD18），由中铁二十五局集团有限公司与中铁二十五局集团第三工程有限公司承担、中南大学联合参与，依托深圳国际综合物流枢纽中心项目开展攻关。主要研究任务涵盖大跨度钢框架和幕墙三维激光点云数字化预拼装、钢框架-现浇楼承板4D虚拟建造、多源传感融合结构监测与金刚砂地面双光缺陷检测、钢管混凝土柱横隔板下密实度时频声学检测、知识图谱与系统动力学施工安全风险管控、复杂环境高强度施工交通融合优化六大专题。主要考核目标包括：建立钢管混凝土横隔板下密实度声学检测方法（密实度探测误差 ≤ 5%），提出钢结构节点虚拟预拼装点云配准方法（RMSE ≤ 0.5 mm），构建结构监测多源融合方法（合成不确定度 ≤ 1.0 mm）与金刚砂地面裂缝双光检测方法（1 m距离成像分辨率GSD ≤ 0.30 mm/px），形成总研究报告1份、阶段科研进展工作总结1份并获授权国家发明专利6项。</w:t>
      </w:r>
    </w:p>
    <w:p>
      <w:pPr>
        <w:spacing w:before="80" w:after="40" w:line="300" w:lineRule="auto"/>
        <w:ind w:firstLine="0"/>
        <w:jc w:val="both"/>
      </w:pPr>
      <w:r>
        <w:rPr>
          <w:rFonts w:ascii="Times New Roman" w:hAnsi="Times New Roman" w:cs="Times New Roman" w:eastAsia="黑体"/>
          <w:b/>
          <w:i w:val="0"/>
          <w:sz w:val="21"/>
        </w:rPr>
        <w:t>（2）课题执行情况评价（解决的关键技术、代表性定量结果及专利情况）</w:t>
      </w:r>
    </w:p>
    <w:p>
      <w:pPr>
        <w:spacing w:before="40" w:after="40" w:line="300" w:lineRule="auto"/>
        <w:ind w:firstLine="420"/>
        <w:jc w:val="both"/>
      </w:pPr>
      <w:r>
        <w:rPr>
          <w:rFonts w:ascii="Times New Roman" w:hAnsi="Times New Roman" w:cs="Times New Roman" w:eastAsia="宋体"/>
          <w:b w:val="0"/>
          <w:i w:val="0"/>
          <w:sz w:val="21"/>
        </w:rPr>
        <w:t>课题组严格按照研究计划推进，系统解决了大跨度装配整体式框架结构智能建造中的六项关键技术问题：①在数字化预拼装方面，构建了BIM先验引导的三维点云分割模型与尺度固定刚体配准方法，针对18 m典型简支钢梁（截面惯性矩</w:t>
      </w:r>
      <w:r>
        <w:rPr>
          <w:rFonts w:ascii="Times New Roman" w:hAnsi="Times New Roman" w:cs="Times New Roman" w:eastAsia="宋体"/>
          <w:b w:val="0"/>
          <w:i/>
          <w:sz w:val="21"/>
        </w:rPr>
        <w:t>I</w:t>
      </w:r>
      <w:r>
        <w:rPr>
          <w:rFonts w:ascii="Times New Roman" w:hAnsi="Times New Roman" w:cs="Times New Roman" w:eastAsia="宋体"/>
          <w:b w:val="0"/>
          <w:i w:val="0"/>
          <w:sz w:val="21"/>
        </w:rPr>
        <w:t xml:space="preserve"> = 0.003588 m</w:t>
      </w:r>
      <w:r>
        <w:rPr>
          <w:rFonts w:ascii="Times New Roman" w:hAnsi="Times New Roman" w:cs="Times New Roman" w:eastAsia="宋体"/>
          <w:b w:val="0"/>
          <w:i w:val="0"/>
          <w:sz w:val="21"/>
          <w:vertAlign w:val="superscript"/>
        </w:rPr>
        <w:t>4</w:t>
      </w:r>
      <w:r>
        <w:rPr>
          <w:rFonts w:ascii="Times New Roman" w:hAnsi="Times New Roman" w:cs="Times New Roman" w:eastAsia="宋体"/>
          <w:b w:val="0"/>
          <w:i w:val="0"/>
          <w:sz w:val="21"/>
        </w:rPr>
        <w:t>，钢梁自重阶段挠度 3.99 mm，湿混凝土及施工作用施加后挠度 33.12 mm，20 K整体温差自由伸长 4.32 mm，10 K上下温差曲率挠度约 5.40 mm）及四孔连接端板算例，配准均方根误差RMSE = 0.324 mm，最大残差</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max</w:t>
      </w:r>
      <w:r>
        <w:rPr>
          <w:rFonts w:ascii="Times New Roman" w:hAnsi="Times New Roman" w:cs="Times New Roman" w:eastAsia="宋体"/>
          <w:b w:val="0"/>
          <w:i w:val="0"/>
          <w:sz w:val="21"/>
        </w:rPr>
        <w:t xml:space="preserve"> = 0.415 mm，局部测量扩展不确定度</w:t>
      </w:r>
      <w:r>
        <w:rPr>
          <w:rFonts w:ascii="Times New Roman" w:hAnsi="Times New Roman" w:cs="Times New Roman" w:eastAsia="宋体"/>
          <w:b w:val="0"/>
          <w:i/>
          <w:sz w:val="21"/>
        </w:rPr>
        <w:t>U</w:t>
      </w:r>
      <w:r>
        <w:rPr>
          <w:rFonts w:ascii="Times New Roman" w:hAnsi="Times New Roman" w:cs="Times New Roman" w:eastAsia="宋体"/>
          <w:b w:val="0"/>
          <w:i w:val="0"/>
          <w:sz w:val="21"/>
        </w:rPr>
        <w:t xml:space="preserve"> = 0.707 mm（</w:t>
      </w:r>
      <w:r>
        <w:rPr>
          <w:rFonts w:ascii="Times New Roman" w:hAnsi="Times New Roman" w:cs="Times New Roman" w:eastAsia="宋体"/>
          <w:b w:val="0"/>
          <w:i/>
          <w:sz w:val="21"/>
        </w:rPr>
        <w:t>k</w:t>
      </w:r>
      <w:r>
        <w:rPr>
          <w:rFonts w:ascii="Times New Roman" w:hAnsi="Times New Roman" w:cs="Times New Roman" w:eastAsia="宋体"/>
          <w:b w:val="0"/>
          <w:i w:val="0"/>
          <w:sz w:val="21"/>
        </w:rPr>
        <w:t xml:space="preserve"> = 2），保护带判定量</w:t>
      </w:r>
      <w:r>
        <w:rPr>
          <w:rFonts w:ascii="Times New Roman" w:hAnsi="Times New Roman" w:cs="Times New Roman" w:eastAsia="宋体"/>
          <w:b w:val="0"/>
          <w:i/>
          <w:sz w:val="21"/>
        </w:rPr>
        <w:t>r</w:t>
      </w:r>
      <w:r>
        <w:rPr>
          <w:rFonts w:ascii="Times New Roman" w:hAnsi="Times New Roman" w:cs="Times New Roman" w:eastAsia="宋体"/>
          <w:b w:val="0"/>
          <w:i w:val="0"/>
          <w:sz w:val="21"/>
          <w:vertAlign w:val="subscript"/>
        </w:rPr>
        <w:t>max</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U</w:t>
      </w:r>
      <w:r>
        <w:rPr>
          <w:rFonts w:ascii="Times New Roman" w:hAnsi="Times New Roman" w:cs="Times New Roman" w:eastAsia="宋体"/>
          <w:b w:val="0"/>
          <w:i w:val="0"/>
          <w:sz w:val="21"/>
        </w:rPr>
        <w:t xml:space="preserve"> = 1.122 mm ≤ </w:t>
      </w:r>
      <w:r>
        <w:rPr>
          <w:rFonts w:ascii="Times New Roman" w:hAnsi="Times New Roman" w:cs="Times New Roman" w:eastAsia="宋体"/>
          <w:b w:val="0"/>
          <w:i/>
          <w:sz w:val="21"/>
        </w:rPr>
        <w:t>D</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d</w:t>
      </w:r>
      <w:r>
        <w:rPr>
          <w:rFonts w:ascii="Times New Roman" w:hAnsi="Times New Roman" w:cs="Times New Roman" w:eastAsia="宋体"/>
          <w:b w:val="0"/>
          <w:i w:val="0"/>
          <w:sz w:val="21"/>
        </w:rPr>
        <w:t xml:space="preserve"> = 2.0 mm（整体测量配置扩展不确定度为 3.241 mm，验证了分级局部精测的必要性）；②在4D虚拟建造方面，建立了24 t偏心吊装算例力学包络模型（两吊点竖向反力按 45% 和 55% 分配），吊索与水平夹角</w:t>
      </w:r>
      <w:r>
        <w:rPr>
          <w:rFonts w:ascii="Times New Roman" w:hAnsi="Times New Roman" w:cs="Times New Roman" w:eastAsia="宋体"/>
          <w:b w:val="0"/>
          <w:i/>
          <w:sz w:val="21"/>
        </w:rPr>
        <w:t>β</w:t>
      </w:r>
      <w:r>
        <w:rPr>
          <w:rFonts w:ascii="Times New Roman" w:hAnsi="Times New Roman" w:cs="Times New Roman" w:eastAsia="宋体"/>
          <w:b w:val="0"/>
          <w:i w:val="0"/>
          <w:sz w:val="21"/>
        </w:rPr>
        <w:t>由 45° 增至 60° 时最不利拉力由 201.44 kN 降至 164.48 kN，运动包络扩展量为 0.459 m；③在多源监测与地面检测方面，双通道独立观测融合不确定度降至 0.706 mm，计入 0.6 mm 公共基准误差后合成不确定度为 0.926 mm；地面细裂缝检测在 1.0 m 拍摄距离下GSD = 0.274 mm/px，3像素对应 0.822 mm，0.3 mm目标按3像素覆盖需将距离控制在约 0.365 m 以内；④在钢管混凝土密实度声学检测方面，400 mm声路算例理想传播时间为 98.39 μs，1 mm空气替代层理想附加时差约 2.67 μs，结合三级小波包8子带能量分布</w:t>
      </w:r>
      <w:r>
        <w:rPr>
          <w:rFonts w:ascii="Times New Roman" w:hAnsi="Times New Roman" w:cs="Times New Roman" w:eastAsia="宋体"/>
          <w:b w:val="0"/>
          <w:i/>
          <w:sz w:val="21"/>
        </w:rPr>
        <w:t>η</w:t>
      </w:r>
      <w:r>
        <w:rPr>
          <w:rFonts w:ascii="Times New Roman" w:hAnsi="Times New Roman" w:cs="Times New Roman" w:eastAsia="宋体"/>
          <w:b w:val="0"/>
          <w:i/>
          <w:sz w:val="21"/>
          <w:vertAlign w:val="subscript"/>
        </w:rPr>
        <w:t>j</w:t>
      </w:r>
      <w:r>
        <w:rPr>
          <w:rFonts w:ascii="Times New Roman" w:hAnsi="Times New Roman" w:cs="Times New Roman" w:eastAsia="宋体"/>
          <w:b w:val="0"/>
          <w:i w:val="0"/>
          <w:sz w:val="21"/>
        </w:rPr>
        <w:t>与双分支ConvLSTM及跨层注意力融合网络实现缺陷特征辨识；⑤在安全风险与交通组织方面，构建了未闭合风险动态演化模型与单服务点（3 min/辆）排队模型，到达率由 18 辆/h 调控至 14 辆/h 时平均排队等待由 13.5 min 降至 3.5 min，90 min受限窗口可安排 17 项作业。课题已获授权国家发明专利6项（ZL202510710807.2、ZL202510845138.X、ZL202510845137.5、ZL202510598192.9、ZL202510598190.X、ZL202510710806.8）。</w:t>
      </w:r>
    </w:p>
    <w:p>
      <w:pPr>
        <w:spacing w:before="80" w:after="40" w:line="300" w:lineRule="auto"/>
        <w:ind w:firstLine="0"/>
        <w:jc w:val="both"/>
      </w:pPr>
      <w:r>
        <w:rPr>
          <w:rFonts w:ascii="Times New Roman" w:hAnsi="Times New Roman" w:cs="Times New Roman" w:eastAsia="黑体"/>
          <w:b/>
          <w:i w:val="0"/>
          <w:sz w:val="21"/>
        </w:rPr>
        <w:t>（3）成果转化、技术经济分析与社会效益评价</w:t>
      </w:r>
    </w:p>
    <w:p>
      <w:pPr>
        <w:spacing w:before="40" w:after="40" w:line="300" w:lineRule="auto"/>
        <w:ind w:firstLine="420"/>
        <w:jc w:val="both"/>
      </w:pPr>
      <w:r>
        <w:rPr>
          <w:rFonts w:ascii="Times New Roman" w:hAnsi="Times New Roman" w:cs="Times New Roman" w:eastAsia="宋体"/>
          <w:b w:val="0"/>
          <w:i w:val="0"/>
          <w:sz w:val="21"/>
        </w:rPr>
        <w:t>课题研究成果依托深圳国际综合物流枢纽中心项目（二期上盖智慧物流综合体总建筑面积约 85 万平方米，钢结构总量超 10 万吨，2026年9月入选交通强国建设试点典型案例）开展工程应用与验证。技术经济评价按同口径构件数量</w:t>
      </w:r>
      <w:r>
        <w:rPr>
          <w:rFonts w:ascii="Times New Roman" w:hAnsi="Times New Roman" w:cs="Times New Roman" w:eastAsia="宋体"/>
          <w:b w:val="0"/>
          <w:i/>
          <w:sz w:val="21"/>
        </w:rPr>
        <w:t>N</w:t>
      </w:r>
      <w:r>
        <w:rPr>
          <w:rFonts w:ascii="Times New Roman" w:hAnsi="Times New Roman" w:cs="Times New Roman" w:eastAsia="宋体"/>
          <w:b w:val="0"/>
          <w:i w:val="0"/>
          <w:sz w:val="21"/>
        </w:rPr>
        <w:t>、基准与改进方案单位过程成本</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0</w:t>
      </w:r>
      <w:r>
        <w:rPr>
          <w:rFonts w:ascii="Times New Roman" w:hAnsi="Times New Roman" w:cs="Times New Roman" w:eastAsia="宋体"/>
          <w:b w:val="0"/>
          <w:i w:val="0"/>
          <w:sz w:val="21"/>
        </w:rPr>
        <w:t>、</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1</w:t>
      </w:r>
      <w:r>
        <w:rPr>
          <w:rFonts w:ascii="Times New Roman" w:hAnsi="Times New Roman" w:cs="Times New Roman" w:eastAsia="宋体"/>
          <w:b w:val="0"/>
          <w:i w:val="0"/>
          <w:sz w:val="21"/>
        </w:rPr>
        <w:t>及新增固定投入</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add</w:t>
      </w:r>
      <w:r>
        <w:rPr>
          <w:rFonts w:ascii="Times New Roman" w:hAnsi="Times New Roman" w:cs="Times New Roman" w:eastAsia="宋体"/>
          <w:b w:val="0"/>
          <w:i w:val="0"/>
          <w:sz w:val="21"/>
        </w:rPr>
        <w:t>建立净节约模型Δ</w:t>
      </w:r>
      <w:r>
        <w:rPr>
          <w:rFonts w:ascii="Times New Roman" w:hAnsi="Times New Roman" w:cs="Times New Roman" w:eastAsia="宋体"/>
          <w:b w:val="0"/>
          <w:i/>
          <w:sz w:val="21"/>
        </w:rPr>
        <w:t>C</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N</w:t>
      </w:r>
      <w:r>
        <w:rPr>
          <w:rFonts w:ascii="Times New Roman" w:hAnsi="Times New Roman" w:cs="Times New Roman" w:eastAsia="宋体"/>
          <w:b w:val="0"/>
          <w:i w:val="0"/>
          <w:sz w:val="21"/>
        </w:rPr>
        <w:t>(</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0</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1</w:t>
      </w:r>
      <w:r>
        <w:rPr>
          <w:rFonts w:ascii="Times New Roman" w:hAnsi="Times New Roman" w:cs="Times New Roman" w:eastAsia="宋体"/>
          <w:b w:val="0"/>
          <w:i w:val="0"/>
          <w:sz w:val="21"/>
        </w:rPr>
        <w:t xml:space="preserve">) − </w:t>
      </w:r>
      <w:r>
        <w:rPr>
          <w:rFonts w:ascii="Times New Roman" w:hAnsi="Times New Roman" w:cs="Times New Roman" w:eastAsia="宋体"/>
          <w:b w:val="0"/>
          <w:i/>
          <w:sz w:val="21"/>
        </w:rPr>
        <w:t>C</w:t>
      </w:r>
      <w:r>
        <w:rPr>
          <w:rFonts w:ascii="Times New Roman" w:hAnsi="Times New Roman" w:cs="Times New Roman" w:eastAsia="宋体"/>
          <w:b w:val="0"/>
          <w:i w:val="0"/>
          <w:sz w:val="21"/>
          <w:vertAlign w:val="subscript"/>
        </w:rPr>
        <w:t>add</w:t>
      </w:r>
      <w:r>
        <w:rPr>
          <w:rFonts w:ascii="Times New Roman" w:hAnsi="Times New Roman" w:cs="Times New Roman" w:eastAsia="宋体"/>
          <w:b w:val="0"/>
          <w:i w:val="0"/>
          <w:sz w:val="21"/>
        </w:rPr>
        <w:t xml:space="preserve">。在 </w:t>
      </w:r>
      <w:r>
        <w:rPr>
          <w:rFonts w:ascii="Times New Roman" w:hAnsi="Times New Roman" w:cs="Times New Roman" w:eastAsia="宋体"/>
          <w:b w:val="0"/>
          <w:i/>
          <w:sz w:val="21"/>
        </w:rPr>
        <w:t>N</w:t>
      </w:r>
      <w:r>
        <w:rPr>
          <w:rFonts w:ascii="Times New Roman" w:hAnsi="Times New Roman" w:cs="Times New Roman" w:eastAsia="宋体"/>
          <w:b w:val="0"/>
          <w:i w:val="0"/>
          <w:sz w:val="21"/>
        </w:rPr>
        <w:t xml:space="preserve"> = 1000 件构件、单位处理时间由 28 min 降至 23 min、可变资源费用 800 元/h、新增固定投入 4.00 万元的经济敏感性分析情景下，基准过程总工时为 466.67 h，改进过程总工时为 383.33 h，节约工时 83.33 h，按可变工时费用计算的毛节约为 6.67 万元，扣除新增固定投入后情景净节约为 2.67 万元，盈亏平衡构件数量</w:t>
      </w:r>
      <w:r>
        <w:rPr>
          <w:rFonts w:ascii="Times New Roman" w:hAnsi="Times New Roman" w:cs="Times New Roman" w:eastAsia="宋体"/>
          <w:b w:val="0"/>
          <w:i/>
          <w:sz w:val="21"/>
        </w:rPr>
        <w:t>N</w:t>
      </w:r>
      <w:r>
        <w:rPr>
          <w:rFonts w:ascii="Times New Roman" w:hAnsi="Times New Roman" w:cs="Times New Roman" w:eastAsia="宋体"/>
          <w:b w:val="0"/>
          <w:i w:val="0"/>
          <w:sz w:val="21"/>
          <w:vertAlign w:val="subscript"/>
        </w:rPr>
        <w:t>b</w:t>
      </w:r>
      <w:r>
        <w:rPr>
          <w:rFonts w:ascii="Times New Roman" w:hAnsi="Times New Roman" w:cs="Times New Roman" w:eastAsia="宋体"/>
          <w:b w:val="0"/>
          <w:i w:val="0"/>
          <w:sz w:val="21"/>
        </w:rPr>
        <w:t xml:space="preserve"> = 600 件。此外，安装可预测性提升、检测空间定位及安全风险闭合时间缩短构成了重要的施工组织过程效益，在同类大型铁路货场上盖物流枢纽及装配式工业建筑中具备良好的推广应用前景。</w:t>
      </w:r>
    </w:p>
    <w:p>
      <w:pPr>
        <w:spacing w:before="80" w:after="40" w:line="300" w:lineRule="auto"/>
        <w:ind w:firstLine="0"/>
        <w:jc w:val="both"/>
      </w:pPr>
      <w:r>
        <w:rPr>
          <w:rFonts w:ascii="Times New Roman" w:hAnsi="Times New Roman" w:cs="Times New Roman" w:eastAsia="黑体"/>
          <w:b/>
          <w:i w:val="0"/>
          <w:sz w:val="21"/>
        </w:rPr>
        <w:t>（4）课题设置的科学性和合理性的后评估</w:t>
      </w:r>
    </w:p>
    <w:p>
      <w:pPr>
        <w:spacing w:before="40" w:after="40" w:line="300" w:lineRule="auto"/>
        <w:ind w:firstLine="420"/>
        <w:jc w:val="both"/>
      </w:pPr>
      <w:r>
        <w:rPr>
          <w:rFonts w:ascii="Times New Roman" w:hAnsi="Times New Roman" w:cs="Times New Roman" w:eastAsia="宋体"/>
          <w:b w:val="0"/>
          <w:i w:val="0"/>
          <w:sz w:val="21"/>
        </w:rPr>
        <w:t>本课题紧密依托粤港澳大湾区重点多式联运物流枢纽工程的实际建造需求立项，六个专题按照“实测几何驱动预拼装—施工过程4D虚拟建造—多源环境与结构监测及地面检测—钢管混凝土时频声学检测—安全风险知识图谱与动态分析—高强度施工交通协同优化”的工程逻辑设置，研究对象、物理量与评价判据明确，产学研分工清晰，立项设置科学合理。</w:t>
      </w:r>
    </w:p>
    <w:p>
      <w:pPr>
        <w:spacing w:before="80" w:after="40" w:line="300" w:lineRule="auto"/>
        <w:ind w:firstLine="0"/>
        <w:jc w:val="both"/>
      </w:pPr>
      <w:r>
        <w:rPr>
          <w:rFonts w:ascii="Times New Roman" w:hAnsi="Times New Roman" w:cs="Times New Roman" w:eastAsia="黑体"/>
          <w:b/>
          <w:i w:val="0"/>
          <w:sz w:val="21"/>
        </w:rPr>
        <w:t>（5）经费决算和经费使用评价</w:t>
      </w:r>
    </w:p>
    <w:p>
      <w:pPr>
        <w:spacing w:before="40" w:after="40" w:line="300" w:lineRule="auto"/>
        <w:ind w:firstLine="420"/>
        <w:jc w:val="both"/>
      </w:pPr>
      <w:r>
        <w:rPr>
          <w:rFonts w:ascii="Times New Roman" w:hAnsi="Times New Roman" w:cs="Times New Roman" w:eastAsia="宋体"/>
          <w:b w:val="0"/>
          <w:i w:val="0"/>
          <w:sz w:val="21"/>
        </w:rPr>
        <w:t>本课题立项总预算为 1228.00 万元（其中申请资助 50.00 万元、自筹经费 1178.00 万元；按支出科目分为直接费 1156.48 万元、间接费 2.00 万元、税金 69.52 万元）。课题承担单位严格执行《中铁二十五局集团有限公司科技研究开发计划管理办法》与研发费用辅助账核算制度，设立专账（编码RD18）单独核算。2025年度RD18辅助账实际归集研发费用 692.19 万元（6,921,859.85 元），其中人员人工费用 437.10 万元（4,370,982.50 元）、直接投入费用 247.84 万元（2,478,440.58 元）、其他相关费用 7.24 万元（72,436.77 元），各项经费开支审批手续齐全，专款专用，会计核算准确合规。</w:t>
      </w:r>
    </w:p>
    <w:p>
      <w:pPr>
        <w:spacing w:before="80" w:after="40" w:line="300" w:lineRule="auto"/>
        <w:ind w:firstLine="0"/>
        <w:jc w:val="both"/>
      </w:pPr>
      <w:r>
        <w:rPr>
          <w:rFonts w:ascii="Times New Roman" w:hAnsi="Times New Roman" w:cs="Times New Roman" w:eastAsia="黑体"/>
          <w:b/>
          <w:i w:val="0"/>
          <w:sz w:val="21"/>
        </w:rPr>
        <w:t>（6）组织管理经验</w:t>
      </w:r>
    </w:p>
    <w:p>
      <w:pPr>
        <w:spacing w:before="40" w:after="40" w:line="300" w:lineRule="auto"/>
        <w:ind w:firstLine="420"/>
        <w:jc w:val="both"/>
      </w:pPr>
      <w:r>
        <w:rPr>
          <w:rFonts w:ascii="Times New Roman" w:hAnsi="Times New Roman" w:cs="Times New Roman" w:eastAsia="宋体"/>
          <w:b w:val="0"/>
          <w:i w:val="0"/>
          <w:sz w:val="21"/>
        </w:rPr>
        <w:t>项目实行“集团公司科技数字化部统筹监管+三公司与依托项目部现场组织+中南大学联合研究”的协同工作机制，将构件编码、空间分区、时间窗口与算法模型版本统一管理，确保了现场测量、监测、无损检测与安全交通调度数据的一致性。</w:t>
      </w:r>
    </w:p>
    <w:p>
      <w:pPr>
        <w:spacing w:before="80" w:after="40" w:line="300" w:lineRule="auto"/>
        <w:ind w:firstLine="0"/>
        <w:jc w:val="both"/>
      </w:pPr>
      <w:r>
        <w:rPr>
          <w:rFonts w:ascii="Times New Roman" w:hAnsi="Times New Roman" w:cs="Times New Roman" w:eastAsia="黑体"/>
          <w:b/>
          <w:i w:val="0"/>
          <w:sz w:val="21"/>
        </w:rPr>
        <w:t>（7）存在的问题及后续改进方向</w:t>
      </w:r>
    </w:p>
    <w:p>
      <w:pPr>
        <w:spacing w:before="40" w:after="40" w:line="300" w:lineRule="auto"/>
        <w:ind w:firstLine="420"/>
        <w:jc w:val="both"/>
      </w:pPr>
      <w:r>
        <w:rPr>
          <w:rFonts w:ascii="Times New Roman" w:hAnsi="Times New Roman" w:cs="Times New Roman" w:eastAsia="宋体"/>
          <w:b w:val="0"/>
          <w:i w:val="0"/>
          <w:sz w:val="21"/>
        </w:rPr>
        <w:t>三维点云与BIM模型的坐标基准、采集时间和设计版本需在跨阶段施工中持续保持同步；仓储地面反光、污渍及施工痕迹对细微裂缝识别的影响仍需结合近景标定复测加以控制；后续应进一步结合现场长周期服役监测与同构造浇筑标定试验，持续扩充声学与视觉样本库。</w:t>
      </w:r>
    </w:p>
    <w:p>
      <w:pPr>
        <w:spacing w:before="80" w:after="40" w:line="300" w:lineRule="auto"/>
        <w:ind w:firstLine="0"/>
        <w:jc w:val="both"/>
      </w:pPr>
      <w:r>
        <w:rPr>
          <w:rFonts w:ascii="Times New Roman" w:hAnsi="Times New Roman" w:cs="Times New Roman" w:eastAsia="黑体"/>
          <w:b/>
          <w:i w:val="0"/>
          <w:sz w:val="21"/>
        </w:rPr>
        <w:t>（8）提供验收的技术文件清单（均与归档实物材料一一对应）</w:t>
      </w:r>
    </w:p>
    <w:p>
      <w:pPr>
        <w:spacing w:before="40" w:after="40" w:line="300" w:lineRule="auto"/>
        <w:ind w:firstLine="420"/>
        <w:jc w:val="both"/>
      </w:pPr>
      <w:r>
        <w:rPr>
          <w:rFonts w:ascii="Times New Roman" w:hAnsi="Times New Roman" w:cs="Times New Roman" w:eastAsia="宋体"/>
          <w:b w:val="0"/>
          <w:i w:val="0"/>
          <w:sz w:val="21"/>
        </w:rPr>
        <w:t>① 项目立项批复通知（集团科数网〔2025〕70号）、课题汇总表及《中铁二十五局集团有限公司2025年度科研计划项目/课题申请表》；②《装配整体式大跨度框架结构智能建造关键技术体系研究》研究报告（1份）；③《深圳国际综合物流枢纽中心项目科研进展工作总结》（1份）及科技开发计划课题进展情况表；④ 6项授权国家发明专利证书（ZL202510710807.2、ZL202510845138.X、ZL202510845137.5、ZL202510598192.9、ZL202510598190.X、ZL202510710806.8）；⑤ 2025年度研发支出辅助账汇总表及明细表（RD18）与研发人员名单台账；⑥ 课题联合申报合作协议及先期技术储备专利文件。</w:t>
      </w:r>
    </w:p>
    <w:p>
      <w:pPr>
        <w:pStyle w:val="5"/>
        <w:kinsoku w:val="0"/>
        <w:overflowPunct w:val="0"/>
        <w:spacing w:beforeLines="0" w:afterLines="0"/>
        <w:ind w:left="220"/>
        <w:rPr>
          <w:rFonts w:hint="eastAsia" w:ascii="黑体" w:hAnsi="黑体" w:eastAsia="黑体"/>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Lines="0" w:afterLines="0"/>
        <w:ind w:left="360"/>
        <w:rPr>
          <w:rFonts w:hint="eastAsia" w:ascii="黑体" w:hAnsi="黑体" w:eastAsia="黑体"/>
          <w:color w:val="auto"/>
          <w:sz w:val="24"/>
        </w:rPr>
      </w:pPr>
      <w:r>
        <w:rPr>
          <w:rFonts w:hint="eastAsia" w:ascii="黑体" w:hAnsi="黑体" w:eastAsia="黑体"/>
          <w:color w:val="auto"/>
          <w:sz w:val="24"/>
        </w:rPr>
        <w:t>2、</w:t>
      </w:r>
      <w:r>
        <w:rPr>
          <w:rFonts w:hint="eastAsia" w:ascii="黑体" w:hAnsi="黑体" w:eastAsia="黑体"/>
          <w:color w:val="auto"/>
          <w:sz w:val="24"/>
          <w:szCs w:val="22"/>
          <w:lang w:val="en-US" w:eastAsia="zh-CN"/>
        </w:rPr>
        <w:t>项目/</w:t>
      </w:r>
      <w:r>
        <w:rPr>
          <w:rFonts w:hint="eastAsia" w:ascii="黑体" w:hAnsi="黑体" w:eastAsia="黑体"/>
          <w:color w:val="auto"/>
          <w:sz w:val="24"/>
        </w:rPr>
        <w:t>课题参加单位及主要研究人员</w:t>
      </w:r>
    </w:p>
    <w:p>
      <w:pPr>
        <w:pStyle w:val="5"/>
        <w:kinsoku w:val="0"/>
        <w:overflowPunct w:val="0"/>
        <w:spacing w:before="10" w:beforeLines="0" w:afterLines="0"/>
        <w:rPr>
          <w:rFonts w:hint="eastAsia" w:ascii="黑体" w:hAnsi="黑体" w:eastAsia="黑体"/>
          <w:color w:val="auto"/>
          <w:sz w:val="8"/>
        </w:rPr>
      </w:pPr>
    </w:p>
    <w:tbl>
      <w:tblPr>
        <w:tblStyle w:val="6"/>
        <w:tblW w:w="9182" w:type="dxa"/>
        <w:tblInd w:w="2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1037"/>
        <w:gridCol w:w="511"/>
        <w:gridCol w:w="540"/>
        <w:gridCol w:w="1261"/>
        <w:gridCol w:w="3017"/>
        <w:gridCol w:w="1016"/>
        <w:gridCol w:w="1800"/>
      </w:tblGrid>
      <w:tr>
        <w:trPr>
          <w:trHeight w:val="340" w:hRule="atLeast"/>
        </w:trPr>
        <w:tc>
          <w:tcPr>
            <w:tcW w:w="3349" w:type="dxa"/>
            <w:gridSpan w:val="4"/>
            <w:tcBorders>
              <w:top w:val="single" w:color="000000" w:sz="10" w:space="0"/>
              <w:left w:val="single" w:color="000000" w:sz="10" w:space="0"/>
              <w:bottom w:val="single" w:color="000000" w:sz="4" w:space="0"/>
              <w:right w:val="single" w:color="000000" w:sz="4" w:space="0"/>
              <w:tl2br w:val="nil"/>
              <w:tr2bl w:val="nil"/>
            </w:tcBorders>
            <w:vAlign w:val="center"/>
          </w:tcPr>
          <w:p>
            <w:pPr>
              <w:pStyle w:val="9"/>
              <w:kinsoku w:val="0"/>
              <w:overflowPunct w:val="0"/>
              <w:spacing w:before="39" w:beforeLines="0" w:afterLines="0"/>
              <w:ind w:left="93"/>
              <w:jc w:val="center"/>
              <w:rPr>
                <w:rFonts w:hint="default"/>
                <w:color w:val="auto"/>
                <w:sz w:val="24"/>
              </w:rPr>
            </w:pPr>
            <w:r>
              <w:rPr>
                <w:rFonts w:hint="eastAsia"/>
                <w:color w:val="auto"/>
                <w:sz w:val="24"/>
              </w:rPr>
              <w:t>参 加 单 位 名 称</w:t>
            </w:r>
          </w:p>
        </w:tc>
        <w:tc>
          <w:tcPr>
            <w:tcW w:w="4033" w:type="dxa"/>
            <w:gridSpan w:val="2"/>
            <w:tcBorders>
              <w:top w:val="single" w:color="000000" w:sz="10" w:space="0"/>
              <w:left w:val="single" w:color="000000" w:sz="4" w:space="0"/>
              <w:bottom w:val="single" w:color="000000" w:sz="4" w:space="0"/>
              <w:right w:val="single" w:color="000000" w:sz="4" w:space="0"/>
              <w:tl2br w:val="nil"/>
              <w:tr2bl w:val="nil"/>
            </w:tcBorders>
            <w:vAlign w:val="center"/>
          </w:tcPr>
          <w:p>
            <w:pPr>
              <w:pStyle w:val="9"/>
              <w:kinsoku w:val="0"/>
              <w:overflowPunct w:val="0"/>
              <w:spacing w:before="39" w:beforeLines="0" w:afterLines="0"/>
              <w:jc w:val="center"/>
              <w:rPr>
                <w:rFonts w:hint="default"/>
                <w:color w:val="auto"/>
                <w:sz w:val="24"/>
              </w:rPr>
            </w:pPr>
            <w:r>
              <w:rPr>
                <w:rFonts w:hint="eastAsia"/>
                <w:color w:val="auto"/>
                <w:sz w:val="24"/>
              </w:rPr>
              <w:t>研 究 任 务 及 分 工</w:t>
            </w:r>
          </w:p>
        </w:tc>
        <w:tc>
          <w:tcPr>
            <w:tcW w:w="1800" w:type="dxa"/>
            <w:tcBorders>
              <w:top w:val="single" w:color="000000" w:sz="10" w:space="0"/>
              <w:left w:val="single" w:color="000000" w:sz="4" w:space="0"/>
              <w:bottom w:val="single" w:color="000000" w:sz="4" w:space="0"/>
              <w:right w:val="single" w:color="000000" w:sz="10" w:space="0"/>
              <w:tl2br w:val="nil"/>
              <w:tr2bl w:val="nil"/>
            </w:tcBorders>
            <w:vAlign w:val="center"/>
          </w:tcPr>
          <w:p>
            <w:pPr>
              <w:pStyle w:val="9"/>
              <w:kinsoku w:val="0"/>
              <w:overflowPunct w:val="0"/>
              <w:spacing w:before="39" w:beforeLines="0" w:afterLines="0"/>
              <w:jc w:val="center"/>
              <w:rPr>
                <w:rFonts w:hint="default"/>
                <w:color w:val="auto"/>
                <w:sz w:val="24"/>
              </w:rPr>
            </w:pPr>
            <w:r>
              <w:rPr>
                <w:rFonts w:hint="eastAsia"/>
                <w:color w:val="auto"/>
                <w:sz w:val="24"/>
              </w:rPr>
              <w:t>经费分配</w:t>
            </w: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1. 中铁二十五局集团第三工程有限公司</w:t>
            </w: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第一承担单位：全面负责课题现场组织实施、大跨度钢结构预拼装、BIM虚拟建造、施工监测、声学密实度试验及交通组织应用</w:t>
            </w: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自筹1178.00万元（2025年归集692.19万元）</w:t>
            </w: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2. 中铁二十五局集团有限公司</w:t>
            </w: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集团统筹单位：负责课题立项管理、集团级技术中心平台支持、三维可视化及多源传感算法协同研发与知识产权管理</w:t>
            </w: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申请资助50.00万元</w:t>
            </w: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3. 中南大学</w:t>
            </w: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联合研发单位：参与三维激光点云分割配准理论、钢管混凝土时频声学反演模型及施工安全知识图谱-系统动力学建模研究</w:t>
            </w: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按合作协议执行</w:t>
            </w: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Lines="0" w:afterLines="0"/>
              <w:rPr>
                <w:rFonts w:hint="default"/>
                <w:color w:val="auto"/>
                <w:sz w:val="24"/>
              </w:rPr>
            </w:pP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Lines="0" w:afterLines="0"/>
              <w:rPr>
                <w:rFonts w:hint="default"/>
                <w:color w:val="auto"/>
                <w:sz w:val="24"/>
              </w:rPr>
            </w:pPr>
          </w:p>
        </w:tc>
      </w:tr>
      <w:tr>
        <w:trPr>
          <w:trHeight w:val="340" w:hRule="atLeast"/>
        </w:trPr>
        <w:tc>
          <w:tcPr>
            <w:tcW w:w="3349" w:type="dxa"/>
            <w:gridSpan w:val="4"/>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4033"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rPr>
                <w:rFonts w:hint="default"/>
                <w:color w:val="auto"/>
                <w:sz w:val="24"/>
              </w:rPr>
            </w:pPr>
          </w:p>
        </w:tc>
        <w:tc>
          <w:tcPr>
            <w:tcW w:w="1800"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Lines="0" w:afterLines="0"/>
              <w:rPr>
                <w:rFonts w:hint="default"/>
                <w:color w:val="auto"/>
                <w:sz w:val="24"/>
              </w:rPr>
            </w:pP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szCs w:val="22"/>
                <w:lang w:val="en-US" w:eastAsia="zh-CN"/>
              </w:rPr>
              <w:t>项目/</w:t>
            </w:r>
            <w:r>
              <w:rPr>
                <w:rFonts w:hint="eastAsia"/>
                <w:color w:val="auto"/>
              </w:rPr>
              <w:t>课 题负责人</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性别</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年龄</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职 务</w:t>
            </w:r>
          </w:p>
          <w:p>
            <w:pPr>
              <w:jc w:val="center"/>
              <w:rPr>
                <w:rFonts w:hint="default"/>
                <w:color w:val="auto"/>
              </w:rPr>
            </w:pPr>
            <w:r>
              <w:rPr>
                <w:rFonts w:hint="eastAsia"/>
                <w:color w:val="auto"/>
              </w:rPr>
              <w:t>职 称</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12" w:beforeLines="0" w:afterLines="0"/>
              <w:rPr>
                <w:rFonts w:hint="eastAsia" w:ascii="黑体" w:hAnsi="黑体" w:eastAsia="黑体"/>
                <w:color w:val="auto"/>
                <w:sz w:val="20"/>
              </w:rPr>
            </w:pPr>
          </w:p>
          <w:p>
            <w:pPr>
              <w:pStyle w:val="9"/>
              <w:kinsoku w:val="0"/>
              <w:overflowPunct w:val="0"/>
              <w:spacing w:before="1" w:beforeLines="0" w:afterLines="0"/>
              <w:ind w:left="583"/>
              <w:rPr>
                <w:rFonts w:hint="default"/>
                <w:color w:val="auto"/>
                <w:sz w:val="24"/>
              </w:rPr>
            </w:pPr>
            <w:r>
              <w:rPr>
                <w:rFonts w:hint="eastAsia"/>
                <w:color w:val="auto"/>
                <w:sz w:val="24"/>
              </w:rPr>
              <w:t>研究任务及分工</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pStyle w:val="9"/>
              <w:kinsoku w:val="0"/>
              <w:overflowPunct w:val="0"/>
              <w:spacing w:before="12" w:beforeLines="0" w:afterLines="0"/>
              <w:rPr>
                <w:rFonts w:hint="eastAsia" w:ascii="黑体" w:hAnsi="黑体" w:eastAsia="黑体"/>
                <w:color w:val="auto"/>
                <w:sz w:val="20"/>
              </w:rPr>
            </w:pPr>
          </w:p>
          <w:p>
            <w:pPr>
              <w:pStyle w:val="9"/>
              <w:kinsoku w:val="0"/>
              <w:overflowPunct w:val="0"/>
              <w:spacing w:before="1" w:beforeLines="0" w:afterLines="0"/>
              <w:jc w:val="center"/>
              <w:rPr>
                <w:rFonts w:hint="default"/>
                <w:color w:val="auto"/>
                <w:sz w:val="24"/>
              </w:rPr>
            </w:pPr>
            <w:r>
              <w:rPr>
                <w:rFonts w:hint="eastAsia"/>
                <w:color w:val="auto"/>
                <w:sz w:val="24"/>
              </w:rPr>
              <w:t>所 在 单 位</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杨磊</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47</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项目总工/高级工程师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9"/>
              </w:rPr>
              <w:t>课题负责人，负责总体筹划、技术路线制定及六大专题协调推进</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9"/>
              </w:rPr>
              <w:t>中铁二十五局集团第三工程有限公司</w:t>
            </w:r>
          </w:p>
        </w:tc>
      </w:tr>
      <w:tr>
        <w:trPr>
          <w:trHeight w:val="340" w:hRule="atLeast"/>
        </w:trPr>
        <w:tc>
          <w:tcPr>
            <w:tcW w:w="9182" w:type="dxa"/>
            <w:gridSpan w:val="7"/>
            <w:tcBorders>
              <w:top w:val="single" w:color="000000" w:sz="4" w:space="0"/>
              <w:left w:val="single" w:color="000000" w:sz="10" w:space="0"/>
              <w:bottom w:val="single" w:color="000000" w:sz="4" w:space="0"/>
              <w:right w:val="single" w:color="000000" w:sz="10" w:space="0"/>
              <w:tl2br w:val="nil"/>
              <w:tr2bl w:val="nil"/>
            </w:tcBorders>
            <w:vAlign w:val="top"/>
          </w:tcPr>
          <w:p>
            <w:pPr>
              <w:pStyle w:val="9"/>
              <w:kinsoku w:val="0"/>
              <w:overflowPunct w:val="0"/>
              <w:spacing w:before="75" w:beforeLines="0" w:afterLines="0"/>
              <w:ind w:left="93"/>
              <w:rPr>
                <w:rFonts w:hint="default"/>
                <w:color w:val="auto"/>
                <w:sz w:val="24"/>
              </w:rPr>
            </w:pPr>
            <w:r>
              <w:rPr>
                <w:rFonts w:hint="eastAsia"/>
                <w:color w:val="auto"/>
                <w:sz w:val="24"/>
              </w:rPr>
              <w:t>主要研究人员</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邓波</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39</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工程部长/高级工程师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专题一、三骨干，负责钢框架预拼装与金刚砂地面双光融合缺陷检测</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黄宗深</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38</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技术主管/高级工程师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专题一、四骨干，负责大跨度钢结构精细安装与钢管混凝土声学检测</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麦志泉</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36</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安质部长/高级工程师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专题三、五骨干，负责多源传感结构安全监测与风险管控模型现场验证</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袁梦楠</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女</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33</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BIM中心主任/工程师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专题二、三骨干，负责BIM参数化建模、三维点云分割与4D虚拟建造</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谷峰</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40</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监测主管/高级工程师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专题三负责人，负责多传感器融合监测网布设与激光移动扫描配准</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卿德文</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37</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试验主任/工程师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专题四骨干，负责钢管混凝土横隔板下密实度声学标定与对比试验</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蔡钊文</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35</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信息化主管/工程师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专题三骨干，负责多源环境传感数据融合评估与GRU变形预测研发</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王博</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36</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数字建造主管/工程师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专题二负责人，负责施工区域三维可视化装置与大型吊装4D仿真开发</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王宁</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38</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研发高工/高级工程师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专题一、四核心算法研发，负责BIM引导点云分割与时频域声学算法</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洪威</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34</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结构工程师/工程师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专题一骨干，负责大跨度钢梁刚体配准SVD求解与不确定度保护带校核</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许鹏程</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33</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无损检测工程师/工程师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专题四骨干，负责超声波走时差与小波包能量熵密实度反演系统研制</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中铁二十五局集团有限公司</w:t>
            </w:r>
          </w:p>
        </w:tc>
      </w:tr>
      <w:tr>
        <w:trPr>
          <w:trHeight w:val="340" w:hRule="atLeast"/>
        </w:trPr>
        <w:tc>
          <w:tcPr>
            <w:tcW w:w="1037"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熊林</w:t>
            </w:r>
          </w:p>
        </w:tc>
        <w:tc>
          <w:tcPr>
            <w:tcW w:w="51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57</w:t>
            </w:r>
          </w:p>
        </w:tc>
        <w:tc>
          <w:tcPr>
            <w:tcW w:w="126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技术专家/高级工程师</w:t>
            </w:r>
          </w:p>
        </w:tc>
        <w:tc>
          <w:tcPr>
            <w:tcW w:w="3017"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专题一方案审查与大跨度重载钢框架安装施工工艺指导</w:t>
            </w:r>
          </w:p>
        </w:tc>
        <w:tc>
          <w:tcPr>
            <w:tcW w:w="2816" w:type="dxa"/>
            <w:gridSpan w:val="2"/>
            <w:tcBorders>
              <w:top w:val="single" w:color="000000" w:sz="4" w:space="0"/>
              <w:left w:val="single" w:color="000000" w:sz="4" w:space="0"/>
              <w:bottom w:val="single" w:color="000000" w:sz="4"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袁朝辉</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42</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生产副经理/高级工程师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专题六负责人，负责高强度施工场内物流排队优化与六位一体交通组织</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王川</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36</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机电总工/高级工程师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专题二、四骨干，负责24 t偏心吊装力学核算与超声感知工装试制</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匡旭</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37</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测量队长/工程师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专题一、三骨干，负责全站仪与地面三维激光雷达多测站控制网测量</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黄新明</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52</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质检高工/高级工程师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专题一、三质量核验，负责端板高强螺栓穿孔率与地面平整度实测实量</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侯铁祥</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57</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安全总监/高级工程师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专题五负责人，负责施工安全知识图谱构建与系统动力学隐患闭环管控</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何家宏</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35</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结构主管/工程师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专题一、二骨干，负责压型钢板-现浇混凝土楼承板时变挠度监测分析</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霍增发</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32</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施工主管/工程师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专题六骨干，负责闸口车辆到达率统计、错峰预约调度与微循环实施</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杨铁峰</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33</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试验工程师/工程师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专题三、四骨干，负责金刚砂骨料耐磨度测试与C50自密实混凝土配比</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李云武</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32</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BIM工程师/工程师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专题二骨干，负责群塔作业防碰撞包络建模与虚拟建造交底系统维护</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张玮</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28</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监测工程师/助理工程师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专题三骨干，负责振弦应变计、双轴倾角仪与温湿度传感器数据采集</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段荣</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27</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技术员/助理工程师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专题一、四骨干，负责激光扫描点云去噪处理与声学阵列现场布设记录</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刘兆</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男</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27</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技术员/助理工程师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专题五、六骨干，负责安全隐患台账数字化录入与场内交通流视频提取</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r>
        <w:trPr>
          <w:trHeight w:val="340" w:hRule="atLeast"/>
        </w:trPr>
        <w:tc>
          <w:tcPr>
            <w:tcW w:w="1037" w:type="dxa"/>
            <w:tcBorders>
              <w:top w:val="single" w:color="000000" w:sz="4" w:space="0"/>
              <w:left w:val="single" w:color="000000" w:sz="10"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杨颖</w:t>
            </w:r>
          </w:p>
        </w:tc>
        <w:tc>
          <w:tcPr>
            <w:tcW w:w="51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女</w:t>
            </w:r>
          </w:p>
        </w:tc>
        <w:tc>
          <w:tcPr>
            <w:tcW w:w="540"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25</w:t>
            </w:r>
          </w:p>
        </w:tc>
        <w:tc>
          <w:tcPr>
            <w:tcW w:w="1261"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科研助理/助理工程师</w:t>
            </w:r>
          </w:p>
        </w:tc>
        <w:tc>
          <w:tcPr>
            <w:tcW w:w="3017" w:type="dxa"/>
            <w:tcBorders>
              <w:top w:val="single" w:color="000000" w:sz="4" w:space="0"/>
              <w:left w:val="single" w:color="000000" w:sz="4" w:space="0"/>
              <w:bottom w:val="single" w:color="000000" w:sz="10" w:space="0"/>
              <w:right w:val="single" w:color="000000" w:sz="4" w:space="0"/>
              <w:tl2br w:val="nil"/>
              <w:tr2bl w:val="nil"/>
            </w:tcBorders>
            <w:vAlign w:val="top"/>
          </w:tcPr>
          <w:p>
            <w:pPr>
              <w:spacing w:before="40" w:after="40" w:line="288" w:lineRule="auto"/>
              <w:jc w:val="left"/>
            </w:pPr>
            <w:r>
              <w:rPr>
                <w:rFonts w:ascii="Times New Roman" w:hAnsi="Times New Roman" w:cs="Times New Roman" w:eastAsia="宋体"/>
                <w:b w:val="0"/>
                <w:i w:val="0"/>
                <w:sz w:val="18"/>
              </w:rPr>
              <w:t>科研档案归集、知识产权申报跟进及课题研发经费预算与支出台账管理</w:t>
            </w:r>
          </w:p>
        </w:tc>
        <w:tc>
          <w:tcPr>
            <w:tcW w:w="2816" w:type="dxa"/>
            <w:gridSpan w:val="2"/>
            <w:tcBorders>
              <w:top w:val="single" w:color="000000" w:sz="4" w:space="0"/>
              <w:left w:val="single" w:color="000000" w:sz="4" w:space="0"/>
              <w:bottom w:val="single" w:color="000000" w:sz="10" w:space="0"/>
              <w:right w:val="single" w:color="000000" w:sz="10" w:space="0"/>
              <w:tl2br w:val="nil"/>
              <w:tr2bl w:val="nil"/>
            </w:tcBorders>
            <w:vAlign w:val="top"/>
          </w:tcPr>
          <w:p>
            <w:pPr>
              <w:spacing w:before="40" w:after="40" w:line="288" w:lineRule="auto"/>
              <w:jc w:val="center"/>
            </w:pPr>
            <w:r>
              <w:rPr>
                <w:rFonts w:ascii="Times New Roman" w:hAnsi="Times New Roman" w:cs="Times New Roman" w:eastAsia="宋体"/>
                <w:b w:val="0"/>
                <w:i w:val="0"/>
                <w:sz w:val="18"/>
              </w:rPr>
              <w:t>中铁二十五局集团第三工程有限公司</w:t>
            </w:r>
          </w:p>
        </w:tc>
      </w:tr>
    </w:tbl>
    <w:p>
      <w:pPr>
        <w:pStyle w:val="5"/>
        <w:kinsoku w:val="0"/>
        <w:overflowPunct w:val="0"/>
        <w:spacing w:before="89" w:beforeLines="0" w:afterLines="0"/>
        <w:ind w:right="824"/>
        <w:jc w:val="right"/>
        <w:rPr>
          <w:rFonts w:hint="eastAsia"/>
          <w:b/>
          <w:color w:val="auto"/>
          <w:w w:val="95"/>
          <w:sz w:val="18"/>
        </w:rPr>
      </w:pPr>
      <w:r>
        <w:rPr>
          <w:rFonts w:hint="eastAsia"/>
          <w:b/>
          <w:color w:val="auto"/>
          <w:w w:val="95"/>
          <w:sz w:val="18"/>
        </w:rPr>
        <w:t>（纸面不敷，请另加页）</w:t>
      </w:r>
    </w:p>
    <w:p>
      <w:pPr>
        <w:pStyle w:val="5"/>
        <w:kinsoku w:val="0"/>
        <w:overflowPunct w:val="0"/>
        <w:spacing w:before="89" w:beforeLines="0" w:afterLines="0"/>
        <w:ind w:right="824"/>
        <w:jc w:val="right"/>
        <w:rPr>
          <w:rFonts w:hint="eastAsia"/>
          <w:b/>
          <w:color w:val="auto"/>
          <w:w w:val="95"/>
          <w:sz w:val="18"/>
        </w:rPr>
        <w:sectPr>
          <w:pgSz w:w="11910" w:h="16840"/>
          <w:pgMar w:top="1417" w:right="1417" w:bottom="1417" w:left="1531" w:header="720" w:footer="720" w:gutter="0"/>
          <w:lnNumType w:countBy="0" w:distance="360"/>
          <w:cols w:space="720" w:num="1"/>
          <w:rtlGutter w:val="0"/>
          <w:docGrid w:linePitch="0" w:charSpace="0"/>
        </w:sectPr>
      </w:pPr>
    </w:p>
    <w:p>
      <w:pPr>
        <w:pStyle w:val="5"/>
        <w:tabs>
          <w:tab w:val="left" w:pos="7641"/>
        </w:tabs>
        <w:kinsoku w:val="0"/>
        <w:overflowPunct w:val="0"/>
        <w:spacing w:beforeLines="0" w:afterLines="0"/>
        <w:ind w:left="320"/>
        <w:rPr>
          <w:rFonts w:hint="eastAsia"/>
          <w:color w:val="auto"/>
          <w:sz w:val="24"/>
        </w:rPr>
      </w:pPr>
      <w:r>
        <w:rPr>
          <w:rFonts w:hint="eastAsia" w:ascii="黑体" w:hAnsi="黑体" w:eastAsia="黑体"/>
          <w:color w:val="auto"/>
          <w:sz w:val="24"/>
        </w:rPr>
        <w:t>3、</w:t>
      </w:r>
      <w:r>
        <w:rPr>
          <w:rFonts w:hint="eastAsia" w:ascii="黑体" w:hAnsi="黑体" w:eastAsia="黑体"/>
          <w:color w:val="auto"/>
          <w:sz w:val="24"/>
          <w:szCs w:val="22"/>
          <w:lang w:val="en-US" w:eastAsia="zh-CN"/>
        </w:rPr>
        <w:t>项目/</w:t>
      </w:r>
      <w:r>
        <w:rPr>
          <w:rFonts w:hint="eastAsia" w:ascii="黑体" w:hAnsi="黑体" w:eastAsia="黑体"/>
          <w:color w:val="auto"/>
          <w:sz w:val="24"/>
          <w:szCs w:val="22"/>
        </w:rPr>
        <w:t>课</w:t>
      </w:r>
      <w:r>
        <w:rPr>
          <w:rFonts w:hint="eastAsia" w:ascii="黑体" w:hAnsi="黑体" w:eastAsia="黑体"/>
          <w:color w:val="auto"/>
          <w:sz w:val="24"/>
        </w:rPr>
        <w:t>题经费决算表</w:t>
      </w:r>
      <w:r>
        <w:rPr>
          <w:rFonts w:hint="eastAsia" w:ascii="黑体" w:hAnsi="黑体" w:eastAsia="黑体"/>
          <w:color w:val="auto"/>
          <w:sz w:val="24"/>
        </w:rPr>
        <w:tab/>
      </w:r>
      <w:r>
        <w:rPr>
          <w:rFonts w:hint="eastAsia"/>
          <w:color w:val="auto"/>
          <w:sz w:val="24"/>
        </w:rPr>
        <w:t>单位：万元</w:t>
      </w:r>
    </w:p>
    <w:p>
      <w:pPr>
        <w:pStyle w:val="5"/>
        <w:kinsoku w:val="0"/>
        <w:overflowPunct w:val="0"/>
        <w:spacing w:before="10" w:beforeLines="0" w:afterLines="0"/>
        <w:rPr>
          <w:rFonts w:hint="eastAsia"/>
          <w:color w:val="auto"/>
          <w:sz w:val="8"/>
        </w:rPr>
      </w:pPr>
    </w:p>
    <w:tbl>
      <w:tblPr>
        <w:tblStyle w:val="6"/>
        <w:tblW w:w="9543" w:type="dxa"/>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2230"/>
        <w:gridCol w:w="1013"/>
        <w:gridCol w:w="1490"/>
        <w:gridCol w:w="967"/>
        <w:gridCol w:w="1743"/>
        <w:gridCol w:w="1219"/>
        <w:gridCol w:w="881"/>
      </w:tblGrid>
      <w:tr>
        <w:trPr>
          <w:trHeight w:val="260" w:hRule="atLeast"/>
        </w:trPr>
        <w:tc>
          <w:tcPr>
            <w:tcW w:w="3243" w:type="dxa"/>
            <w:gridSpan w:val="2"/>
            <w:tcBorders>
              <w:top w:val="single" w:color="000000" w:sz="10" w:space="0"/>
              <w:left w:val="single" w:color="000000" w:sz="10"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rPr>
              <w:t>经费来源预算</w:t>
            </w:r>
          </w:p>
        </w:tc>
        <w:tc>
          <w:tcPr>
            <w:tcW w:w="6300" w:type="dxa"/>
            <w:gridSpan w:val="5"/>
            <w:tcBorders>
              <w:top w:val="single" w:color="000000" w:sz="10" w:space="0"/>
              <w:left w:val="single" w:color="000000" w:sz="4" w:space="0"/>
              <w:bottom w:val="single" w:color="000000" w:sz="4" w:space="0"/>
              <w:right w:val="single" w:color="000000" w:sz="10" w:space="0"/>
              <w:tl2br w:val="nil"/>
              <w:tr2bl w:val="nil"/>
            </w:tcBorders>
            <w:vAlign w:val="center"/>
          </w:tcPr>
          <w:p>
            <w:pPr>
              <w:spacing w:before="0" w:after="0" w:line="240" w:lineRule="auto"/>
              <w:jc w:val="center"/>
              <w:rPr>
                <w:rFonts w:hint="default"/>
                <w:color w:val="auto"/>
              </w:rPr>
            </w:pPr>
            <w:r>
              <w:rPr>
                <w:rFonts w:hint="eastAsia"/>
                <w:color w:val="auto"/>
              </w:rPr>
              <w:t>经费支出预算</w:t>
            </w:r>
          </w:p>
        </w:tc>
      </w:tr>
      <w:tr>
        <w:trPr>
          <w:trHeight w:val="260" w:hRule="atLeast"/>
        </w:trPr>
        <w:tc>
          <w:tcPr>
            <w:tcW w:w="2230" w:type="dxa"/>
            <w:vMerge w:val="restart"/>
            <w:tcBorders>
              <w:top w:val="single" w:color="000000" w:sz="4" w:space="0"/>
              <w:left w:val="single" w:color="000000" w:sz="10"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rPr>
              <w:t>科</w:t>
            </w:r>
            <w:r>
              <w:rPr>
                <w:rFonts w:hint="eastAsia"/>
                <w:color w:val="auto"/>
              </w:rPr>
              <w:tab/>
            </w:r>
            <w:r>
              <w:rPr>
                <w:rFonts w:hint="eastAsia"/>
                <w:color w:val="auto"/>
              </w:rPr>
              <w:t>目</w:t>
            </w:r>
          </w:p>
        </w:tc>
        <w:tc>
          <w:tcPr>
            <w:tcW w:w="1013" w:type="dxa"/>
            <w:vMerge w:val="restart"/>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rPr>
              <w:t>预算数</w:t>
            </w:r>
          </w:p>
        </w:tc>
        <w:tc>
          <w:tcPr>
            <w:tcW w:w="2457" w:type="dxa"/>
            <w:gridSpan w:val="2"/>
            <w:vMerge w:val="restart"/>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rPr>
              <w:t>科</w:t>
            </w:r>
            <w:r>
              <w:rPr>
                <w:rFonts w:hint="eastAsia"/>
                <w:color w:val="auto"/>
              </w:rPr>
              <w:tab/>
            </w:r>
            <w:r>
              <w:rPr>
                <w:rFonts w:hint="eastAsia"/>
                <w:color w:val="auto"/>
              </w:rPr>
              <w:t>目</w:t>
            </w:r>
          </w:p>
        </w:tc>
        <w:tc>
          <w:tcPr>
            <w:tcW w:w="3843" w:type="dxa"/>
            <w:gridSpan w:val="3"/>
            <w:tcBorders>
              <w:top w:val="single" w:color="000000" w:sz="4" w:space="0"/>
              <w:left w:val="single" w:color="000000" w:sz="4" w:space="0"/>
              <w:bottom w:val="single" w:color="000000" w:sz="4" w:space="0"/>
              <w:right w:val="single" w:color="000000" w:sz="10" w:space="0"/>
              <w:tl2br w:val="nil"/>
              <w:tr2bl w:val="nil"/>
            </w:tcBorders>
            <w:vAlign w:val="center"/>
          </w:tcPr>
          <w:p>
            <w:pPr>
              <w:spacing w:before="0" w:after="0" w:line="240" w:lineRule="auto"/>
              <w:jc w:val="center"/>
              <w:rPr>
                <w:rFonts w:hint="default"/>
                <w:color w:val="auto"/>
              </w:rPr>
            </w:pPr>
            <w:r>
              <w:rPr>
                <w:rFonts w:hint="eastAsia"/>
                <w:color w:val="auto"/>
              </w:rPr>
              <w:t>预 算 数</w:t>
            </w:r>
          </w:p>
        </w:tc>
      </w:tr>
      <w:tr>
        <w:trPr>
          <w:trHeight w:val="260" w:hRule="atLeast"/>
        </w:trPr>
        <w:tc>
          <w:tcPr>
            <w:tcW w:w="2230" w:type="dxa"/>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p>
        </w:tc>
        <w:tc>
          <w:tcPr>
            <w:tcW w:w="1013" w:type="dxa"/>
            <w:vMerge w:val="continue"/>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p>
        </w:tc>
        <w:tc>
          <w:tcPr>
            <w:tcW w:w="2457" w:type="dxa"/>
            <w:gridSpan w:val="2"/>
            <w:vMerge w:val="continue"/>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p>
        </w:tc>
        <w:tc>
          <w:tcPr>
            <w:tcW w:w="1743" w:type="dxa"/>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lang w:val="en-US" w:eastAsia="zh-CN"/>
              </w:rPr>
              <w:t>集团</w:t>
            </w:r>
            <w:r>
              <w:rPr>
                <w:rFonts w:hint="eastAsia"/>
                <w:color w:val="auto"/>
              </w:rPr>
              <w:t>公司拨款</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center"/>
              <w:rPr>
                <w:rFonts w:hint="default"/>
                <w:color w:val="auto"/>
              </w:rPr>
            </w:pPr>
            <w:r>
              <w:rPr>
                <w:rFonts w:hint="eastAsia"/>
                <w:color w:val="auto"/>
              </w:rPr>
              <w:t>其他拨款</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0" w:after="0" w:line="240" w:lineRule="auto"/>
              <w:jc w:val="center"/>
              <w:rPr>
                <w:rFonts w:hint="default"/>
                <w:color w:val="auto"/>
              </w:rPr>
            </w:pPr>
            <w:r>
              <w:rPr>
                <w:rFonts w:hint="eastAsia"/>
                <w:color w:val="auto"/>
              </w:rPr>
              <w:t>合计</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93"/>
              <w:rPr>
                <w:rFonts w:hint="default"/>
                <w:color w:val="auto"/>
                <w:sz w:val="24"/>
              </w:rPr>
            </w:pPr>
            <w:r>
              <w:rPr>
                <w:rFonts w:hint="eastAsia"/>
                <w:color w:val="auto"/>
                <w:sz w:val="24"/>
              </w:rPr>
              <w:t>来源预算合计</w:t>
            </w: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1228.00</w:t>
            </w: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支出预算合计</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50.00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1178.00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i w:val="0"/>
                <w:sz w:val="19"/>
              </w:rPr>
              <w:t>1228.00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93"/>
              <w:rPr>
                <w:rFonts w:hint="default"/>
                <w:color w:val="auto"/>
                <w:sz w:val="24"/>
              </w:rPr>
            </w:pPr>
            <w:r>
              <w:rPr>
                <w:rFonts w:hint="eastAsia"/>
                <w:color w:val="auto"/>
                <w:sz w:val="24"/>
              </w:rPr>
              <w:t>一、</w:t>
            </w:r>
            <w:r>
              <w:rPr>
                <w:rFonts w:hint="eastAsia"/>
                <w:color w:val="auto"/>
                <w:sz w:val="24"/>
                <w:lang w:val="en-US" w:eastAsia="zh-CN"/>
              </w:rPr>
              <w:t>集团</w:t>
            </w:r>
            <w:r>
              <w:rPr>
                <w:rFonts w:hint="eastAsia"/>
                <w:color w:val="auto"/>
                <w:sz w:val="24"/>
              </w:rPr>
              <w:t>公司拨款</w:t>
            </w: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50.00</w:t>
            </w: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一、直接费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50.00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1106.48</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i w:val="0"/>
                <w:sz w:val="19"/>
              </w:rPr>
              <w:t>1156.48</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93"/>
              <w:rPr>
                <w:rFonts w:hint="default"/>
                <w:color w:val="auto"/>
                <w:sz w:val="24"/>
              </w:rPr>
            </w:pPr>
            <w:r>
              <w:rPr>
                <w:rFonts w:hint="eastAsia"/>
                <w:color w:val="auto"/>
                <w:sz w:val="24"/>
              </w:rPr>
              <w:t>二、单位自筹款</w:t>
            </w: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1178.00</w:t>
            </w: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1.人工费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89.40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89.40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93"/>
              <w:rPr>
                <w:rFonts w:hint="default"/>
                <w:color w:val="auto"/>
                <w:sz w:val="24"/>
              </w:rPr>
            </w:pPr>
            <w:r>
              <w:rPr>
                <w:rFonts w:hint="eastAsia"/>
                <w:color w:val="auto"/>
                <w:sz w:val="24"/>
              </w:rPr>
              <w:t>三、其它来源</w:t>
            </w: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2.设备费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489.05</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539.05</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0" w:after="0" w:line="240" w:lineRule="auto"/>
              <w:jc w:val="left"/>
            </w:pPr>
            <w:r>
              <w:rPr>
                <w:rFonts w:ascii="Times New Roman" w:hAnsi="Times New Roman" w:cs="Times New Roman" w:eastAsia="宋体"/>
                <w:b w:val="0"/>
                <w:i w:val="0"/>
                <w:sz w:val="17"/>
              </w:rPr>
              <w:t>2025年RD18实归集</w:t>
            </w: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8"/>
              </w:rPr>
              <w:t>692.19</w:t>
            </w: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（1）购置设备费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264.05</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314.05</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（2）试制设备费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225.00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225.00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（3）设备租赁费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3.材料费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169.10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169.10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4.测试化验加工费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198.70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198.70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5.燃料动力费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6.差旅费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7.会议费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40.00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40.00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both"/>
              <w:rPr>
                <w:rFonts w:hint="default"/>
                <w:color w:val="auto"/>
              </w:rPr>
            </w:pPr>
            <w:r>
              <w:rPr>
                <w:rFonts w:hint="eastAsia"/>
                <w:color w:val="auto"/>
              </w:rPr>
              <w:t>8.国际合作交流费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spacing w:before="0" w:after="0" w:line="240" w:lineRule="auto"/>
              <w:jc w:val="both"/>
              <w:rPr>
                <w:rFonts w:hint="default"/>
                <w:color w:val="auto"/>
              </w:rPr>
            </w:pPr>
            <w:r>
              <w:rPr>
                <w:rFonts w:hint="eastAsia"/>
                <w:color w:val="auto"/>
              </w:rPr>
              <w:t>9.出版/文献/信息传播/知识产权事务费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51.00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51.00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10.专家咨询费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19.23</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19.23</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二、间接费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2.00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i w:val="0"/>
                <w:sz w:val="19"/>
              </w:rPr>
              <w:t>2.00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1.其他费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2.绩效</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2.00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val="0"/>
                <w:i w:val="0"/>
                <w:sz w:val="19"/>
              </w:rPr>
              <w:t>2.00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三、外委支出费</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0.00</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i w:val="0"/>
                <w:sz w:val="19"/>
              </w:rPr>
              <w:t>0.00</w:t>
            </w:r>
          </w:p>
        </w:tc>
      </w:tr>
      <w:tr>
        <w:trPr>
          <w:trHeight w:val="260" w:hRule="atLeast"/>
        </w:trPr>
        <w:tc>
          <w:tcPr>
            <w:tcW w:w="2230" w:type="dxa"/>
            <w:tcBorders>
              <w:top w:val="single" w:color="000000" w:sz="4" w:space="0"/>
              <w:left w:val="single" w:color="000000" w:sz="10"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101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before="0" w:after="0" w:line="240" w:lineRule="auto"/>
              <w:rPr>
                <w:rFonts w:hint="default"/>
                <w:color w:val="auto"/>
                <w:sz w:val="24"/>
              </w:rPr>
            </w:pPr>
          </w:p>
        </w:tc>
        <w:tc>
          <w:tcPr>
            <w:tcW w:w="2457" w:type="dxa"/>
            <w:gridSpan w:val="2"/>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0" w:beforeLines="0" w:afterLines="0" w:after="0" w:line="240" w:lineRule="auto"/>
              <w:ind w:left="-5"/>
              <w:rPr>
                <w:rFonts w:hint="default"/>
                <w:color w:val="auto"/>
                <w:sz w:val="24"/>
              </w:rPr>
            </w:pPr>
            <w:r>
              <w:rPr>
                <w:rFonts w:hint="eastAsia"/>
                <w:color w:val="auto"/>
                <w:sz w:val="24"/>
              </w:rPr>
              <w:t>四、税金</w:t>
            </w:r>
          </w:p>
        </w:tc>
        <w:tc>
          <w:tcPr>
            <w:tcW w:w="1743"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0.00</w:t>
            </w:r>
          </w:p>
        </w:tc>
        <w:tc>
          <w:tcPr>
            <w:tcW w:w="1219"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0" w:after="0" w:line="240" w:lineRule="auto"/>
              <w:jc w:val="center"/>
            </w:pPr>
            <w:r>
              <w:rPr>
                <w:rFonts w:ascii="Times New Roman" w:hAnsi="Times New Roman" w:cs="Times New Roman" w:eastAsia="宋体"/>
                <w:b/>
                <w:i w:val="0"/>
                <w:sz w:val="19"/>
              </w:rPr>
              <w:t>69.52</w:t>
            </w:r>
          </w:p>
        </w:tc>
        <w:tc>
          <w:tcPr>
            <w:tcW w:w="881" w:type="dxa"/>
            <w:tcBorders>
              <w:top w:val="single" w:color="000000" w:sz="4" w:space="0"/>
              <w:left w:val="single" w:color="000000" w:sz="4" w:space="0"/>
              <w:bottom w:val="single" w:color="000000" w:sz="4" w:space="0"/>
              <w:right w:val="single" w:color="000000" w:sz="10" w:space="0"/>
              <w:tl2br w:val="nil"/>
              <w:tr2bl w:val="nil"/>
            </w:tcBorders>
            <w:vAlign w:val="top"/>
          </w:tcPr>
          <w:p>
            <w:pPr>
              <w:spacing w:before="0" w:after="0" w:line="240" w:lineRule="auto"/>
              <w:jc w:val="center"/>
            </w:pPr>
            <w:r>
              <w:rPr>
                <w:rFonts w:ascii="Times New Roman" w:hAnsi="Times New Roman" w:cs="Times New Roman" w:eastAsia="宋体"/>
                <w:b/>
                <w:i w:val="0"/>
                <w:sz w:val="19"/>
              </w:rPr>
              <w:t>69.52</w:t>
            </w:r>
          </w:p>
        </w:tc>
      </w:tr>
      <w:tr>
        <w:trPr>
          <w:trHeight w:val="260" w:hRule="atLeast"/>
        </w:trPr>
        <w:tc>
          <w:tcPr>
            <w:tcW w:w="4733" w:type="dxa"/>
            <w:gridSpan w:val="3"/>
            <w:tcBorders>
              <w:top w:val="single" w:color="000000" w:sz="4" w:space="0"/>
              <w:left w:val="single" w:color="000000" w:sz="10" w:space="0"/>
              <w:bottom w:val="single" w:color="000000" w:sz="10" w:space="0"/>
              <w:right w:val="single" w:color="000000" w:sz="4" w:space="0"/>
              <w:tl2br w:val="nil"/>
              <w:tr2bl w:val="nil"/>
            </w:tcBorders>
            <w:vAlign w:val="top"/>
          </w:tcPr>
          <w:p>
            <w:pPr>
              <w:pStyle w:val="9"/>
              <w:kinsoku w:val="0"/>
              <w:overflowPunct w:val="0"/>
              <w:spacing w:before="39" w:beforeLines="0" w:afterLines="0"/>
              <w:ind w:left="93"/>
              <w:rPr>
                <w:rFonts w:hint="eastAsia"/>
                <w:color w:val="auto"/>
                <w:sz w:val="24"/>
              </w:rPr>
            </w:pPr>
            <w:r>
              <w:rPr>
                <w:rFonts w:hint="eastAsia"/>
                <w:color w:val="auto"/>
                <w:sz w:val="24"/>
              </w:rPr>
              <w:t>财务部门审核意见：</w:t>
            </w: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4" w:beforeLines="0" w:afterLines="0"/>
              <w:rPr>
                <w:rFonts w:hint="eastAsia"/>
                <w:color w:val="auto"/>
                <w:sz w:val="35"/>
              </w:rPr>
            </w:pPr>
          </w:p>
          <w:p>
            <w:pPr>
              <w:pStyle w:val="9"/>
              <w:tabs>
                <w:tab w:val="left" w:pos="2374"/>
                <w:tab w:val="left" w:pos="2854"/>
                <w:tab w:val="left" w:pos="3334"/>
              </w:tabs>
              <w:kinsoku w:val="0"/>
              <w:overflowPunct w:val="0"/>
              <w:spacing w:beforeLines="0" w:afterLines="0"/>
              <w:ind w:left="93"/>
              <w:rPr>
                <w:rFonts w:hint="default"/>
                <w:color w:val="auto"/>
                <w:sz w:val="24"/>
              </w:rPr>
            </w:pPr>
            <w:r>
              <w:rPr>
                <w:rFonts w:hint="eastAsia"/>
                <w:color w:val="auto"/>
              </w:rPr>
              <w:t>财务专用章</w:t>
            </w:r>
            <w:r>
              <w:rPr>
                <w:rFonts w:hint="eastAsia"/>
                <w:color w:val="auto"/>
              </w:rPr>
              <w:tab/>
            </w:r>
            <w:r>
              <w:rPr>
                <w:rFonts w:hint="eastAsia"/>
                <w:color w:val="auto"/>
              </w:rPr>
              <w:t>年</w:t>
            </w:r>
            <w:r>
              <w:rPr>
                <w:rFonts w:hint="eastAsia"/>
                <w:color w:val="auto"/>
              </w:rPr>
              <w:tab/>
            </w:r>
            <w:r>
              <w:rPr>
                <w:rFonts w:hint="eastAsia"/>
                <w:color w:val="auto"/>
              </w:rPr>
              <w:t>月</w:t>
            </w:r>
            <w:r>
              <w:rPr>
                <w:rFonts w:hint="eastAsia"/>
                <w:color w:val="auto"/>
              </w:rPr>
              <w:tab/>
            </w:r>
            <w:r>
              <w:rPr>
                <w:rFonts w:hint="eastAsia"/>
                <w:color w:val="auto"/>
              </w:rPr>
              <w:t>日</w:t>
            </w:r>
          </w:p>
        </w:tc>
        <w:tc>
          <w:tcPr>
            <w:tcW w:w="4810" w:type="dxa"/>
            <w:gridSpan w:val="4"/>
            <w:tcBorders>
              <w:top w:val="single" w:color="000000" w:sz="4" w:space="0"/>
              <w:left w:val="single" w:color="000000" w:sz="4" w:space="0"/>
              <w:bottom w:val="single" w:color="000000" w:sz="10" w:space="0"/>
              <w:right w:val="single" w:color="000000" w:sz="10" w:space="0"/>
              <w:tl2br w:val="nil"/>
              <w:tr2bl w:val="nil"/>
            </w:tcBorders>
            <w:vAlign w:val="top"/>
          </w:tcPr>
          <w:p>
            <w:pPr>
              <w:pStyle w:val="9"/>
              <w:kinsoku w:val="0"/>
              <w:overflowPunct w:val="0"/>
              <w:spacing w:before="39" w:beforeLines="0" w:afterLines="0"/>
              <w:ind w:left="103"/>
              <w:rPr>
                <w:rFonts w:hint="eastAsia"/>
                <w:color w:val="auto"/>
                <w:sz w:val="24"/>
              </w:rPr>
            </w:pPr>
            <w:r>
              <w:rPr>
                <w:rFonts w:hint="eastAsia"/>
                <w:color w:val="auto"/>
                <w:sz w:val="24"/>
              </w:rPr>
              <w:t>承担单位审核意见：</w:t>
            </w: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34"/>
              </w:rPr>
            </w:pPr>
          </w:p>
          <w:p>
            <w:pPr>
              <w:pStyle w:val="9"/>
              <w:tabs>
                <w:tab w:val="left" w:pos="2143"/>
                <w:tab w:val="left" w:pos="2624"/>
                <w:tab w:val="left" w:pos="3104"/>
              </w:tabs>
              <w:kinsoku w:val="0"/>
              <w:overflowPunct w:val="0"/>
              <w:spacing w:beforeLines="0" w:afterLines="0"/>
              <w:ind w:left="103"/>
              <w:rPr>
                <w:rFonts w:hint="default"/>
                <w:color w:val="auto"/>
                <w:sz w:val="24"/>
              </w:rPr>
            </w:pPr>
            <w:r>
              <w:rPr>
                <w:rFonts w:hint="eastAsia"/>
                <w:color w:val="auto"/>
                <w:sz w:val="24"/>
              </w:rPr>
              <w:t>单位公章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bl>
    <w:p>
      <w:pPr>
        <w:spacing w:beforeLines="0" w:afterLines="0"/>
        <w:rPr>
          <w:rFonts w:hint="default"/>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1" w:beforeLines="0" w:after="38" w:afterLines="0"/>
        <w:ind w:left="240"/>
        <w:rPr>
          <w:rFonts w:hint="eastAsia" w:ascii="黑体" w:hAnsi="黑体" w:eastAsia="黑体"/>
          <w:color w:val="auto"/>
          <w:sz w:val="24"/>
        </w:rPr>
      </w:pPr>
      <w:r>
        <w:rPr>
          <w:rFonts w:hint="eastAsia" w:ascii="黑体" w:hAnsi="黑体" w:eastAsia="黑体"/>
          <w:color w:val="auto"/>
          <w:sz w:val="24"/>
        </w:rPr>
        <w:t>4、</w:t>
      </w:r>
      <w:r>
        <w:rPr>
          <w:rFonts w:hint="eastAsia" w:ascii="黑体" w:hAnsi="黑体" w:eastAsia="黑体"/>
          <w:color w:val="auto"/>
          <w:sz w:val="24"/>
          <w:szCs w:val="22"/>
          <w:lang w:val="en-US" w:eastAsia="zh-CN"/>
        </w:rPr>
        <w:t>项目/</w:t>
      </w:r>
      <w:r>
        <w:rPr>
          <w:rFonts w:hint="eastAsia" w:ascii="黑体" w:hAnsi="黑体" w:eastAsia="黑体"/>
          <w:color w:val="auto"/>
          <w:sz w:val="24"/>
          <w:szCs w:val="22"/>
        </w:rPr>
        <w:t>课</w:t>
      </w:r>
      <w:r>
        <w:rPr>
          <w:rFonts w:hint="eastAsia" w:ascii="黑体" w:hAnsi="黑体" w:eastAsia="黑体"/>
          <w:color w:val="auto"/>
          <w:sz w:val="24"/>
        </w:rPr>
        <w:t>题验收信息表</w:t>
      </w:r>
    </w:p>
    <w:tbl>
      <w:tblPr>
        <w:tblStyle w:val="6"/>
        <w:tblW w:w="9026" w:type="dxa"/>
        <w:tblInd w:w="22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720"/>
        <w:gridCol w:w="150"/>
        <w:gridCol w:w="300"/>
        <w:gridCol w:w="620"/>
        <w:gridCol w:w="360"/>
        <w:gridCol w:w="380"/>
        <w:gridCol w:w="260"/>
        <w:gridCol w:w="160"/>
        <w:gridCol w:w="220"/>
        <w:gridCol w:w="500"/>
        <w:gridCol w:w="160"/>
        <w:gridCol w:w="560"/>
        <w:gridCol w:w="520"/>
        <w:gridCol w:w="280"/>
        <w:gridCol w:w="340"/>
        <w:gridCol w:w="280"/>
        <w:gridCol w:w="720"/>
        <w:gridCol w:w="200"/>
        <w:gridCol w:w="580"/>
        <w:gridCol w:w="180"/>
        <w:gridCol w:w="220"/>
        <w:gridCol w:w="966"/>
      </w:tblGrid>
      <w:tr>
        <w:trPr>
          <w:trHeight w:val="340" w:hRule="atLeast"/>
        </w:trPr>
        <w:tc>
          <w:tcPr>
            <w:tcW w:w="1790" w:type="dxa"/>
            <w:gridSpan w:val="4"/>
            <w:tcBorders>
              <w:top w:val="single" w:color="000000" w:sz="10" w:space="0"/>
              <w:left w:val="single" w:color="000000" w:sz="10" w:space="0"/>
              <w:bottom w:val="single" w:color="000000" w:sz="2" w:space="0"/>
              <w:right w:val="single" w:color="000000" w:sz="4" w:space="0"/>
              <w:tl2br w:val="nil"/>
              <w:tr2bl w:val="nil"/>
            </w:tcBorders>
            <w:vAlign w:val="center"/>
          </w:tcPr>
          <w:p>
            <w:pPr>
              <w:jc w:val="center"/>
              <w:rPr>
                <w:rFonts w:hint="default"/>
                <w:color w:val="auto"/>
              </w:rPr>
            </w:pPr>
            <w:r>
              <w:rPr>
                <w:rFonts w:hint="eastAsia"/>
                <w:color w:val="auto"/>
                <w:szCs w:val="22"/>
                <w:lang w:val="en-US" w:eastAsia="zh-CN"/>
              </w:rPr>
              <w:t>项目/</w:t>
            </w:r>
            <w:r>
              <w:rPr>
                <w:rFonts w:hint="eastAsia"/>
                <w:color w:val="auto"/>
                <w:szCs w:val="22"/>
              </w:rPr>
              <w:t>课</w:t>
            </w:r>
            <w:r>
              <w:rPr>
                <w:rFonts w:hint="eastAsia"/>
                <w:color w:val="auto"/>
              </w:rPr>
              <w:t>题名称</w:t>
            </w:r>
          </w:p>
        </w:tc>
        <w:tc>
          <w:tcPr>
            <w:tcW w:w="6886" w:type="dxa"/>
            <w:gridSpan w:val="18"/>
            <w:tcBorders>
              <w:top w:val="single" w:color="000000" w:sz="10" w:space="0"/>
              <w:left w:val="single" w:color="000000" w:sz="4" w:space="0"/>
              <w:bottom w:val="single" w:color="000000" w:sz="2"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i w:val="0"/>
                <w:sz w:val="21"/>
              </w:rPr>
              <w:t>装配整体式大跨度框架结构智能建造关键技术体系研究</w:t>
            </w:r>
          </w:p>
        </w:tc>
      </w:tr>
      <w:tr>
        <w:trPr>
          <w:trHeight w:val="340" w:hRule="atLeast"/>
        </w:trPr>
        <w:tc>
          <w:tcPr>
            <w:tcW w:w="1790" w:type="dxa"/>
            <w:gridSpan w:val="4"/>
            <w:tcBorders>
              <w:top w:val="single" w:color="000000" w:sz="2"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合同编号</w:t>
            </w:r>
          </w:p>
        </w:tc>
        <w:tc>
          <w:tcPr>
            <w:tcW w:w="1880" w:type="dxa"/>
            <w:gridSpan w:val="6"/>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2025-A002</w:t>
            </w:r>
          </w:p>
        </w:tc>
        <w:tc>
          <w:tcPr>
            <w:tcW w:w="1860" w:type="dxa"/>
            <w:gridSpan w:val="5"/>
            <w:tcBorders>
              <w:top w:val="single" w:color="000000" w:sz="2"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起止时间</w:t>
            </w:r>
          </w:p>
        </w:tc>
        <w:tc>
          <w:tcPr>
            <w:tcW w:w="3146" w:type="dxa"/>
            <w:gridSpan w:val="7"/>
            <w:tcBorders>
              <w:top w:val="single" w:color="000000" w:sz="2"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2024.12—2026.12</w:t>
            </w:r>
          </w:p>
        </w:tc>
      </w:tr>
      <w:tr>
        <w:trPr>
          <w:trHeight w:val="340" w:hRule="atLeast"/>
        </w:trPr>
        <w:tc>
          <w:tcPr>
            <w:tcW w:w="1790" w:type="dxa"/>
            <w:gridSpan w:val="4"/>
            <w:tcBorders>
              <w:top w:val="single" w:color="000000" w:sz="4" w:space="0"/>
              <w:left w:val="single" w:color="000000" w:sz="10" w:space="0"/>
              <w:bottom w:val="single" w:color="000000" w:sz="4" w:space="0"/>
              <w:right w:val="single" w:color="000000" w:sz="2" w:space="0"/>
              <w:tl2br w:val="nil"/>
              <w:tr2bl w:val="nil"/>
            </w:tcBorders>
            <w:vAlign w:val="center"/>
          </w:tcPr>
          <w:p>
            <w:pPr>
              <w:jc w:val="center"/>
              <w:rPr>
                <w:rFonts w:hint="default"/>
                <w:color w:val="auto"/>
              </w:rPr>
            </w:pPr>
            <w:r>
              <w:rPr>
                <w:rFonts w:hint="eastAsia"/>
                <w:color w:val="auto"/>
              </w:rPr>
              <w:t>承担单位</w:t>
            </w:r>
          </w:p>
        </w:tc>
        <w:tc>
          <w:tcPr>
            <w:tcW w:w="6886" w:type="dxa"/>
            <w:gridSpan w:val="18"/>
            <w:tcBorders>
              <w:top w:val="single" w:color="000000" w:sz="4" w:space="0"/>
              <w:left w:val="single" w:color="000000" w:sz="2" w:space="0"/>
              <w:bottom w:val="single" w:color="000000" w:sz="2"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中铁二十五局集团有限公司、中铁二十五局集团第三工程有限公司</w:t>
            </w:r>
          </w:p>
        </w:tc>
      </w:tr>
      <w:tr>
        <w:trPr>
          <w:trHeight w:val="340" w:hRule="atLeast"/>
        </w:trPr>
        <w:tc>
          <w:tcPr>
            <w:tcW w:w="1790" w:type="dxa"/>
            <w:gridSpan w:val="4"/>
            <w:tcBorders>
              <w:top w:val="single" w:color="000000" w:sz="4" w:space="0"/>
              <w:left w:val="single" w:color="000000" w:sz="10" w:space="0"/>
              <w:bottom w:val="single" w:color="000000" w:sz="4" w:space="0"/>
              <w:right w:val="single" w:color="000000" w:sz="2" w:space="0"/>
              <w:tl2br w:val="nil"/>
              <w:tr2bl w:val="nil"/>
            </w:tcBorders>
            <w:vAlign w:val="center"/>
          </w:tcPr>
          <w:p>
            <w:pPr>
              <w:jc w:val="center"/>
              <w:rPr>
                <w:rFonts w:hint="default"/>
                <w:color w:val="auto"/>
              </w:rPr>
            </w:pPr>
            <w:r>
              <w:rPr>
                <w:rFonts w:hint="eastAsia"/>
                <w:color w:val="auto"/>
              </w:rPr>
              <w:t>参加单位</w:t>
            </w:r>
          </w:p>
        </w:tc>
        <w:tc>
          <w:tcPr>
            <w:tcW w:w="6886" w:type="dxa"/>
            <w:gridSpan w:val="18"/>
            <w:tcBorders>
              <w:top w:val="single" w:color="000000" w:sz="2" w:space="0"/>
              <w:left w:val="single" w:color="000000" w:sz="2"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中南大学</w:t>
            </w:r>
          </w:p>
        </w:tc>
      </w:tr>
      <w:tr>
        <w:trPr>
          <w:trHeight w:val="340" w:hRule="atLeast"/>
        </w:trPr>
        <w:tc>
          <w:tcPr>
            <w:tcW w:w="720" w:type="dxa"/>
            <w:vMerge w:val="restart"/>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szCs w:val="22"/>
                <w:lang w:val="en-US" w:eastAsia="zh-CN"/>
              </w:rPr>
              <w:t>项目/</w:t>
            </w:r>
            <w:r>
              <w:rPr>
                <w:rFonts w:hint="eastAsia"/>
                <w:color w:val="auto"/>
              </w:rPr>
              <w:t>课题负责人</w:t>
            </w:r>
          </w:p>
        </w:tc>
        <w:tc>
          <w:tcPr>
            <w:tcW w:w="107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姓名</w:t>
            </w:r>
          </w:p>
        </w:tc>
        <w:tc>
          <w:tcPr>
            <w:tcW w:w="74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杨磊</w:t>
            </w:r>
          </w:p>
        </w:tc>
        <w:tc>
          <w:tcPr>
            <w:tcW w:w="640" w:type="dxa"/>
            <w:gridSpan w:val="3"/>
            <w:tcBorders>
              <w:top w:val="single" w:color="000000" w:sz="2"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学历</w:t>
            </w:r>
          </w:p>
        </w:tc>
        <w:tc>
          <w:tcPr>
            <w:tcW w:w="66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本科</w:t>
            </w:r>
          </w:p>
        </w:tc>
        <w:tc>
          <w:tcPr>
            <w:tcW w:w="560" w:type="dxa"/>
            <w:tcBorders>
              <w:top w:val="single" w:color="000000" w:sz="2"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年龄</w:t>
            </w:r>
          </w:p>
        </w:tc>
        <w:tc>
          <w:tcPr>
            <w:tcW w:w="520" w:type="dxa"/>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47</w:t>
            </w:r>
          </w:p>
        </w:tc>
        <w:tc>
          <w:tcPr>
            <w:tcW w:w="620" w:type="dxa"/>
            <w:gridSpan w:val="2"/>
            <w:tcBorders>
              <w:top w:val="single" w:color="000000" w:sz="2"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职称</w:t>
            </w:r>
          </w:p>
        </w:tc>
        <w:tc>
          <w:tcPr>
            <w:tcW w:w="1200" w:type="dxa"/>
            <w:gridSpan w:val="3"/>
            <w:tcBorders>
              <w:top w:val="single" w:color="000000" w:sz="2"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高级工程师</w:t>
            </w:r>
          </w:p>
        </w:tc>
        <w:tc>
          <w:tcPr>
            <w:tcW w:w="580"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电话</w:t>
            </w:r>
          </w:p>
        </w:tc>
        <w:tc>
          <w:tcPr>
            <w:tcW w:w="1366" w:type="dxa"/>
            <w:gridSpan w:val="3"/>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15387496005</w:t>
            </w:r>
          </w:p>
        </w:tc>
      </w:tr>
      <w:tr>
        <w:trPr>
          <w:trHeight w:val="340" w:hRule="atLeast"/>
        </w:trPr>
        <w:tc>
          <w:tcPr>
            <w:tcW w:w="720" w:type="dxa"/>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107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both"/>
              <w:rPr>
                <w:rFonts w:hint="default"/>
                <w:color w:val="auto"/>
              </w:rPr>
            </w:pPr>
            <w:r>
              <w:rPr>
                <w:rFonts w:hint="eastAsia"/>
                <w:color w:val="auto"/>
              </w:rPr>
              <w:t>工作单位</w:t>
            </w:r>
          </w:p>
        </w:tc>
        <w:tc>
          <w:tcPr>
            <w:tcW w:w="4940" w:type="dxa"/>
            <w:gridSpan w:val="1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中铁二十五局集团第三工程有限公司</w:t>
            </w:r>
          </w:p>
        </w:tc>
        <w:tc>
          <w:tcPr>
            <w:tcW w:w="580"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邮箱</w:t>
            </w:r>
          </w:p>
        </w:tc>
        <w:tc>
          <w:tcPr>
            <w:tcW w:w="1366" w:type="dxa"/>
            <w:gridSpan w:val="3"/>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yanglei@cr25g.com</w:t>
            </w:r>
          </w:p>
        </w:tc>
      </w:tr>
      <w:tr>
        <w:trPr>
          <w:trHeight w:val="1400" w:hRule="atLeast"/>
        </w:trPr>
        <w:tc>
          <w:tcPr>
            <w:tcW w:w="720" w:type="dxa"/>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107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both"/>
              <w:rPr>
                <w:rFonts w:hint="default"/>
                <w:color w:val="auto"/>
              </w:rPr>
            </w:pPr>
            <w:r>
              <w:rPr>
                <w:rFonts w:hint="eastAsia"/>
                <w:color w:val="auto"/>
              </w:rPr>
              <w:t>通讯地址</w:t>
            </w:r>
          </w:p>
        </w:tc>
        <w:tc>
          <w:tcPr>
            <w:tcW w:w="4940" w:type="dxa"/>
            <w:gridSpan w:val="1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湖南省长沙市芙蓉区人民东路110号</w:t>
            </w:r>
          </w:p>
        </w:tc>
        <w:tc>
          <w:tcPr>
            <w:tcW w:w="580"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邮编</w:t>
            </w:r>
          </w:p>
        </w:tc>
        <w:tc>
          <w:tcPr>
            <w:tcW w:w="1366" w:type="dxa"/>
            <w:gridSpan w:val="3"/>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410001</w:t>
            </w:r>
          </w:p>
        </w:tc>
      </w:tr>
      <w:tr>
        <w:trPr>
          <w:trHeight w:val="1400" w:hRule="atLeast"/>
        </w:trPr>
        <w:tc>
          <w:tcPr>
            <w:tcW w:w="870" w:type="dxa"/>
            <w:gridSpan w:val="2"/>
            <w:vMerge w:val="restart"/>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实际 参加 研究 人员</w:t>
            </w:r>
          </w:p>
        </w:tc>
        <w:tc>
          <w:tcPr>
            <w:tcW w:w="92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总计</w:t>
            </w:r>
          </w:p>
        </w:tc>
        <w:tc>
          <w:tcPr>
            <w:tcW w:w="6886" w:type="dxa"/>
            <w:gridSpan w:val="18"/>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26 人    312 人月</w:t>
            </w:r>
          </w:p>
        </w:tc>
      </w:tr>
      <w:tr>
        <w:trPr>
          <w:trHeight w:val="340" w:hRule="atLeast"/>
        </w:trPr>
        <w:tc>
          <w:tcPr>
            <w:tcW w:w="870" w:type="dxa"/>
            <w:gridSpan w:val="2"/>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920" w:type="dxa"/>
            <w:gridSpan w:val="2"/>
            <w:vMerge w:val="restart"/>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p>
          <w:p>
            <w:pPr>
              <w:jc w:val="center"/>
              <w:rPr>
                <w:rFonts w:hint="default"/>
                <w:color w:val="auto"/>
              </w:rPr>
            </w:pPr>
            <w:r>
              <w:rPr>
                <w:rFonts w:hint="eastAsia"/>
                <w:color w:val="auto"/>
              </w:rPr>
              <w:t>其中</w:t>
            </w:r>
          </w:p>
        </w:tc>
        <w:tc>
          <w:tcPr>
            <w:tcW w:w="116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高级职称</w:t>
            </w:r>
          </w:p>
        </w:tc>
        <w:tc>
          <w:tcPr>
            <w:tcW w:w="88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10 人</w:t>
            </w:r>
          </w:p>
        </w:tc>
        <w:tc>
          <w:tcPr>
            <w:tcW w:w="108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中级职称</w:t>
            </w:r>
          </w:p>
        </w:tc>
        <w:tc>
          <w:tcPr>
            <w:tcW w:w="16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12 人</w:t>
            </w:r>
          </w:p>
        </w:tc>
        <w:tc>
          <w:tcPr>
            <w:tcW w:w="96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其他</w:t>
            </w:r>
          </w:p>
        </w:tc>
        <w:tc>
          <w:tcPr>
            <w:tcW w:w="1186" w:type="dxa"/>
            <w:gridSpan w:val="2"/>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4 人</w:t>
            </w:r>
          </w:p>
        </w:tc>
      </w:tr>
      <w:tr>
        <w:trPr>
          <w:trHeight w:val="340" w:hRule="atLeast"/>
        </w:trPr>
        <w:tc>
          <w:tcPr>
            <w:tcW w:w="870" w:type="dxa"/>
            <w:gridSpan w:val="2"/>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920" w:type="dxa"/>
            <w:gridSpan w:val="2"/>
            <w:vMerge w:val="continue"/>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p>
        </w:tc>
        <w:tc>
          <w:tcPr>
            <w:tcW w:w="116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院士</w:t>
            </w:r>
          </w:p>
        </w:tc>
        <w:tc>
          <w:tcPr>
            <w:tcW w:w="88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人</w:t>
            </w:r>
          </w:p>
        </w:tc>
        <w:tc>
          <w:tcPr>
            <w:tcW w:w="108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博士</w:t>
            </w:r>
          </w:p>
        </w:tc>
        <w:tc>
          <w:tcPr>
            <w:tcW w:w="16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1 人</w:t>
            </w:r>
          </w:p>
        </w:tc>
        <w:tc>
          <w:tcPr>
            <w:tcW w:w="96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硕士</w:t>
            </w:r>
          </w:p>
        </w:tc>
        <w:tc>
          <w:tcPr>
            <w:tcW w:w="1186" w:type="dxa"/>
            <w:gridSpan w:val="2"/>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5 人</w:t>
            </w:r>
          </w:p>
        </w:tc>
      </w:tr>
      <w:tr>
        <w:trPr>
          <w:trHeight w:val="340" w:hRule="atLeast"/>
        </w:trPr>
        <w:tc>
          <w:tcPr>
            <w:tcW w:w="1170" w:type="dxa"/>
            <w:gridSpan w:val="3"/>
            <w:vMerge w:val="restart"/>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eastAsia"/>
                <w:color w:val="auto"/>
              </w:rPr>
            </w:pPr>
          </w:p>
          <w:p>
            <w:pPr>
              <w:jc w:val="center"/>
              <w:rPr>
                <w:rFonts w:hint="eastAsia"/>
                <w:color w:val="auto"/>
              </w:rPr>
            </w:pPr>
          </w:p>
          <w:p>
            <w:pPr>
              <w:jc w:val="center"/>
              <w:rPr>
                <w:rFonts w:hint="eastAsia"/>
                <w:color w:val="auto"/>
              </w:rPr>
            </w:pPr>
          </w:p>
          <w:p>
            <w:pPr>
              <w:jc w:val="center"/>
              <w:rPr>
                <w:rFonts w:hint="default"/>
                <w:color w:val="auto"/>
              </w:rPr>
            </w:pPr>
            <w:r>
              <w:rPr>
                <w:rFonts w:hint="eastAsia"/>
                <w:color w:val="auto"/>
              </w:rPr>
              <w:t>主要成果</w:t>
            </w:r>
          </w:p>
        </w:tc>
        <w:tc>
          <w:tcPr>
            <w:tcW w:w="136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培养博士</w:t>
            </w:r>
          </w:p>
        </w:tc>
        <w:tc>
          <w:tcPr>
            <w:tcW w:w="2380" w:type="dxa"/>
            <w:gridSpan w:val="7"/>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人</w:t>
            </w:r>
          </w:p>
        </w:tc>
        <w:tc>
          <w:tcPr>
            <w:tcW w:w="16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培养硕士</w:t>
            </w:r>
          </w:p>
        </w:tc>
        <w:tc>
          <w:tcPr>
            <w:tcW w:w="2146" w:type="dxa"/>
            <w:gridSpan w:val="5"/>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人</w:t>
            </w:r>
          </w:p>
        </w:tc>
      </w:tr>
      <w:tr>
        <w:trPr>
          <w:trHeight w:val="340" w:hRule="atLeast"/>
        </w:trPr>
        <w:tc>
          <w:tcPr>
            <w:tcW w:w="1170" w:type="dxa"/>
            <w:gridSpan w:val="3"/>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98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新产品</w:t>
            </w:r>
          </w:p>
        </w:tc>
        <w:tc>
          <w:tcPr>
            <w:tcW w:w="10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项</w:t>
            </w:r>
          </w:p>
        </w:tc>
        <w:tc>
          <w:tcPr>
            <w:tcW w:w="2020" w:type="dxa"/>
            <w:gridSpan w:val="5"/>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新技术、新工艺</w:t>
            </w:r>
          </w:p>
        </w:tc>
        <w:tc>
          <w:tcPr>
            <w:tcW w:w="62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项</w:t>
            </w:r>
          </w:p>
        </w:tc>
        <w:tc>
          <w:tcPr>
            <w:tcW w:w="1900" w:type="dxa"/>
            <w:gridSpan w:val="5"/>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新材料</w:t>
            </w:r>
          </w:p>
        </w:tc>
        <w:tc>
          <w:tcPr>
            <w:tcW w:w="966"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项</w:t>
            </w:r>
          </w:p>
        </w:tc>
      </w:tr>
      <w:tr>
        <w:trPr>
          <w:trHeight w:val="340" w:hRule="atLeast"/>
        </w:trPr>
        <w:tc>
          <w:tcPr>
            <w:tcW w:w="1170" w:type="dxa"/>
            <w:gridSpan w:val="3"/>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7506" w:type="dxa"/>
            <w:gridSpan w:val="19"/>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获专利  6  项，其中：实用新型专利  0  项，发明专利  6  项</w:t>
            </w:r>
          </w:p>
        </w:tc>
      </w:tr>
      <w:tr>
        <w:trPr>
          <w:trHeight w:val="340" w:hRule="atLeast"/>
        </w:trPr>
        <w:tc>
          <w:tcPr>
            <w:tcW w:w="1170" w:type="dxa"/>
            <w:gridSpan w:val="3"/>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1360" w:type="dxa"/>
            <w:gridSpan w:val="3"/>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论文</w:t>
            </w:r>
          </w:p>
        </w:tc>
        <w:tc>
          <w:tcPr>
            <w:tcW w:w="1300" w:type="dxa"/>
            <w:gridSpan w:val="5"/>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篇</w:t>
            </w:r>
          </w:p>
        </w:tc>
        <w:tc>
          <w:tcPr>
            <w:tcW w:w="1080" w:type="dxa"/>
            <w:gridSpan w:val="2"/>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标准</w:t>
            </w:r>
          </w:p>
        </w:tc>
        <w:tc>
          <w:tcPr>
            <w:tcW w:w="16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项</w:t>
            </w:r>
          </w:p>
        </w:tc>
        <w:tc>
          <w:tcPr>
            <w:tcW w:w="118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工法</w:t>
            </w:r>
          </w:p>
        </w:tc>
        <w:tc>
          <w:tcPr>
            <w:tcW w:w="966" w:type="dxa"/>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项</w:t>
            </w:r>
          </w:p>
        </w:tc>
      </w:tr>
      <w:tr>
        <w:trPr>
          <w:trHeight w:val="340" w:hRule="atLeast"/>
        </w:trPr>
        <w:tc>
          <w:tcPr>
            <w:tcW w:w="1170" w:type="dxa"/>
            <w:gridSpan w:val="3"/>
            <w:vMerge w:val="continue"/>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p>
        </w:tc>
        <w:tc>
          <w:tcPr>
            <w:tcW w:w="1620" w:type="dxa"/>
            <w:gridSpan w:val="4"/>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技术报告</w:t>
            </w:r>
          </w:p>
        </w:tc>
        <w:tc>
          <w:tcPr>
            <w:tcW w:w="2120" w:type="dxa"/>
            <w:gridSpan w:val="6"/>
            <w:tcBorders>
              <w:top w:val="single" w:color="000000" w:sz="4" w:space="0"/>
              <w:left w:val="single" w:color="000000" w:sz="4" w:space="0"/>
              <w:bottom w:val="single" w:color="000000" w:sz="4" w:space="0"/>
              <w:right w:val="single" w:color="000000" w:sz="4"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2 篇</w:t>
            </w:r>
          </w:p>
        </w:tc>
        <w:tc>
          <w:tcPr>
            <w:tcW w:w="2580" w:type="dxa"/>
            <w:gridSpan w:val="7"/>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专著</w:t>
            </w:r>
          </w:p>
        </w:tc>
        <w:tc>
          <w:tcPr>
            <w:tcW w:w="1186" w:type="dxa"/>
            <w:gridSpan w:val="2"/>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center"/>
            </w:pPr>
            <w:r>
              <w:rPr>
                <w:rFonts w:ascii="Times New Roman" w:hAnsi="Times New Roman" w:cs="Times New Roman" w:eastAsia="宋体"/>
                <w:b w:val="0"/>
                <w:i w:val="0"/>
                <w:sz w:val="21"/>
              </w:rPr>
              <w:t>0 部</w:t>
            </w:r>
          </w:p>
        </w:tc>
      </w:tr>
      <w:tr>
        <w:trPr>
          <w:trHeight w:val="340" w:hRule="atLeast"/>
        </w:trPr>
        <w:tc>
          <w:tcPr>
            <w:tcW w:w="1170" w:type="dxa"/>
            <w:gridSpan w:val="3"/>
            <w:tcBorders>
              <w:top w:val="single" w:color="000000" w:sz="4" w:space="0"/>
              <w:left w:val="single" w:color="000000" w:sz="10"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备注</w:t>
            </w:r>
          </w:p>
        </w:tc>
        <w:tc>
          <w:tcPr>
            <w:tcW w:w="7506" w:type="dxa"/>
            <w:gridSpan w:val="19"/>
            <w:tcBorders>
              <w:top w:val="single" w:color="000000" w:sz="4" w:space="0"/>
              <w:left w:val="single" w:color="000000" w:sz="4" w:space="0"/>
              <w:bottom w:val="single" w:color="000000" w:sz="4" w:space="0"/>
              <w:right w:val="single" w:color="000000" w:sz="10" w:space="0"/>
              <w:tl2br w:val="nil"/>
              <w:tr2bl w:val="nil"/>
            </w:tcBorders>
            <w:vAlign w:val="center"/>
          </w:tcPr>
          <w:p>
            <w:pPr>
              <w:spacing w:before="40" w:after="40" w:line="288" w:lineRule="auto"/>
              <w:jc w:val="left"/>
            </w:pPr>
            <w:r>
              <w:rPr>
                <w:rFonts w:ascii="Times New Roman" w:hAnsi="Times New Roman" w:cs="Times New Roman" w:eastAsia="宋体"/>
                <w:b w:val="0"/>
                <w:i w:val="0"/>
                <w:sz w:val="18"/>
              </w:rPr>
              <w:t>已归档成果佐证材料：总研究报告1份、阶段科研进展工作总结1份，授权国家发明专利证书6项（ZL202510710807.2、ZL202510845138.X、ZL202510845137.5、ZL202510598192.9、ZL202510598190.X、ZL202510710806.8）；2025年度RD18辅助账归集研发费692.19万元。</w:t>
            </w:r>
          </w:p>
        </w:tc>
      </w:tr>
    </w:tbl>
    <w:p>
      <w:pPr>
        <w:spacing w:beforeLines="0" w:afterLines="0"/>
        <w:rPr>
          <w:rFonts w:hint="default"/>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1" w:beforeLines="0" w:afterLines="0"/>
        <w:ind w:left="220"/>
        <w:rPr>
          <w:rFonts w:hint="eastAsia" w:ascii="黑体" w:hAnsi="黑体" w:eastAsia="黑体"/>
          <w:color w:val="auto"/>
          <w:sz w:val="24"/>
        </w:rPr>
      </w:pPr>
      <w:r>
        <w:rPr>
          <w:rFonts w:ascii="Times New Roman" w:hAnsi="Times New Roman" w:cs="Times New Roman" w:eastAsia="黑体"/>
          <w:b/>
          <w:i w:val="0"/>
          <w:sz w:val="24"/>
        </w:rPr>
        <w:t>5、技术验收意见</w:t>
      </w:r>
    </w:p>
    <w:p>
      <w:pPr>
        <w:pStyle w:val="5"/>
        <w:kinsoku w:val="0"/>
        <w:overflowPunct w:val="0"/>
        <w:spacing w:before="1" w:beforeLines="0" w:afterLines="0"/>
        <w:ind w:left="220"/>
        <w:rPr>
          <w:rFonts w:hint="eastAsia" w:ascii="黑体" w:hAnsi="黑体" w:eastAsia="黑体"/>
          <w:color w:val="auto"/>
          <w:sz w:val="24"/>
        </w:rPr>
        <w:sectPr>
          <w:pgSz w:w="11910" w:h="16840"/>
          <w:pgMar w:top="1417" w:right="1417" w:bottom="1417" w:left="1531" w:header="720" w:footer="720" w:gutter="0"/>
          <w:lnNumType w:countBy="0" w:distance="360"/>
          <w:cols w:space="720" w:num="1"/>
          <w:rtlGutter w:val="0"/>
          <w:docGrid w:linePitch="0" w:charSpace="0"/>
        </w:sectPr>
      </w:pPr>
      <w:r>
        <w:rPr>
          <w:rFonts w:ascii="Times New Roman" w:hAnsi="Times New Roman" w:cs="Times New Roman" w:eastAsia="宋体"/>
          <w:b w:val="0"/>
          <w:i w:val="0"/>
          <w:sz w:val="21"/>
        </w:rPr>
        <w:t>课题组提供的验收技术资料齐全、数据翔实，完成了合同约定的六个专题全部研究任务，形成了大跨度装配整体式框架结构三维激光点云虚拟预拼装、4D动态仿真、多源传感融合监测、双光融合金刚砂地面缺陷检测、钢管混凝土横隔板下时频声学密实度检测以及安全风险与交通协同优化成套技术方法，提交研究报告1份、科研进展工作总结1份，获授权国家发明专利6项，各项技术指标达到合同要求，同意通过技术验收。</w:t>
        <w:br/>
        <w:br/>
        <w:t xml:space="preserve">                                        验收组组长签字：            年   月   日</w:t>
      </w:r>
    </w:p>
    <w:p>
      <w:pPr>
        <w:pStyle w:val="5"/>
        <w:kinsoku w:val="0"/>
        <w:overflowPunct w:val="0"/>
        <w:spacing w:before="1" w:beforeLines="0" w:afterLines="0"/>
        <w:ind w:left="220"/>
        <w:rPr>
          <w:rFonts w:hint="eastAsia" w:ascii="黑体" w:hAnsi="黑体" w:eastAsia="黑体"/>
          <w:color w:val="auto"/>
          <w:sz w:val="24"/>
        </w:rPr>
      </w:pPr>
      <w:r>
        <w:rPr>
          <w:rFonts w:ascii="Times New Roman" w:hAnsi="Times New Roman" w:cs="Times New Roman" w:eastAsia="黑体"/>
          <w:b/>
          <w:i w:val="0"/>
          <w:sz w:val="24"/>
        </w:rPr>
        <w:t>6、财务验收意见</w:t>
      </w:r>
    </w:p>
    <w:p>
      <w:pPr>
        <w:pStyle w:val="5"/>
        <w:kinsoku w:val="0"/>
        <w:overflowPunct w:val="0"/>
        <w:spacing w:beforeLines="0" w:afterLines="0" w:line="245" w:lineRule="atLeast"/>
        <w:ind w:left="220"/>
        <w:rPr>
          <w:rFonts w:hint="eastAsia"/>
          <w:color w:val="auto"/>
          <w:sz w:val="24"/>
        </w:rPr>
      </w:pPr>
      <w:r>
        <w:rPr>
          <w:rFonts w:ascii="Times New Roman" w:hAnsi="Times New Roman" w:cs="Times New Roman" w:eastAsia="宋体"/>
          <w:b w:val="0"/>
          <w:i w:val="0"/>
          <w:sz w:val="21"/>
        </w:rPr>
        <w:t>课题承担单位已按集团公司科研经费管理制度设立研发支出辅助账（RD18）进行单独核算，2025年度归集研发经费692.19万元（其中人员人工437.10万元、直接投入247.84万元、其他相关费用7.24万元），经费支出与课题研究任务紧密相关，原始凭证及审批手续齐全，同意通过财务验收。</w:t>
        <w:br/>
        <w:br/>
        <w:t xml:space="preserve">                                        验收组组长签字：            年   月   日</w:t>
        <w:br/>
        <w:t>注：需要财务验收的填写此表</w:t>
      </w:r>
    </w:p>
    <w:p>
      <w:pPr>
        <w:pStyle w:val="5"/>
        <w:kinsoku w:val="0"/>
        <w:overflowPunct w:val="0"/>
        <w:spacing w:beforeLines="0" w:afterLines="0" w:line="245" w:lineRule="atLeast"/>
        <w:ind w:left="220"/>
        <w:rPr>
          <w:rFonts w:hint="eastAsia"/>
          <w:color w:val="auto"/>
          <w:sz w:val="24"/>
        </w:rPr>
        <w:sectPr>
          <w:pgSz w:w="11910" w:h="16840"/>
          <w:pgMar w:top="1417" w:right="1417" w:bottom="1417" w:left="1531" w:header="720" w:footer="720" w:gutter="0"/>
          <w:lnNumType w:countBy="0" w:distance="360"/>
          <w:cols w:space="720" w:num="1"/>
          <w:rtlGutter w:val="0"/>
          <w:docGrid w:linePitch="0" w:charSpace="0"/>
        </w:sectPr>
      </w:pPr>
    </w:p>
    <w:p>
      <w:pPr>
        <w:pStyle w:val="5"/>
        <w:kinsoku w:val="0"/>
        <w:overflowPunct w:val="0"/>
        <w:spacing w:before="1" w:beforeLines="0" w:after="38" w:afterLines="0"/>
        <w:ind w:left="220"/>
        <w:rPr>
          <w:rFonts w:hint="eastAsia" w:ascii="黑体" w:hAnsi="黑体" w:eastAsia="黑体"/>
          <w:color w:val="auto"/>
          <w:sz w:val="24"/>
        </w:rPr>
      </w:pPr>
      <w:r>
        <w:rPr>
          <w:rFonts w:hint="eastAsia" w:ascii="黑体" w:hAnsi="黑体" w:eastAsia="黑体"/>
          <w:color w:val="auto"/>
          <w:sz w:val="24"/>
        </w:rPr>
        <w:t>7、</w:t>
      </w:r>
      <w:r>
        <w:rPr>
          <w:rFonts w:hint="eastAsia" w:ascii="黑体" w:hAnsi="黑体" w:eastAsia="黑体"/>
          <w:color w:val="auto"/>
          <w:sz w:val="24"/>
          <w:lang w:val="en-US" w:eastAsia="zh-CN"/>
        </w:rPr>
        <w:t>集团</w:t>
      </w:r>
      <w:r>
        <w:rPr>
          <w:rFonts w:hint="eastAsia" w:ascii="黑体" w:hAnsi="黑体" w:eastAsia="黑体"/>
          <w:color w:val="auto"/>
          <w:sz w:val="24"/>
        </w:rPr>
        <w:t>公司验收审批表</w:t>
      </w:r>
    </w:p>
    <w:tbl>
      <w:tblPr>
        <w:tblStyle w:val="6"/>
        <w:tblW w:w="8929" w:type="dxa"/>
        <w:tblInd w:w="2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1548"/>
        <w:gridCol w:w="7381"/>
      </w:tblGrid>
      <w:tr>
        <w:trPr>
          <w:trHeight w:val="340" w:hRule="atLeast"/>
        </w:trPr>
        <w:tc>
          <w:tcPr>
            <w:tcW w:w="1548"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科技部</w:t>
            </w:r>
          </w:p>
          <w:p>
            <w:pPr>
              <w:jc w:val="center"/>
              <w:rPr>
                <w:rFonts w:hint="default"/>
                <w:color w:val="auto"/>
              </w:rPr>
            </w:pPr>
            <w:r>
              <w:rPr>
                <w:rFonts w:hint="eastAsia"/>
                <w:color w:val="auto"/>
              </w:rPr>
              <w:t>意</w:t>
            </w:r>
            <w:r>
              <w:rPr>
                <w:rFonts w:hint="eastAsia"/>
                <w:color w:val="auto"/>
                <w:lang w:val="en-US" w:eastAsia="zh-CN"/>
              </w:rPr>
              <w:t xml:space="preserve">  </w:t>
            </w:r>
            <w:r>
              <w:rPr>
                <w:rFonts w:hint="eastAsia"/>
                <w:color w:val="auto"/>
              </w:rPr>
              <w:t>见</w:t>
            </w:r>
          </w:p>
        </w:tc>
        <w:tc>
          <w:tcPr>
            <w:tcW w:w="7381"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6" w:beforeLines="0" w:afterLines="0"/>
              <w:rPr>
                <w:rFonts w:hint="eastAsia" w:ascii="黑体" w:hAnsi="黑体" w:eastAsia="黑体"/>
                <w:color w:val="auto"/>
                <w:sz w:val="19"/>
              </w:rPr>
            </w:pPr>
          </w:p>
          <w:p>
            <w:pPr>
              <w:pStyle w:val="9"/>
              <w:tabs>
                <w:tab w:val="left" w:pos="1199"/>
                <w:tab w:val="left" w:pos="1800"/>
                <w:tab w:val="left" w:pos="2400"/>
              </w:tabs>
              <w:kinsoku w:val="0"/>
              <w:overflowPunct w:val="0"/>
              <w:spacing w:before="1" w:beforeLines="0" w:afterLines="0"/>
              <w:ind w:right="581"/>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340" w:hRule="atLeast"/>
        </w:trPr>
        <w:tc>
          <w:tcPr>
            <w:tcW w:w="1548"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财务部</w:t>
            </w:r>
          </w:p>
          <w:p>
            <w:pPr>
              <w:jc w:val="center"/>
              <w:rPr>
                <w:rFonts w:hint="default"/>
                <w:color w:val="auto"/>
              </w:rPr>
            </w:pPr>
            <w:r>
              <w:rPr>
                <w:rFonts w:hint="eastAsia"/>
                <w:color w:val="auto"/>
              </w:rPr>
              <w:t>意</w:t>
            </w:r>
            <w:r>
              <w:rPr>
                <w:rFonts w:hint="eastAsia"/>
                <w:color w:val="auto"/>
                <w:lang w:val="en-US" w:eastAsia="zh-CN"/>
              </w:rPr>
              <w:t xml:space="preserve">  </w:t>
            </w:r>
            <w:r>
              <w:rPr>
                <w:rFonts w:hint="eastAsia"/>
                <w:color w:val="auto"/>
              </w:rPr>
              <w:t>见</w:t>
            </w:r>
          </w:p>
        </w:tc>
        <w:tc>
          <w:tcPr>
            <w:tcW w:w="7381"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Lines="0" w:afterLines="0"/>
              <w:rPr>
                <w:rFonts w:hint="eastAsia" w:ascii="黑体" w:hAnsi="黑体" w:eastAsia="黑体"/>
                <w:color w:val="auto"/>
                <w:sz w:val="24"/>
              </w:rPr>
            </w:pPr>
          </w:p>
          <w:p>
            <w:pPr>
              <w:pStyle w:val="9"/>
              <w:kinsoku w:val="0"/>
              <w:overflowPunct w:val="0"/>
              <w:spacing w:before="10" w:beforeLines="0" w:afterLines="0"/>
              <w:rPr>
                <w:rFonts w:hint="eastAsia" w:ascii="黑体" w:hAnsi="黑体" w:eastAsia="黑体"/>
                <w:color w:val="auto"/>
                <w:sz w:val="19"/>
              </w:rPr>
            </w:pPr>
          </w:p>
          <w:p>
            <w:pPr>
              <w:pStyle w:val="9"/>
              <w:tabs>
                <w:tab w:val="left" w:pos="1199"/>
                <w:tab w:val="left" w:pos="1800"/>
                <w:tab w:val="left" w:pos="2400"/>
              </w:tabs>
              <w:kinsoku w:val="0"/>
              <w:overflowPunct w:val="0"/>
              <w:spacing w:beforeLines="0" w:afterLines="0"/>
              <w:ind w:right="581"/>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340" w:hRule="atLeast"/>
        </w:trPr>
        <w:tc>
          <w:tcPr>
            <w:tcW w:w="1548"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领导审批</w:t>
            </w:r>
          </w:p>
        </w:tc>
        <w:tc>
          <w:tcPr>
            <w:tcW w:w="7381"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Lines="0" w:afterLines="0"/>
              <w:rPr>
                <w:rFonts w:hint="default"/>
                <w:color w:val="auto"/>
                <w:sz w:val="24"/>
              </w:rPr>
            </w:pPr>
          </w:p>
        </w:tc>
      </w:tr>
    </w:tbl>
    <w:p>
      <w:pPr>
        <w:pStyle w:val="5"/>
        <w:kinsoku w:val="0"/>
        <w:overflowPunct w:val="0"/>
        <w:spacing w:beforeLines="0" w:afterLines="0" w:line="305" w:lineRule="atLeast"/>
        <w:ind w:left="220"/>
        <w:rPr>
          <w:rFonts w:hint="eastAsia" w:ascii="宋体" w:hAnsi="宋体" w:eastAsia="宋体"/>
          <w:color w:val="auto"/>
          <w:sz w:val="24"/>
          <w:szCs w:val="22"/>
        </w:rPr>
      </w:pPr>
      <w:r>
        <w:rPr>
          <w:rFonts w:hint="eastAsia" w:ascii="宋体" w:hAnsi="宋体" w:eastAsia="宋体"/>
          <w:color w:val="auto"/>
          <w:sz w:val="24"/>
          <w:szCs w:val="22"/>
        </w:rPr>
        <w:t>说明：A 类课题必须填写表 2、3、4。</w:t>
      </w:r>
    </w:p>
    <w:p>
      <w:pPr>
        <w:pStyle w:val="5"/>
        <w:kinsoku w:val="0"/>
        <w:overflowPunct w:val="0"/>
        <w:spacing w:beforeLines="0" w:afterLines="0" w:line="305" w:lineRule="atLeast"/>
        <w:ind w:left="220"/>
        <w:rPr>
          <w:rFonts w:hint="eastAsia" w:ascii="宋体" w:hAnsi="宋体" w:eastAsia="宋体"/>
          <w:color w:val="auto"/>
          <w:sz w:val="24"/>
          <w:szCs w:val="22"/>
        </w:rPr>
        <w:sectPr>
          <w:pgSz w:w="11910" w:h="16840"/>
          <w:pgMar w:top="1417" w:right="1417" w:bottom="1417" w:left="1531" w:header="720" w:footer="720" w:gutter="0"/>
          <w:lnNumType w:countBy="0" w:distance="360"/>
          <w:cols w:space="720" w:num="1"/>
          <w:rtlGutter w:val="0"/>
          <w:docGrid w:linePitch="0" w:charSpace="0"/>
        </w:sect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B20A2D"/>
    <w:rsid w:val="0DB20A2D"/>
    <w:rsid w:val="43500B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Lines="0" w:afterLines="0"/>
      <w:ind w:left="220"/>
      <w:outlineLvl w:val="2"/>
    </w:pPr>
    <w:rPr>
      <w:rFonts w:hint="eastAsia"/>
      <w:b/>
      <w:sz w:val="32"/>
    </w:rPr>
  </w:style>
  <w:style w:type="paragraph" w:styleId="3">
    <w:name w:val="heading 5"/>
    <w:basedOn w:val="1"/>
    <w:next w:val="1"/>
    <w:unhideWhenUsed/>
    <w:qFormat/>
    <w:uiPriority w:val="0"/>
    <w:pPr>
      <w:spacing w:beforeLines="0" w:afterLines="0"/>
      <w:ind w:left="681"/>
      <w:outlineLvl w:val="4"/>
    </w:pPr>
    <w:rPr>
      <w:rFonts w:hint="eastAsia"/>
      <w:b/>
      <w:sz w:val="28"/>
    </w:rPr>
  </w:style>
  <w:style w:type="paragraph" w:styleId="4">
    <w:name w:val="heading 6"/>
    <w:basedOn w:val="1"/>
    <w:next w:val="1"/>
    <w:unhideWhenUsed/>
    <w:qFormat/>
    <w:uiPriority w:val="0"/>
    <w:pPr>
      <w:spacing w:before="23" w:beforeLines="0" w:afterLines="0"/>
      <w:ind w:left="1963"/>
      <w:outlineLvl w:val="5"/>
    </w:pPr>
    <w:rPr>
      <w:rFonts w:hint="eastAsia"/>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qFormat/>
    <w:uiPriority w:val="0"/>
    <w:pPr>
      <w:spacing w:beforeLines="0" w:afterLines="0"/>
    </w:pPr>
    <w:rPr>
      <w:rFonts w:hint="eastAsia"/>
      <w:sz w:val="24"/>
    </w:rPr>
  </w:style>
  <w:style w:type="paragraph" w:customStyle="1" w:styleId="8">
    <w:name w:val="表格"/>
    <w:next w:val="1"/>
    <w:qFormat/>
    <w:uiPriority w:val="0"/>
    <w:pPr>
      <w:spacing w:line="440" w:lineRule="atLeast"/>
      <w:ind w:firstLine="643" w:firstLineChars="200"/>
    </w:pPr>
    <w:rPr>
      <w:rFonts w:ascii="仿宋_GB2312" w:hAnsi="仿宋_GB2312" w:eastAsia="仿宋_GB2312" w:cs="Times New Roman"/>
      <w:kern w:val="2"/>
      <w:sz w:val="24"/>
      <w:szCs w:val="21"/>
      <w:lang w:val="en-US" w:eastAsia="zh-CN" w:bidi="ar-SA"/>
    </w:rPr>
  </w:style>
  <w:style w:type="paragraph" w:customStyle="1" w:styleId="9">
    <w:name w:val="Table Paragraph"/>
    <w:basedOn w:val="1"/>
    <w:unhideWhenUsed/>
    <w:qFormat/>
    <w:uiPriority w:val="1"/>
    <w:pPr>
      <w:spacing w:beforeLines="0" w:afterLines="0"/>
    </w:pPr>
    <w:rPr>
      <w:rFonts w:hint="eastAsia"/>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中铁25局</Company>
  <Pages>1</Pages>
  <Words>0</Words>
  <Characters>0</Characters>
  <Lines>0</Lines>
  <Paragraphs>0</Paragraphs>
  <TotalTime>0</TotalTime>
  <ScaleCrop>false</ScaleCrop>
  <LinksUpToDate>false</LinksUpToDate>
  <CharactersWithSpaces>0</CharactersWithSpaces>
  <Application>WPS Office_11.8.2.9015_F1E327BC-269C-435d-A152-05C5408002CA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2026-10-08T01:31:00Z</dcterms:created>
  <dc:creator>wlm</dc:creator>
  <cp:lastModifiedBy>wlm</cp:lastModifiedBy>
  <dcterms:modified xsi:type="dcterms:W3CDTF">2026-10-08T02:00:27Z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2052-11.8.2.9015</vt:lpwstr>
  </property>
</Properties>
</file>