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Aptos" w:hAnsi="Aptos" w:eastAsia="Aptos"/>
          <w:b/>
          <w:i w:val="0"/>
          <w:color w:val="000000"/>
          <w:sz w:val="50"/>
        </w:rPr>
        <w:t>Ajustes Propuestos para ZUNI</w:t>
      </w:r>
    </w:p>
    <w:p>
      <w:pPr>
        <w:spacing w:after="400"/>
        <w:jc w:val="center"/>
      </w:pPr>
      <w:r>
        <w:rPr>
          <w:rFonts w:ascii="Aptos" w:hAnsi="Aptos" w:eastAsia="Aptos"/>
          <w:b w:val="0"/>
          <w:i/>
          <w:color w:val="5A6570"/>
          <w:sz w:val="22"/>
        </w:rPr>
        <w:t>Documento de alcance, seguridad y trabajo previo al desarrollo de evaluaciones</w:t>
      </w:r>
    </w:p>
    <w:tbl>
      <w:tblPr>
        <w:tblStyle w:val="TableGrid"/>
        <w:tblW w:type="auto" w:w="0"/>
        <w:jc w:val="center"/>
        <w:tblLayout w:type="fixed"/>
        <w:tblLook w:firstColumn="1" w:firstRow="1" w:lastColumn="0" w:lastRow="0" w:noHBand="0" w:noVBand="1" w:val="04A0"/>
      </w:tblPr>
      <w:tblGrid>
        <w:gridCol w:w="5071"/>
        <w:gridCol w:w="5071"/>
      </w:tblGrid>
      <w:tr>
        <w:tc>
          <w:tcPr>
            <w:tcW w:type="dxa" w:w="3855"/>
            <w:shd w:fill="F1E9FA"/>
            <w:tcMar>
              <w:top w:w="140" w:type="dxa"/>
              <w:start w:w="170" w:type="dxa"/>
              <w:bottom w:w="140" w:type="dxa"/>
              <w:end w:w="170" w:type="dxa"/>
            </w:tcMar>
            <w:tcBorders>
              <w:top w:val="single" w:sz="6" w:color="D8C8E7"/>
              <w:left w:val="single" w:sz="6" w:color="D8C8E7"/>
              <w:bottom w:val="single" w:sz="6" w:color="D8C8E7"/>
              <w:right w:val="single" w:sz="6" w:color="D8C8E7"/>
              <w:insideH w:val="single" w:sz="6" w:color="D8C8E7"/>
              <w:insideV w:val="single" w:sz="6" w:color="D8C8E7"/>
            </w:tcBorders>
            <w:vAlign w:val="center"/>
          </w:tcPr>
          <w:p>
            <w:pPr>
              <w:spacing w:after="20"/>
            </w:pPr>
            <w:r>
              <w:rPr>
                <w:rFonts w:ascii="Aptos" w:hAnsi="Aptos" w:eastAsia="Aptos"/>
                <w:b/>
                <w:i w:val="0"/>
                <w:color w:val="6D3B94"/>
                <w:sz w:val="17"/>
              </w:rPr>
              <w:t>Preparado para</w:t>
              <w:br/>
            </w:r>
            <w:r>
              <w:rPr>
                <w:rFonts w:ascii="Aptos" w:hAnsi="Aptos" w:eastAsia="Aptos"/>
                <w:b w:val="0"/>
                <w:i w:val="0"/>
                <w:color w:val="000000"/>
                <w:sz w:val="19"/>
              </w:rPr>
              <w:t>Equipo del proyecto ZUNI</w:t>
            </w:r>
          </w:p>
        </w:tc>
        <w:tc>
          <w:tcPr>
            <w:tcW w:type="dxa" w:w="4876"/>
            <w:shd w:fill="F1E9FA"/>
            <w:tcMar>
              <w:top w:w="140" w:type="dxa"/>
              <w:start w:w="170" w:type="dxa"/>
              <w:bottom w:w="140" w:type="dxa"/>
              <w:end w:w="170" w:type="dxa"/>
            </w:tcMar>
            <w:tcBorders>
              <w:top w:val="single" w:sz="6" w:color="D8C8E7"/>
              <w:left w:val="single" w:sz="6" w:color="D8C8E7"/>
              <w:bottom w:val="single" w:sz="6" w:color="D8C8E7"/>
              <w:right w:val="single" w:sz="6" w:color="D8C8E7"/>
              <w:insideH w:val="single" w:sz="6" w:color="D8C8E7"/>
              <w:insideV w:val="single" w:sz="6" w:color="D8C8E7"/>
            </w:tcBorders>
            <w:vAlign w:val="center"/>
          </w:tcPr>
          <w:p>
            <w:pPr>
              <w:spacing w:after="20"/>
            </w:pPr>
            <w:r>
              <w:rPr>
                <w:rFonts w:ascii="Aptos" w:hAnsi="Aptos" w:eastAsia="Aptos"/>
                <w:b/>
                <w:i w:val="0"/>
                <w:color w:val="6D3B94"/>
                <w:sz w:val="17"/>
              </w:rPr>
              <w:t>Base de la propuesta</w:t>
              <w:br/>
            </w:r>
            <w:r>
              <w:rPr>
                <w:rFonts w:ascii="Aptos" w:hAnsi="Aptos" w:eastAsia="Aptos"/>
                <w:b w:val="0"/>
                <w:i w:val="0"/>
                <w:color w:val="000000"/>
                <w:sz w:val="19"/>
              </w:rPr>
              <w:t>Retroalimentación clínica recibida en septiembre de 2026</w:t>
            </w:r>
          </w:p>
        </w:tc>
      </w:tr>
    </w:tbl>
    <w:p>
      <w:pPr>
        <w:spacing w:after="20"/>
      </w:pPr>
    </w:p>
    <w:p>
      <w:pPr>
        <w:pStyle w:val="Heading1"/>
        <w:keepNext/>
      </w:pPr>
      <w:r>
        <w:rPr>
          <w:rFonts w:ascii="Aptos" w:hAnsi="Aptos" w:eastAsia="Aptos"/>
          <w:b/>
          <w:i w:val="0"/>
          <w:color w:val="000000"/>
          <w:sz w:val="30"/>
        </w:rPr>
        <w:t>Decisión de alcance</w:t>
      </w:r>
    </w:p>
    <w:p>
      <w:pPr>
        <w:spacing w:after="140" w:line="283" w:lineRule="auto"/>
      </w:pPr>
      <w:r>
        <w:rPr>
          <w:rFonts w:ascii="Aptos" w:hAnsi="Aptos" w:eastAsia="Aptos"/>
          <w:b w:val="0"/>
          <w:i w:val="0"/>
          <w:color w:val="000000"/>
          <w:sz w:val="21"/>
        </w:rPr>
        <w:t>ZUNI debe continuar, en esta etapa, como una plataforma universitaria de cuestionarios exploratorios sobre gustos, preferencias e intereses. Sus resultados deben describir patrones de preferencia y orientar la reflexión del estudiante. No deben presentarse como diagnóstico, triaje clínico, evaluación de salud mental ni sustituto de una entrevista profesional.</w:t>
      </w:r>
    </w:p>
    <w:p>
      <w:pPr>
        <w:spacing w:after="140" w:line="283" w:lineRule="auto"/>
      </w:pPr>
      <w:r>
        <w:rPr>
          <w:rFonts w:ascii="Aptos" w:hAnsi="Aptos" w:eastAsia="Aptos"/>
          <w:b w:val="0"/>
          <w:i w:val="0"/>
          <w:color w:val="000000"/>
          <w:sz w:val="21"/>
        </w:rPr>
        <w:t>Esta decisión responde a la retroalimentación clínica recibida y protege al equipo de atribuir valor clínico a preguntas que todavía no cuentan con un instrumento validado, un protocolo de respuesta ni una política aprobada para datos sensibles.</w:t>
      </w:r>
    </w:p>
    <w:p>
      <w:pPr>
        <w:pStyle w:val="Heading1"/>
        <w:keepNext/>
      </w:pPr>
      <w:r>
        <w:rPr>
          <w:rFonts w:ascii="Aptos" w:hAnsi="Aptos" w:eastAsia="Aptos"/>
          <w:b/>
          <w:i w:val="0"/>
          <w:color w:val="000000"/>
          <w:sz w:val="30"/>
        </w:rPr>
        <w:t>Cambios que deben aplicarse antes de ampliar el módulo</w:t>
      </w:r>
    </w:p>
    <w:p>
      <w:pPr>
        <w:pStyle w:val="ListNumber"/>
        <w:spacing w:after="80" w:line="276" w:lineRule="auto"/>
      </w:pPr>
      <w:r>
        <w:rPr>
          <w:rFonts w:ascii="Aptos" w:hAnsi="Aptos" w:eastAsia="Aptos"/>
          <w:b w:val="0"/>
          <w:i w:val="0"/>
          <w:color w:val="000000"/>
          <w:sz w:val="20"/>
        </w:rPr>
        <w:t>Actualizar el lenguaje del proyecto. Reemplazar expresiones como triaje clínico, factores de riesgo, alerta temprana, diagnóstico o perfil psicológico por cuestionario exploratorio de intereses, resultados descriptivos y niveles de preferencia.</w:t>
      </w:r>
    </w:p>
    <w:p>
      <w:pPr>
        <w:pStyle w:val="ListNumber"/>
        <w:spacing w:after="80" w:line="276" w:lineRule="auto"/>
      </w:pPr>
      <w:r>
        <w:rPr>
          <w:rFonts w:ascii="Aptos" w:hAnsi="Aptos" w:eastAsia="Aptos"/>
          <w:b w:val="0"/>
          <w:i w:val="0"/>
          <w:color w:val="000000"/>
          <w:sz w:val="20"/>
        </w:rPr>
        <w:t>Definir una ficha para cada pregunta. La ficha debe indicar la dimensión de interés, la razón para recolectar el dato, el resultado que puede afectar y quién revisó el contenido. Si el equipo no puede explicar para qué sirve una pregunta, debe retirarla.</w:t>
      </w:r>
    </w:p>
    <w:p>
      <w:pPr>
        <w:pStyle w:val="ListNumber"/>
        <w:spacing w:after="80" w:line="276" w:lineRule="auto"/>
      </w:pPr>
      <w:r>
        <w:rPr>
          <w:rFonts w:ascii="Aptos" w:hAnsi="Aptos" w:eastAsia="Aptos"/>
          <w:b w:val="0"/>
          <w:i w:val="0"/>
          <w:color w:val="000000"/>
          <w:sz w:val="20"/>
        </w:rPr>
        <w:t>Separar el trabajo en cuatro documentos o secciones: propósito general de ZUNI, diseño del cuestionario, experiencia del profesional y agenda de citas. Cada sección debe tener su propio objetivo y sus decisiones pendientes.</w:t>
      </w:r>
    </w:p>
    <w:p>
      <w:pPr>
        <w:pStyle w:val="ListNumber"/>
        <w:spacing w:after="80" w:line="276" w:lineRule="auto"/>
      </w:pPr>
      <w:r>
        <w:rPr>
          <w:rFonts w:ascii="Aptos" w:hAnsi="Aptos" w:eastAsia="Aptos"/>
          <w:b w:val="0"/>
          <w:i w:val="0"/>
          <w:color w:val="000000"/>
          <w:sz w:val="20"/>
        </w:rPr>
        <w:t>No recolectar preguntas de riesgo, ideación suicida, violencia, consumo problemático ni otros datos clínicos en esta fase. Si el proyecto los considerara en el futuro, necesitará un protocolo de atención supervisado por profesionales y la aprobación institucional correspondiente antes de capturar datos.</w:t>
      </w:r>
    </w:p>
    <w:p>
      <w:pPr>
        <w:pStyle w:val="ListNumber"/>
        <w:spacing w:after="80" w:line="276" w:lineRule="auto"/>
      </w:pPr>
      <w:r>
        <w:rPr>
          <w:rFonts w:ascii="Aptos" w:hAnsi="Aptos" w:eastAsia="Aptos"/>
          <w:b w:val="0"/>
          <w:i w:val="0"/>
          <w:color w:val="000000"/>
          <w:sz w:val="20"/>
        </w:rPr>
        <w:t>No integrar todavía instrumentos que se presenten como validados. La cantidad de preguntas o una escala tipo Likert no convierte por sí misma un cuestionario en un instrumento clínico validado.</w:t>
      </w:r>
    </w:p>
    <w:p>
      <w:pPr>
        <w:pStyle w:val="Heading1"/>
        <w:keepNext/>
      </w:pPr>
      <w:r>
        <w:rPr>
          <w:rFonts w:ascii="Aptos" w:hAnsi="Aptos" w:eastAsia="Aptos"/>
          <w:b/>
          <w:i w:val="0"/>
          <w:color w:val="000000"/>
          <w:sz w:val="30"/>
        </w:rPr>
        <w:t>Definición propuesta para las evaluaciones</w:t>
      </w:r>
    </w:p>
    <w:p>
      <w:pPr>
        <w:spacing w:after="140" w:line="283" w:lineRule="auto"/>
      </w:pPr>
      <w:r>
        <w:rPr>
          <w:rFonts w:ascii="Aptos" w:hAnsi="Aptos" w:eastAsia="Aptos"/>
          <w:b/>
          <w:i w:val="0"/>
          <w:color w:val="000000"/>
          <w:sz w:val="21"/>
        </w:rPr>
        <w:t xml:space="preserve">Propósito general </w:t>
      </w:r>
      <w:r>
        <w:rPr>
          <w:rFonts w:ascii="Aptos" w:hAnsi="Aptos" w:eastAsia="Aptos"/>
          <w:b w:val="0"/>
          <w:i w:val="0"/>
          <w:color w:val="000000"/>
          <w:sz w:val="21"/>
        </w:rPr>
        <w:t>Ofrecer al estudiante una forma ordenada de explorar sus intereses, gustos y preferencias en áreas que el equipo defina y revise. El sistema puede resumir respuestas mediante reglas transparentes, pero no debe emitir diagnósticos ni decisiones clínicas automáticas.</w:t>
      </w:r>
    </w:p>
    <w:p>
      <w:pPr>
        <w:spacing w:after="140" w:line="283" w:lineRule="auto"/>
      </w:pPr>
      <w:r>
        <w:rPr>
          <w:rFonts w:ascii="Aptos" w:hAnsi="Aptos" w:eastAsia="Aptos"/>
          <w:b/>
          <w:i w:val="0"/>
          <w:color w:val="000000"/>
          <w:sz w:val="21"/>
        </w:rPr>
        <w:t xml:space="preserve">Niveles de profundidad </w:t>
      </w:r>
      <w:r>
        <w:rPr>
          <w:rFonts w:ascii="Aptos" w:hAnsi="Aptos" w:eastAsia="Aptos"/>
          <w:b w:val="0"/>
          <w:i w:val="0"/>
          <w:color w:val="000000"/>
          <w:sz w:val="21"/>
        </w:rPr>
        <w:t>La evaluación rápida tendrá 15 preguntas, la media tendrá 40 y la avanzada tendrá 60 o más. Estos niveles representan mayor cobertura de intereses, no mayor severidad, inteligencia ni validez clínica.</w:t>
      </w:r>
    </w:p>
    <w:p>
      <w:pPr>
        <w:spacing w:after="140" w:line="283" w:lineRule="auto"/>
      </w:pPr>
      <w:r>
        <w:rPr>
          <w:rFonts w:ascii="Aptos" w:hAnsi="Aptos" w:eastAsia="Aptos"/>
          <w:b/>
          <w:i w:val="0"/>
          <w:color w:val="000000"/>
          <w:sz w:val="21"/>
        </w:rPr>
        <w:t xml:space="preserve">Resultados </w:t>
      </w:r>
      <w:r>
        <w:rPr>
          <w:rFonts w:ascii="Aptos" w:hAnsi="Aptos" w:eastAsia="Aptos"/>
          <w:b w:val="0"/>
          <w:i w:val="0"/>
          <w:color w:val="000000"/>
          <w:sz w:val="21"/>
        </w:rPr>
        <w:t>Cada resultado debe mostrar una dimensión de interés y un nivel descriptivo de intensidad, por ejemplo bajo, medio o alto interés. Debe incluir una nota visible que explique que el resultado es exploratorio y no equivale a una evaluación psicológica o diagnóstico.</w:t>
      </w:r>
    </w:p>
    <w:p>
      <w:pPr>
        <w:spacing w:after="140" w:line="283" w:lineRule="auto"/>
      </w:pPr>
      <w:r>
        <w:rPr>
          <w:rFonts w:ascii="Aptos" w:hAnsi="Aptos" w:eastAsia="Aptos"/>
          <w:b/>
          <w:i w:val="0"/>
          <w:color w:val="000000"/>
          <w:sz w:val="21"/>
        </w:rPr>
        <w:t xml:space="preserve">Reglas de análisis </w:t>
      </w:r>
      <w:r>
        <w:rPr>
          <w:rFonts w:ascii="Aptos" w:hAnsi="Aptos" w:eastAsia="Aptos"/>
          <w:b w:val="0"/>
          <w:i w:val="0"/>
          <w:color w:val="000000"/>
          <w:sz w:val="21"/>
        </w:rPr>
        <w:t>La relación entre respuesta, puntaje y nivel de intensidad debe quedar documentada por versión del cuestionario. El equipo debe poder explicar cómo se calculó cada resultado. ML.NET queda fuera de esta fase y no se usará para diagnósticos automáticos.</w:t>
      </w:r>
    </w:p>
    <w:p>
      <w:pPr>
        <w:pStyle w:val="Heading1"/>
        <w:keepNext/>
      </w:pPr>
      <w:r>
        <w:rPr>
          <w:rFonts w:ascii="Aptos" w:hAnsi="Aptos" w:eastAsia="Aptos"/>
          <w:b/>
          <w:i w:val="0"/>
          <w:color w:val="000000"/>
          <w:sz w:val="30"/>
        </w:rPr>
        <w:t>Registro mínimo para cada pregunta</w:t>
      </w:r>
    </w:p>
    <w:p>
      <w:pPr>
        <w:spacing w:after="140" w:line="283" w:lineRule="auto"/>
      </w:pPr>
      <w:r>
        <w:rPr>
          <w:rFonts w:ascii="Aptos" w:hAnsi="Aptos" w:eastAsia="Aptos"/>
          <w:b w:val="0"/>
          <w:i w:val="0"/>
          <w:color w:val="000000"/>
          <w:sz w:val="21"/>
        </w:rPr>
        <w:t>Antes de modelar tablas o programar preguntas, el equipo debe completar este registro. Sirve para revisar contenido, evitar preguntas sin propósito y conservar una trazabilidad básica de cada versión.</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814"/>
            <w:shd w:fill="1F293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Campo</w:t>
            </w:r>
          </w:p>
        </w:tc>
        <w:tc>
          <w:tcPr>
            <w:tcW w:type="dxa" w:w="6917"/>
            <w:shd w:fill="1F293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Contenido que debe definirse</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Código</w:t>
            </w:r>
          </w:p>
        </w:tc>
        <w:tc>
          <w:tcPr>
            <w:tcW w:type="dxa" w:w="6917"/>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Identificador estable de la pregunta</w:t>
            </w:r>
          </w:p>
        </w:tc>
      </w:tr>
      <w:tr>
        <w:tc>
          <w:tcPr>
            <w:tcW w:type="dxa" w:w="1814"/>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Dimensión</w:t>
            </w:r>
          </w:p>
        </w:tc>
        <w:tc>
          <w:tcPr>
            <w:tcW w:type="dxa" w:w="6917"/>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Interés o preferencia que busca explorar</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Pregunta y opciones</w:t>
            </w:r>
          </w:p>
        </w:tc>
        <w:tc>
          <w:tcPr>
            <w:tcW w:type="dxa" w:w="6917"/>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Texto claro, opciones de respuesta y orden</w:t>
            </w:r>
          </w:p>
        </w:tc>
      </w:tr>
      <w:tr>
        <w:tc>
          <w:tcPr>
            <w:tcW w:type="dxa" w:w="1814"/>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Propósito</w:t>
            </w:r>
          </w:p>
        </w:tc>
        <w:tc>
          <w:tcPr>
            <w:tcW w:type="dxa" w:w="6917"/>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Uso concreto del dato y resultado que puede afectar</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Regla</w:t>
            </w:r>
          </w:p>
        </w:tc>
        <w:tc>
          <w:tcPr>
            <w:tcW w:type="dxa" w:w="6917"/>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Cómo aporta al puntaje o nivel descriptivo</w:t>
            </w:r>
          </w:p>
        </w:tc>
      </w:tr>
      <w:tr>
        <w:tc>
          <w:tcPr>
            <w:tcW w:type="dxa" w:w="1814"/>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Revisión</w:t>
            </w:r>
          </w:p>
        </w:tc>
        <w:tc>
          <w:tcPr>
            <w:tcW w:type="dxa" w:w="6917"/>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Persona responsable de revisar contenido y fecha</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Versión</w:t>
            </w:r>
          </w:p>
        </w:tc>
        <w:tc>
          <w:tcPr>
            <w:tcW w:type="dxa" w:w="6917"/>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Versión del cuestionario a la que pertenece</w:t>
            </w:r>
          </w:p>
        </w:tc>
      </w:tr>
    </w:tbl>
    <w:p>
      <w:pPr>
        <w:spacing w:after="40"/>
      </w:pPr>
    </w:p>
    <w:p>
      <w:pPr>
        <w:pStyle w:val="Heading1"/>
        <w:keepNext/>
      </w:pPr>
      <w:r>
        <w:rPr>
          <w:rFonts w:ascii="Aptos" w:hAnsi="Aptos" w:eastAsia="Aptos"/>
          <w:b/>
          <w:i w:val="0"/>
          <w:color w:val="000000"/>
          <w:sz w:val="30"/>
        </w:rPr>
        <w:t>Consentimiento y manejo de datos</w:t>
      </w:r>
    </w:p>
    <w:p>
      <w:pPr>
        <w:spacing w:after="140" w:line="283" w:lineRule="auto"/>
      </w:pPr>
      <w:r>
        <w:rPr>
          <w:rFonts w:ascii="Aptos" w:hAnsi="Aptos" w:eastAsia="Aptos"/>
          <w:b w:val="0"/>
          <w:i w:val="0"/>
          <w:color w:val="000000"/>
          <w:sz w:val="21"/>
        </w:rPr>
        <w:t>Antes de guardar respuestas de evaluaciones, ZUNI debe mostrar un consentimiento informado claro y solicitar la aceptación del estudiante. La redacción final debe revisarse con la universidad o la persona responsable de protección de datos.</w:t>
      </w:r>
    </w:p>
    <w:p>
      <w:pPr>
        <w:pStyle w:val="ListBullet"/>
        <w:spacing w:after="80" w:line="276" w:lineRule="auto"/>
      </w:pPr>
      <w:r>
        <w:rPr>
          <w:rFonts w:ascii="Aptos" w:hAnsi="Aptos" w:eastAsia="Aptos"/>
          <w:b w:val="0"/>
          <w:i w:val="0"/>
          <w:color w:val="000000"/>
          <w:sz w:val="20"/>
        </w:rPr>
        <w:t>Explicar el objetivo exploratorio del cuestionario y dejar claro que no ofrece diagnóstico ni atención de emergencia.</w:t>
      </w:r>
    </w:p>
    <w:p>
      <w:pPr>
        <w:pStyle w:val="ListBullet"/>
        <w:spacing w:after="80" w:line="276" w:lineRule="auto"/>
      </w:pPr>
      <w:r>
        <w:rPr>
          <w:rFonts w:ascii="Aptos" w:hAnsi="Aptos" w:eastAsia="Aptos"/>
          <w:b w:val="0"/>
          <w:i w:val="0"/>
          <w:color w:val="000000"/>
          <w:sz w:val="20"/>
        </w:rPr>
        <w:t>Indicar qué datos se recogerán, quién podrá verlos, para qué se usarán y durante cuánto tiempo se conservarán.</w:t>
      </w:r>
    </w:p>
    <w:p>
      <w:pPr>
        <w:pStyle w:val="ListBullet"/>
        <w:spacing w:after="80" w:line="276" w:lineRule="auto"/>
      </w:pPr>
      <w:r>
        <w:rPr>
          <w:rFonts w:ascii="Aptos" w:hAnsi="Aptos" w:eastAsia="Aptos"/>
          <w:b w:val="0"/>
          <w:i w:val="0"/>
          <w:color w:val="000000"/>
          <w:sz w:val="20"/>
        </w:rPr>
        <w:t>Establecer si la participación es voluntaria, cómo puede retirarse el consentimiento y a quién puede dirigirse el estudiante para consultas.</w:t>
      </w:r>
    </w:p>
    <w:p>
      <w:pPr>
        <w:pStyle w:val="ListBullet"/>
        <w:spacing w:after="80" w:line="276" w:lineRule="auto"/>
      </w:pPr>
      <w:r>
        <w:rPr>
          <w:rFonts w:ascii="Aptos" w:hAnsi="Aptos" w:eastAsia="Aptos"/>
          <w:b w:val="0"/>
          <w:i w:val="0"/>
          <w:color w:val="000000"/>
          <w:sz w:val="20"/>
        </w:rPr>
        <w:t>Definir controles técnicos de acceso por rol antes de habilitar la consulta de respuestas individuales.</w:t>
      </w:r>
    </w:p>
    <w:p>
      <w:pPr>
        <w:pStyle w:val="ListBullet"/>
        <w:spacing w:after="80" w:line="276" w:lineRule="auto"/>
      </w:pPr>
      <w:r>
        <w:rPr>
          <w:rFonts w:ascii="Aptos" w:hAnsi="Aptos" w:eastAsia="Aptos"/>
          <w:b w:val="0"/>
          <w:i w:val="0"/>
          <w:color w:val="000000"/>
          <w:sz w:val="20"/>
        </w:rPr>
        <w:t>No guardar más información de la necesaria para cumplir el propósito definido de cada evaluación.</w:t>
      </w:r>
    </w:p>
    <w:p>
      <w:pPr>
        <w:pStyle w:val="Heading1"/>
        <w:keepNext/>
      </w:pPr>
      <w:r>
        <w:rPr>
          <w:rFonts w:ascii="Aptos" w:hAnsi="Aptos" w:eastAsia="Aptos"/>
          <w:b/>
          <w:i w:val="0"/>
          <w:color w:val="000000"/>
          <w:sz w:val="30"/>
        </w:rPr>
        <w:t>Agenda y referencias</w:t>
      </w:r>
    </w:p>
    <w:p>
      <w:pPr>
        <w:spacing w:after="140" w:line="283" w:lineRule="auto"/>
      </w:pPr>
      <w:r>
        <w:rPr>
          <w:rFonts w:ascii="Aptos" w:hAnsi="Aptos" w:eastAsia="Aptos"/>
          <w:b w:val="0"/>
          <w:i w:val="0"/>
          <w:color w:val="000000"/>
          <w:sz w:val="21"/>
        </w:rPr>
        <w:t>La agenda de citas y las referencias no deben diseñarse a partir de supuestos. Antes de construirlas, el equipo debe entrevistar a los profesionales que usarían el sistema para documentar su práctica actual de disponibilidad, elección de horarios, cancelaciones, reprogramaciones y comunicación con estudiantes.</w:t>
      </w:r>
    </w:p>
    <w:p>
      <w:pPr>
        <w:spacing w:after="140" w:line="283" w:lineRule="auto"/>
      </w:pPr>
      <w:r>
        <w:rPr>
          <w:rFonts w:ascii="Aptos" w:hAnsi="Aptos" w:eastAsia="Aptos"/>
          <w:b w:val="0"/>
          <w:i w:val="0"/>
          <w:color w:val="000000"/>
          <w:sz w:val="21"/>
        </w:rPr>
        <w:t>Hasta contar con esa información, Evaluaciones, Asignaciones, Resultados y Referencias pueden mostrarse como módulos futuros. El dashboard del Director puede mantenerse con datos agregados existentes, sin exponer respuestas individuales ni datos clínicos.</w:t>
      </w:r>
    </w:p>
    <w:p>
      <w:pPr>
        <w:pStyle w:val="Heading1"/>
        <w:keepNext/>
      </w:pPr>
      <w:r>
        <w:rPr>
          <w:rFonts w:ascii="Aptos" w:hAnsi="Aptos" w:eastAsia="Aptos"/>
          <w:b/>
          <w:i w:val="0"/>
          <w:color w:val="000000"/>
          <w:sz w:val="30"/>
        </w:rPr>
        <w:t>Plan de trabajo propuesto</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907"/>
            <w:shd w:fill="1F293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Prioridad</w:t>
            </w:r>
          </w:p>
        </w:tc>
        <w:tc>
          <w:tcPr>
            <w:tcW w:type="dxa" w:w="3458"/>
            <w:shd w:fill="1F293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Actividad</w:t>
            </w:r>
          </w:p>
        </w:tc>
        <w:tc>
          <w:tcPr>
            <w:tcW w:type="dxa" w:w="4365"/>
            <w:shd w:fill="1F293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Condición para avanzar</w:t>
            </w:r>
          </w:p>
        </w:tc>
      </w:tr>
      <w:tr>
        <w:tc>
          <w:tcPr>
            <w:tcW w:type="dxa" w:w="907"/>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P0</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Aprobar el alcance y el vocabulario del proyecto</w:t>
            </w:r>
          </w:p>
        </w:tc>
        <w:tc>
          <w:tcPr>
            <w:tcW w:type="dxa" w:w="436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No usar términos clínicos ni crear preguntas de riesgo en esta fase</w:t>
            </w:r>
          </w:p>
        </w:tc>
      </w:tr>
      <w:tr>
        <w:tc>
          <w:tcPr>
            <w:tcW w:type="dxa" w:w="907"/>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P0</w:t>
            </w:r>
          </w:p>
        </w:tc>
        <w:tc>
          <w:tcPr>
            <w:tcW w:type="dxa" w:w="3458"/>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Completar el registro de preguntas y dimensiones</w:t>
            </w:r>
          </w:p>
        </w:tc>
        <w:tc>
          <w:tcPr>
            <w:tcW w:type="dxa" w:w="4365"/>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Cada pregunta debe tener propósito y regla de resultado</w:t>
            </w:r>
          </w:p>
        </w:tc>
      </w:tr>
      <w:tr>
        <w:tc>
          <w:tcPr>
            <w:tcW w:type="dxa" w:w="907"/>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P0</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Definir consentimiento y política de acceso</w:t>
            </w:r>
          </w:p>
        </w:tc>
        <w:tc>
          <w:tcPr>
            <w:tcW w:type="dxa" w:w="436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Revisión institucional antes de almacenar respuestas</w:t>
            </w:r>
          </w:p>
        </w:tc>
      </w:tr>
      <w:tr>
        <w:tc>
          <w:tcPr>
            <w:tcW w:type="dxa" w:w="907"/>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P1</w:t>
            </w:r>
          </w:p>
        </w:tc>
        <w:tc>
          <w:tcPr>
            <w:tcW w:type="dxa" w:w="3458"/>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Diseñar el modelo técnico de evaluaciones</w:t>
            </w:r>
          </w:p>
        </w:tc>
        <w:tc>
          <w:tcPr>
            <w:tcW w:type="dxa" w:w="4365"/>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Presentar entidades y tablas para aprobación antes de crear migraciones</w:t>
            </w:r>
          </w:p>
        </w:tc>
      </w:tr>
      <w:tr>
        <w:tc>
          <w:tcPr>
            <w:tcW w:type="dxa" w:w="907"/>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P1</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Crear una prueba piloto exploratoria</w:t>
            </w:r>
          </w:p>
        </w:tc>
        <w:tc>
          <w:tcPr>
            <w:tcW w:type="dxa" w:w="436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Revisión de contenido y lenguaje antes de aplicarla a estudiantes</w:t>
            </w:r>
          </w:p>
        </w:tc>
      </w:tr>
      <w:tr>
        <w:tc>
          <w:tcPr>
            <w:tcW w:type="dxa" w:w="907"/>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P2</w:t>
            </w:r>
          </w:p>
        </w:tc>
        <w:tc>
          <w:tcPr>
            <w:tcW w:type="dxa" w:w="3458"/>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Levantar requisitos de agenda y referencias</w:t>
            </w:r>
          </w:p>
        </w:tc>
        <w:tc>
          <w:tcPr>
            <w:tcW w:type="dxa" w:w="4365"/>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Entrevistas con profesionales y políticas documentadas</w:t>
            </w:r>
          </w:p>
        </w:tc>
      </w:tr>
      <w:tr>
        <w:tc>
          <w:tcPr>
            <w:tcW w:type="dxa" w:w="907"/>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Posterior</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Evaluar instrumentos validados o funciones clínicas</w:t>
            </w:r>
          </w:p>
        </w:tc>
        <w:tc>
          <w:tcPr>
            <w:tcW w:type="dxa" w:w="436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Solo con supervisión profesional, protocolo y autorización definidos</w:t>
            </w:r>
          </w:p>
        </w:tc>
      </w:tr>
    </w:tbl>
    <w:p>
      <w:pPr>
        <w:spacing w:after="40"/>
      </w:pPr>
    </w:p>
    <w:p>
      <w:pPr>
        <w:pStyle w:val="Heading1"/>
        <w:keepNext/>
      </w:pPr>
      <w:r>
        <w:rPr>
          <w:rFonts w:ascii="Aptos" w:hAnsi="Aptos" w:eastAsia="Aptos"/>
          <w:b/>
          <w:i w:val="0"/>
          <w:color w:val="000000"/>
          <w:sz w:val="30"/>
        </w:rPr>
        <w:t>Decisiones pendientes</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2268"/>
            <w:shd w:fill="1F293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Decisión</w:t>
            </w:r>
          </w:p>
        </w:tc>
        <w:tc>
          <w:tcPr>
            <w:tcW w:type="dxa" w:w="6463"/>
            <w:shd w:fill="1F293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Respuesta necesaria</w:t>
            </w:r>
          </w:p>
        </w:tc>
      </w:tr>
      <w:tr>
        <w:tc>
          <w:tcPr>
            <w:tcW w:type="dxa" w:w="226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Dimensiones iniciales</w:t>
            </w:r>
          </w:p>
        </w:tc>
        <w:tc>
          <w:tcPr>
            <w:tcW w:type="dxa" w:w="646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Qué intereses o preferencias se explorarán y quién aprobará su contenido</w:t>
            </w:r>
          </w:p>
        </w:tc>
      </w:tr>
      <w:tr>
        <w:tc>
          <w:tcPr>
            <w:tcW w:type="dxa" w:w="2268"/>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Acceso a respuestas</w:t>
            </w:r>
          </w:p>
        </w:tc>
        <w:tc>
          <w:tcPr>
            <w:tcW w:type="dxa" w:w="6463"/>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Qué roles podrán consultar resultados individuales y bajo qué necesidad</w:t>
            </w:r>
          </w:p>
        </w:tc>
      </w:tr>
      <w:tr>
        <w:tc>
          <w:tcPr>
            <w:tcW w:type="dxa" w:w="226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Conservación de datos</w:t>
            </w:r>
          </w:p>
        </w:tc>
        <w:tc>
          <w:tcPr>
            <w:tcW w:type="dxa" w:w="646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Periodo de retención, eliminación y responsable institucional</w:t>
            </w:r>
          </w:p>
        </w:tc>
      </w:tr>
      <w:tr>
        <w:tc>
          <w:tcPr>
            <w:tcW w:type="dxa" w:w="2268"/>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Consentimiento</w:t>
            </w:r>
          </w:p>
        </w:tc>
        <w:tc>
          <w:tcPr>
            <w:tcW w:type="dxa" w:w="6463"/>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Texto, canal de aceptación y proceso para retirar la autorización</w:t>
            </w:r>
          </w:p>
        </w:tc>
      </w:tr>
      <w:tr>
        <w:tc>
          <w:tcPr>
            <w:tcW w:type="dxa" w:w="226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Agenda</w:t>
            </w:r>
          </w:p>
        </w:tc>
        <w:tc>
          <w:tcPr>
            <w:tcW w:type="dxa" w:w="646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Reglas reales de disponibilidad, cancelación y reprogramación de los profesionales</w:t>
            </w:r>
          </w:p>
        </w:tc>
      </w:tr>
      <w:tr>
        <w:tc>
          <w:tcPr>
            <w:tcW w:type="dxa" w:w="2268"/>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rFonts w:ascii="Aptos" w:hAnsi="Aptos" w:eastAsia="Aptos"/>
                <w:b w:val="0"/>
                <w:i w:val="0"/>
                <w:color w:val="000000"/>
                <w:sz w:val="18"/>
              </w:rPr>
              <w:t>Datos clínicos futuros</w:t>
            </w:r>
          </w:p>
        </w:tc>
        <w:tc>
          <w:tcPr>
            <w:tcW w:type="dxa" w:w="6463"/>
            <w:shd w:fill="F2F4F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rFonts w:ascii="Aptos" w:hAnsi="Aptos" w:eastAsia="Aptos"/>
                <w:b w:val="0"/>
                <w:i w:val="0"/>
                <w:color w:val="000000"/>
                <w:sz w:val="18"/>
              </w:rPr>
              <w:t>Si se consideran, cuál será el protocolo de atención y la autorización aplicable</w:t>
            </w:r>
          </w:p>
        </w:tc>
      </w:tr>
    </w:tbl>
    <w:p>
      <w:pPr>
        <w:spacing w:after="40"/>
      </w:pPr>
    </w:p>
    <w:p>
      <w:pPr>
        <w:pStyle w:val="Heading1"/>
        <w:keepNext/>
      </w:pPr>
      <w:r>
        <w:rPr>
          <w:rFonts w:ascii="Aptos" w:hAnsi="Aptos" w:eastAsia="Aptos"/>
          <w:b/>
          <w:i w:val="0"/>
          <w:color w:val="000000"/>
          <w:sz w:val="30"/>
        </w:rPr>
        <w:t>Cierre</w:t>
      </w:r>
    </w:p>
    <w:p>
      <w:pPr>
        <w:spacing w:after="140" w:line="283" w:lineRule="auto"/>
      </w:pPr>
      <w:r>
        <w:rPr>
          <w:rFonts w:ascii="Aptos" w:hAnsi="Aptos" w:eastAsia="Aptos"/>
          <w:b w:val="0"/>
          <w:i w:val="0"/>
          <w:color w:val="000000"/>
          <w:sz w:val="21"/>
        </w:rPr>
        <w:t>El siguiente entregable del equipo debe ser el registro de dimensiones y preguntas exploratorias, junto con el borrador de consentimiento y las decisiones pendientes resueltas. Solo después de esa revisión conviene proponer entidades, cambios de base de datos o flujos de captura de respuestas.</w:t>
      </w:r>
    </w:p>
    <w:sectPr w:rsidR="00FC693F" w:rsidRPr="0006063C" w:rsidSect="00034616">
      <w:footerReference w:type="default" r:id="rId9"/>
      <w:pgSz w:w="12240" w:h="15840"/>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Aptos" w:hAnsi="Aptos" w:eastAsia="Aptos"/>
        <w:b w:val="0"/>
        <w:i w:val="0"/>
        <w:color w:val="5A6570"/>
        <w:sz w:val="17"/>
      </w:rPr>
      <w:t>ZUNI  |  Propuesta de ajustes  |  Septiembre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Ajustes Propuestos para ZUNI</dc:title>
  <dc:subject>Ajustes de alcance y seguridad para las evaluaciones exploratorias de ZUNI</dc:subject>
  <dc:creator>Equipo ZUNI</dc:creator>
  <cp:keywords>ZUNI, evaluaciones exploratorias, intereses, consentimiento</cp:keywords>
  <dc:description>generated by python-docx</dc:description>
  <cp:lastModifiedBy/>
  <cp:revision>1</cp:revision>
  <dcterms:created xsi:type="dcterms:W3CDTF">2013-12-23T23:15:00Z</dcterms:created>
  <dcterms:modified xsi:type="dcterms:W3CDTF">2013-12-23T23:15:00Z</dcterms:modified>
  <cp:category/>
</cp:coreProperties>
</file>