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E7E" w:rsidRPr="00024E7E" w:rsidRDefault="00024E7E" w:rsidP="0089514F">
      <w:pPr>
        <w:tabs>
          <w:tab w:val="left" w:pos="270"/>
        </w:tabs>
        <w:ind w:left="180" w:right="-450"/>
        <w:jc w:val="both"/>
        <w:rPr>
          <w:rFonts w:cstheme="minorHAnsi"/>
          <w:b/>
          <w:color w:val="000000"/>
          <w:sz w:val="21"/>
          <w:szCs w:val="21"/>
          <w:shd w:val="clear" w:color="auto" w:fill="FFFFFF"/>
        </w:rPr>
      </w:pPr>
      <w:r>
        <w:rPr>
          <w:rFonts w:cstheme="minorHAnsi"/>
          <w:b/>
          <w:color w:val="000000"/>
          <w:sz w:val="21"/>
          <w:szCs w:val="21"/>
          <w:shd w:val="clear" w:color="auto" w:fill="FFFFFF"/>
        </w:rPr>
        <w:t xml:space="preserve">Introduction </w:t>
      </w:r>
    </w:p>
    <w:p w:rsidR="00D737A2" w:rsidRDefault="00D737A2" w:rsidP="0089514F">
      <w:pPr>
        <w:tabs>
          <w:tab w:val="left" w:pos="270"/>
        </w:tabs>
        <w:ind w:left="180" w:right="-450"/>
        <w:jc w:val="both"/>
        <w:rPr>
          <w:rFonts w:cstheme="minorHAnsi"/>
          <w:color w:val="000000"/>
          <w:sz w:val="21"/>
          <w:szCs w:val="21"/>
          <w:shd w:val="clear" w:color="auto" w:fill="FFFFFF"/>
        </w:rPr>
      </w:pPr>
      <w:r w:rsidRPr="00B42B1F">
        <w:rPr>
          <w:rFonts w:cstheme="minorHAnsi"/>
          <w:color w:val="000000"/>
          <w:sz w:val="21"/>
          <w:szCs w:val="21"/>
          <w:shd w:val="clear" w:color="auto" w:fill="FFFFFF"/>
        </w:rPr>
        <w:t>Time series analysis comprises methods for analyzing time series data in order to extract meaningful characteristics of the data. Time series forecasting is the use of a model to predict future values based on previously observed values. While regression analysis is often employed in such a way as to test relationships between one or more different time series, this type of analysis is not usually called "time series analysis", which refers in particular to relationships between different points in time within a single series. Interrupted time series analysis is used to detect changes in the evolution of a time series from before to after some intervention which may affect the underlying variable.</w:t>
      </w:r>
    </w:p>
    <w:p w:rsidR="00024E7E" w:rsidRPr="00024E7E" w:rsidRDefault="00024E7E" w:rsidP="0089514F">
      <w:pPr>
        <w:tabs>
          <w:tab w:val="left" w:pos="270"/>
        </w:tabs>
        <w:ind w:left="180" w:right="-450"/>
        <w:jc w:val="both"/>
        <w:rPr>
          <w:rFonts w:cstheme="minorHAnsi"/>
          <w:b/>
          <w:color w:val="000000"/>
          <w:sz w:val="21"/>
          <w:szCs w:val="21"/>
          <w:shd w:val="clear" w:color="auto" w:fill="FFFFFF"/>
        </w:rPr>
      </w:pPr>
      <w:r>
        <w:rPr>
          <w:rFonts w:cstheme="minorHAnsi"/>
          <w:b/>
          <w:color w:val="000000"/>
          <w:sz w:val="21"/>
          <w:szCs w:val="21"/>
          <w:shd w:val="clear" w:color="auto" w:fill="FFFFFF"/>
        </w:rPr>
        <w:t xml:space="preserve">Technical analysis and Methodology </w:t>
      </w:r>
    </w:p>
    <w:p w:rsidR="001654AD" w:rsidRPr="00B42B1F" w:rsidRDefault="00C51DA9" w:rsidP="0089514F">
      <w:pPr>
        <w:tabs>
          <w:tab w:val="left" w:pos="270"/>
        </w:tabs>
        <w:ind w:left="180" w:right="-450"/>
        <w:jc w:val="both"/>
        <w:rPr>
          <w:rFonts w:cstheme="minorHAnsi"/>
          <w:color w:val="000000"/>
          <w:sz w:val="21"/>
          <w:szCs w:val="21"/>
          <w:shd w:val="clear" w:color="auto" w:fill="FFFFFF"/>
        </w:rPr>
      </w:pPr>
      <w:r w:rsidRPr="00B42B1F">
        <w:rPr>
          <w:rFonts w:cstheme="minorHAnsi"/>
          <w:color w:val="000000"/>
          <w:sz w:val="21"/>
          <w:szCs w:val="21"/>
          <w:shd w:val="clear" w:color="auto" w:fill="FFFFFF"/>
        </w:rPr>
        <w:t>Seasonality is a very common feature of financial and economic time series, while most of the data announced publicly is seasonally adjusted that the seasonal patterns are already removed from the original data. Seasonal patterns are repeating data specifications in a specific frequency, such as higher inflation in 1st quarters and lower unemployment in 4th quarters. Seasonality should be considered to obtain more robust forecasts and analysis.</w:t>
      </w:r>
      <w:r w:rsidR="00D737A2" w:rsidRPr="00B42B1F">
        <w:rPr>
          <w:rFonts w:cstheme="minorHAnsi"/>
          <w:color w:val="000000"/>
          <w:sz w:val="21"/>
          <w:szCs w:val="21"/>
          <w:shd w:val="clear" w:color="auto" w:fill="FFFFFF"/>
        </w:rPr>
        <w:t xml:space="preserve"> Therefore, models that aim to forecast unemployment rates should consider their seasonal properties so as to obtain better mean equation estimations</w:t>
      </w:r>
      <w:r w:rsidR="00B42B1F" w:rsidRPr="00B42B1F">
        <w:rPr>
          <w:rFonts w:cstheme="minorHAnsi"/>
          <w:color w:val="000000"/>
          <w:sz w:val="21"/>
          <w:szCs w:val="21"/>
          <w:shd w:val="clear" w:color="auto" w:fill="FFFFFF"/>
        </w:rPr>
        <w:t>.</w:t>
      </w:r>
    </w:p>
    <w:p w:rsidR="00B42B1F" w:rsidRPr="00B42B1F" w:rsidRDefault="00B42B1F" w:rsidP="0089514F">
      <w:pPr>
        <w:tabs>
          <w:tab w:val="left" w:pos="270"/>
        </w:tabs>
        <w:ind w:left="180" w:right="-450"/>
        <w:jc w:val="both"/>
        <w:rPr>
          <w:rFonts w:cstheme="minorHAnsi"/>
          <w:color w:val="000000"/>
          <w:sz w:val="21"/>
          <w:szCs w:val="21"/>
          <w:shd w:val="clear" w:color="auto" w:fill="FFFFFF"/>
        </w:rPr>
      </w:pPr>
      <w:r w:rsidRPr="00B42B1F">
        <w:rPr>
          <w:rFonts w:cstheme="minorHAnsi"/>
          <w:color w:val="000000"/>
          <w:sz w:val="21"/>
          <w:szCs w:val="21"/>
          <w:shd w:val="clear" w:color="auto" w:fill="FFFFFF"/>
        </w:rPr>
        <w:t>The characteristics of the data that should be used for time series future prediction are different from those of general machine learning models. A typical difference is that the data used for time series data is clearly ordered by the time the data occurs. Since the time is not repeated and recorded only in the increasing direction, the same data is not repeated again, and data that is always newly generated comes in only in the increasing direction of the time axis (x-axis). However, the case of general data is very different from time series data in that the same data is often observed and the independent variable (x-axis) of new</w:t>
      </w:r>
      <w:r>
        <w:rPr>
          <w:rFonts w:cstheme="minorHAnsi"/>
          <w:color w:val="000000"/>
          <w:sz w:val="21"/>
          <w:szCs w:val="21"/>
          <w:shd w:val="clear" w:color="auto" w:fill="FFFFFF"/>
        </w:rPr>
        <w:t xml:space="preserve"> data may increase or decrease.</w:t>
      </w:r>
    </w:p>
    <w:p w:rsidR="00B42B1F" w:rsidRDefault="00B42B1F" w:rsidP="0089514F">
      <w:pPr>
        <w:tabs>
          <w:tab w:val="left" w:pos="270"/>
        </w:tabs>
        <w:ind w:left="180" w:right="-450"/>
        <w:jc w:val="both"/>
        <w:rPr>
          <w:rFonts w:cstheme="minorHAnsi"/>
          <w:color w:val="000000"/>
          <w:sz w:val="21"/>
          <w:szCs w:val="21"/>
          <w:shd w:val="clear" w:color="auto" w:fill="FFFFFF"/>
        </w:rPr>
      </w:pPr>
      <w:r w:rsidRPr="00B42B1F">
        <w:rPr>
          <w:rFonts w:cstheme="minorHAnsi"/>
          <w:color w:val="000000"/>
          <w:sz w:val="21"/>
          <w:szCs w:val="21"/>
          <w:shd w:val="clear" w:color="auto" w:fill="FFFFFF"/>
        </w:rPr>
        <w:t>In addition, time series data has characteristics such as trend, which is a long-term pattern, seasonality, which is a medium-term pattern, and autocorrelation, which is a correlation with previous data. After all, analyzing time series data means analyzing various characteristics of time series data such as trend, seasonality, and autocorrelation.</w:t>
      </w:r>
    </w:p>
    <w:p w:rsidR="00E675F7" w:rsidRDefault="006C1C3F" w:rsidP="0089514F">
      <w:pPr>
        <w:tabs>
          <w:tab w:val="left" w:pos="270"/>
        </w:tabs>
        <w:ind w:left="180" w:right="-450"/>
        <w:jc w:val="both"/>
        <w:rPr>
          <w:rFonts w:cstheme="minorHAnsi"/>
          <w:color w:val="000000"/>
          <w:sz w:val="21"/>
          <w:szCs w:val="21"/>
          <w:shd w:val="clear" w:color="auto" w:fill="FFFFFF"/>
        </w:rPr>
      </w:pPr>
      <w:r>
        <w:rPr>
          <w:rFonts w:cstheme="minorHAnsi"/>
          <w:color w:val="000000"/>
          <w:sz w:val="21"/>
          <w:szCs w:val="21"/>
          <w:shd w:val="clear" w:color="auto" w:fill="FFFFFF"/>
        </w:rPr>
        <w:t xml:space="preserve">A comparative analysis was done for </w:t>
      </w:r>
      <w:r w:rsidR="00E675F7" w:rsidRPr="00E675F7">
        <w:rPr>
          <w:rFonts w:cstheme="minorHAnsi"/>
          <w:color w:val="000000"/>
          <w:sz w:val="21"/>
          <w:szCs w:val="21"/>
          <w:shd w:val="clear" w:color="auto" w:fill="FFFFFF"/>
        </w:rPr>
        <w:t>the for</w:t>
      </w:r>
      <w:r w:rsidR="00E675F7">
        <w:rPr>
          <w:rFonts w:cstheme="minorHAnsi"/>
          <w:color w:val="000000"/>
          <w:sz w:val="21"/>
          <w:szCs w:val="21"/>
          <w:shd w:val="clear" w:color="auto" w:fill="FFFFFF"/>
        </w:rPr>
        <w:t xml:space="preserve">ecast performances of different </w:t>
      </w:r>
      <w:r w:rsidR="00E675F7" w:rsidRPr="00E675F7">
        <w:rPr>
          <w:rFonts w:cstheme="minorHAnsi"/>
          <w:color w:val="000000"/>
          <w:sz w:val="21"/>
          <w:szCs w:val="21"/>
          <w:shd w:val="clear" w:color="auto" w:fill="FFFFFF"/>
        </w:rPr>
        <w:t>univariate time series methods with the purpose of providing fut</w:t>
      </w:r>
      <w:r w:rsidR="00E675F7">
        <w:rPr>
          <w:rFonts w:cstheme="minorHAnsi"/>
          <w:color w:val="000000"/>
          <w:sz w:val="21"/>
          <w:szCs w:val="21"/>
          <w:shd w:val="clear" w:color="auto" w:fill="FFFFFF"/>
        </w:rPr>
        <w:t xml:space="preserve">ure predictions of unemployment </w:t>
      </w:r>
      <w:r w:rsidR="00E675F7" w:rsidRPr="00E675F7">
        <w:rPr>
          <w:rFonts w:cstheme="minorHAnsi"/>
          <w:color w:val="000000"/>
          <w:sz w:val="21"/>
          <w:szCs w:val="21"/>
          <w:shd w:val="clear" w:color="auto" w:fill="FFFFFF"/>
        </w:rPr>
        <w:t>rate. In order to do that, several forecasting models (seasonal model a</w:t>
      </w:r>
      <w:r w:rsidR="00E675F7">
        <w:rPr>
          <w:rFonts w:cstheme="minorHAnsi"/>
          <w:color w:val="000000"/>
          <w:sz w:val="21"/>
          <w:szCs w:val="21"/>
          <w:shd w:val="clear" w:color="auto" w:fill="FFFFFF"/>
        </w:rPr>
        <w:t xml:space="preserve">utoregressive integrated </w:t>
      </w:r>
      <w:r w:rsidR="00E675F7" w:rsidRPr="00E675F7">
        <w:rPr>
          <w:rFonts w:cstheme="minorHAnsi"/>
          <w:color w:val="000000"/>
          <w:sz w:val="21"/>
          <w:szCs w:val="21"/>
          <w:shd w:val="clear" w:color="auto" w:fill="FFFFFF"/>
        </w:rPr>
        <w:t>moving average (SARIMA), self-exciting threshold autoregressive (SE</w:t>
      </w:r>
      <w:r w:rsidR="00E675F7">
        <w:rPr>
          <w:rFonts w:cstheme="minorHAnsi"/>
          <w:color w:val="000000"/>
          <w:sz w:val="21"/>
          <w:szCs w:val="21"/>
          <w:shd w:val="clear" w:color="auto" w:fill="FFFFFF"/>
        </w:rPr>
        <w:t>TAR), Holt–Winters, ETS (</w:t>
      </w:r>
      <w:r>
        <w:rPr>
          <w:rFonts w:cstheme="minorHAnsi"/>
          <w:color w:val="000000"/>
          <w:sz w:val="21"/>
          <w:szCs w:val="21"/>
          <w:shd w:val="clear" w:color="auto" w:fill="FFFFFF"/>
        </w:rPr>
        <w:t>error,</w:t>
      </w:r>
      <w:r w:rsidRPr="00E675F7">
        <w:rPr>
          <w:rFonts w:cstheme="minorHAnsi"/>
          <w:color w:val="000000"/>
          <w:sz w:val="21"/>
          <w:szCs w:val="21"/>
          <w:shd w:val="clear" w:color="auto" w:fill="FFFFFF"/>
        </w:rPr>
        <w:t xml:space="preserve"> trend</w:t>
      </w:r>
      <w:r w:rsidR="00E675F7" w:rsidRPr="00E675F7">
        <w:rPr>
          <w:rFonts w:cstheme="minorHAnsi"/>
          <w:color w:val="000000"/>
          <w:sz w:val="21"/>
          <w:szCs w:val="21"/>
          <w:shd w:val="clear" w:color="auto" w:fill="FFFFFF"/>
        </w:rPr>
        <w:t xml:space="preserve">, seasonal), and </w:t>
      </w:r>
      <w:r w:rsidR="00E675F7">
        <w:rPr>
          <w:rFonts w:cstheme="minorHAnsi"/>
          <w:color w:val="000000"/>
          <w:sz w:val="21"/>
          <w:szCs w:val="21"/>
          <w:shd w:val="clear" w:color="auto" w:fill="FFFFFF"/>
        </w:rPr>
        <w:t>LSTM</w:t>
      </w:r>
      <w:r w:rsidR="00E675F7" w:rsidRPr="00E675F7">
        <w:rPr>
          <w:rFonts w:cstheme="minorHAnsi"/>
          <w:color w:val="000000"/>
          <w:sz w:val="21"/>
          <w:szCs w:val="21"/>
          <w:shd w:val="clear" w:color="auto" w:fill="FFFFFF"/>
        </w:rPr>
        <w:t xml:space="preserve"> (</w:t>
      </w:r>
      <w:r w:rsidR="00E675F7">
        <w:rPr>
          <w:rFonts w:cstheme="minorHAnsi"/>
          <w:color w:val="000000"/>
          <w:sz w:val="21"/>
          <w:szCs w:val="21"/>
          <w:shd w:val="clear" w:color="auto" w:fill="FFFFFF"/>
        </w:rPr>
        <w:t>Long Short Term Memory</w:t>
      </w:r>
      <w:r w:rsidR="00E675F7" w:rsidRPr="00E675F7">
        <w:rPr>
          <w:rFonts w:cstheme="minorHAnsi"/>
          <w:color w:val="000000"/>
          <w:sz w:val="21"/>
          <w:szCs w:val="21"/>
          <w:shd w:val="clear" w:color="auto" w:fill="FFFFFF"/>
        </w:rPr>
        <w:t>) have b</w:t>
      </w:r>
      <w:r w:rsidR="00E675F7">
        <w:rPr>
          <w:rFonts w:cstheme="minorHAnsi"/>
          <w:color w:val="000000"/>
          <w:sz w:val="21"/>
          <w:szCs w:val="21"/>
          <w:shd w:val="clear" w:color="auto" w:fill="FFFFFF"/>
        </w:rPr>
        <w:t xml:space="preserve">een applied, and their forecast </w:t>
      </w:r>
      <w:r w:rsidR="00E675F7" w:rsidRPr="00E675F7">
        <w:rPr>
          <w:rFonts w:cstheme="minorHAnsi"/>
          <w:color w:val="000000"/>
          <w:sz w:val="21"/>
          <w:szCs w:val="21"/>
          <w:shd w:val="clear" w:color="auto" w:fill="FFFFFF"/>
        </w:rPr>
        <w:t>performances have been evaluated</w:t>
      </w:r>
      <w:r w:rsidR="00E675F7">
        <w:rPr>
          <w:rFonts w:cstheme="minorHAnsi"/>
          <w:color w:val="000000"/>
          <w:sz w:val="21"/>
          <w:szCs w:val="21"/>
          <w:shd w:val="clear" w:color="auto" w:fill="FFFFFF"/>
        </w:rPr>
        <w:t xml:space="preserve"> based on </w:t>
      </w:r>
      <w:r w:rsidR="00E675F7" w:rsidRPr="00E675F7">
        <w:rPr>
          <w:rFonts w:cstheme="minorHAnsi"/>
          <w:color w:val="000000"/>
          <w:sz w:val="21"/>
          <w:szCs w:val="21"/>
          <w:shd w:val="clear" w:color="auto" w:fill="FFFFFF"/>
        </w:rPr>
        <w:t>root mean squared error (RMSE)</w:t>
      </w:r>
      <w:r w:rsidR="00E675F7">
        <w:rPr>
          <w:rFonts w:cstheme="minorHAnsi"/>
          <w:color w:val="000000"/>
          <w:sz w:val="21"/>
          <w:szCs w:val="21"/>
          <w:shd w:val="clear" w:color="auto" w:fill="FFFFFF"/>
        </w:rPr>
        <w:t>.</w:t>
      </w:r>
    </w:p>
    <w:p w:rsidR="00B42B1F" w:rsidRPr="00B42B1F" w:rsidRDefault="00B42B1F" w:rsidP="0089514F">
      <w:pPr>
        <w:tabs>
          <w:tab w:val="left" w:pos="270"/>
        </w:tabs>
        <w:ind w:left="180" w:right="-450"/>
        <w:jc w:val="both"/>
        <w:rPr>
          <w:rFonts w:cstheme="minorHAnsi"/>
          <w:b/>
          <w:color w:val="000000"/>
          <w:sz w:val="21"/>
          <w:szCs w:val="21"/>
          <w:shd w:val="clear" w:color="auto" w:fill="FFFFFF"/>
        </w:rPr>
      </w:pPr>
      <w:r w:rsidRPr="00B42B1F">
        <w:rPr>
          <w:rFonts w:cstheme="minorHAnsi"/>
          <w:b/>
          <w:color w:val="000000"/>
          <w:sz w:val="21"/>
          <w:szCs w:val="21"/>
          <w:shd w:val="clear" w:color="auto" w:fill="FFFFFF"/>
        </w:rPr>
        <w:t>Comparing Models</w:t>
      </w:r>
      <w:r>
        <w:rPr>
          <w:rFonts w:cstheme="minorHAnsi"/>
          <w:b/>
          <w:color w:val="000000"/>
          <w:sz w:val="21"/>
          <w:szCs w:val="21"/>
          <w:shd w:val="clear" w:color="auto" w:fill="FFFFFF"/>
        </w:rPr>
        <w:t>- Two stage modeling approach</w:t>
      </w:r>
    </w:p>
    <w:p w:rsidR="006C1C3F" w:rsidRDefault="00B42B1F" w:rsidP="0089514F">
      <w:pPr>
        <w:tabs>
          <w:tab w:val="left" w:pos="270"/>
        </w:tabs>
        <w:ind w:left="180" w:right="-450"/>
        <w:jc w:val="both"/>
        <w:rPr>
          <w:rFonts w:cstheme="minorHAnsi"/>
          <w:color w:val="000000"/>
          <w:sz w:val="21"/>
          <w:szCs w:val="21"/>
          <w:shd w:val="clear" w:color="auto" w:fill="FFFFFF"/>
        </w:rPr>
      </w:pPr>
      <w:r w:rsidRPr="00B42B1F">
        <w:rPr>
          <w:rFonts w:cstheme="minorHAnsi"/>
          <w:color w:val="000000"/>
          <w:sz w:val="21"/>
          <w:szCs w:val="21"/>
          <w:shd w:val="clear" w:color="auto" w:fill="FFFFFF"/>
        </w:rPr>
        <w:t>The most basic assumption of time series forecasting is that past patterns continue into the future. Based on this assumption, in the short-term future forecast, since the environment in which the data is generated is similar to the present, the uncertainty is small and the forecast can be well-predicted. However, as we move towards long-term future forecasting, the possibility of the environment in which data is generated is likely to change, and unpredictable situations occur, and as errors continue to accumulate, uncertainty about the fore</w:t>
      </w:r>
      <w:r w:rsidR="004C7E3D">
        <w:rPr>
          <w:rFonts w:cstheme="minorHAnsi"/>
          <w:color w:val="000000"/>
          <w:sz w:val="21"/>
          <w:szCs w:val="21"/>
          <w:shd w:val="clear" w:color="auto" w:fill="FFFFFF"/>
        </w:rPr>
        <w:t>cast data is bound to increase.</w:t>
      </w:r>
    </w:p>
    <w:p w:rsidR="006C1C3F" w:rsidRPr="006C1C3F" w:rsidRDefault="006C1C3F" w:rsidP="0089514F">
      <w:pPr>
        <w:tabs>
          <w:tab w:val="left" w:pos="270"/>
        </w:tabs>
        <w:ind w:left="180" w:right="-450"/>
        <w:jc w:val="both"/>
        <w:rPr>
          <w:rFonts w:cstheme="minorHAnsi"/>
          <w:b/>
          <w:color w:val="000000"/>
          <w:sz w:val="21"/>
          <w:szCs w:val="21"/>
          <w:shd w:val="clear" w:color="auto" w:fill="FFFFFF"/>
        </w:rPr>
      </w:pPr>
      <w:r>
        <w:rPr>
          <w:rFonts w:cstheme="minorHAnsi"/>
          <w:b/>
          <w:color w:val="000000"/>
          <w:sz w:val="21"/>
          <w:szCs w:val="21"/>
          <w:shd w:val="clear" w:color="auto" w:fill="FFFFFF"/>
        </w:rPr>
        <w:t xml:space="preserve">Results of </w:t>
      </w:r>
      <w:r w:rsidR="0089514F">
        <w:rPr>
          <w:rFonts w:cstheme="minorHAnsi"/>
          <w:b/>
          <w:color w:val="000000"/>
          <w:sz w:val="21"/>
          <w:szCs w:val="21"/>
          <w:shd w:val="clear" w:color="auto" w:fill="FFFFFF"/>
        </w:rPr>
        <w:t>Modeling</w:t>
      </w:r>
    </w:p>
    <w:p w:rsidR="00E675F7" w:rsidRDefault="00B42B1F" w:rsidP="0089514F">
      <w:pPr>
        <w:tabs>
          <w:tab w:val="left" w:pos="270"/>
        </w:tabs>
        <w:ind w:left="180" w:right="-450"/>
        <w:jc w:val="both"/>
        <w:rPr>
          <w:rFonts w:cstheme="minorHAnsi"/>
          <w:color w:val="000000"/>
          <w:sz w:val="21"/>
          <w:szCs w:val="21"/>
          <w:shd w:val="clear" w:color="auto" w:fill="FFFFFF"/>
        </w:rPr>
      </w:pPr>
      <w:r w:rsidRPr="00B42B1F">
        <w:rPr>
          <w:rFonts w:cstheme="minorHAnsi"/>
          <w:color w:val="000000"/>
          <w:sz w:val="21"/>
          <w:szCs w:val="21"/>
          <w:shd w:val="clear" w:color="auto" w:fill="FFFFFF"/>
        </w:rPr>
        <w:t>We compare the performance of various</w:t>
      </w:r>
      <w:r w:rsidR="004C7E3D">
        <w:rPr>
          <w:rFonts w:cstheme="minorHAnsi"/>
          <w:color w:val="000000"/>
          <w:sz w:val="21"/>
          <w:szCs w:val="21"/>
          <w:shd w:val="clear" w:color="auto" w:fill="FFFFFF"/>
        </w:rPr>
        <w:t xml:space="preserve"> models and try to select the model</w:t>
      </w:r>
      <w:r w:rsidRPr="00B42B1F">
        <w:rPr>
          <w:rFonts w:cstheme="minorHAnsi"/>
          <w:color w:val="000000"/>
          <w:sz w:val="21"/>
          <w:szCs w:val="21"/>
          <w:shd w:val="clear" w:color="auto" w:fill="FFFFFF"/>
        </w:rPr>
        <w:t xml:space="preserve"> with the best performance</w:t>
      </w:r>
      <w:r w:rsidR="004C7E3D">
        <w:rPr>
          <w:rFonts w:cstheme="minorHAnsi"/>
          <w:color w:val="000000"/>
          <w:sz w:val="21"/>
          <w:szCs w:val="21"/>
          <w:shd w:val="clear" w:color="auto" w:fill="FFFFFF"/>
        </w:rPr>
        <w:t xml:space="preserve"> (least RMSE)</w:t>
      </w:r>
      <w:r w:rsidR="006C1C3F">
        <w:rPr>
          <w:rFonts w:cstheme="minorHAnsi"/>
          <w:color w:val="000000"/>
          <w:sz w:val="21"/>
          <w:szCs w:val="21"/>
          <w:shd w:val="clear" w:color="auto" w:fill="FFFFFF"/>
        </w:rPr>
        <w:t xml:space="preserve">. </w:t>
      </w:r>
      <w:r w:rsidR="00E675F7" w:rsidRPr="00E675F7">
        <w:rPr>
          <w:rFonts w:cstheme="minorHAnsi"/>
          <w:color w:val="000000"/>
          <w:sz w:val="21"/>
          <w:szCs w:val="21"/>
          <w:shd w:val="clear" w:color="auto" w:fill="FFFFFF"/>
        </w:rPr>
        <w:t>Based on the in-sample forecast assessment of different</w:t>
      </w:r>
      <w:r w:rsidR="006C1C3F">
        <w:rPr>
          <w:rFonts w:cstheme="minorHAnsi"/>
          <w:color w:val="000000"/>
          <w:sz w:val="21"/>
          <w:szCs w:val="21"/>
          <w:shd w:val="clear" w:color="auto" w:fill="FFFFFF"/>
        </w:rPr>
        <w:t xml:space="preserve"> methods, the forecast measures </w:t>
      </w:r>
      <w:r w:rsidR="00E675F7" w:rsidRPr="00E675F7">
        <w:rPr>
          <w:rFonts w:cstheme="minorHAnsi"/>
          <w:color w:val="000000"/>
          <w:sz w:val="21"/>
          <w:szCs w:val="21"/>
          <w:shd w:val="clear" w:color="auto" w:fill="FFFFFF"/>
        </w:rPr>
        <w:t>root mean squared error (RMSE), mean absolute error (MAE</w:t>
      </w:r>
      <w:r w:rsidR="006C1C3F">
        <w:rPr>
          <w:rFonts w:cstheme="minorHAnsi"/>
          <w:color w:val="000000"/>
          <w:sz w:val="21"/>
          <w:szCs w:val="21"/>
          <w:shd w:val="clear" w:color="auto" w:fill="FFFFFF"/>
        </w:rPr>
        <w:t xml:space="preserve"> </w:t>
      </w:r>
      <w:r w:rsidR="00E675F7" w:rsidRPr="00E675F7">
        <w:rPr>
          <w:rFonts w:cstheme="minorHAnsi"/>
          <w:color w:val="000000"/>
          <w:sz w:val="21"/>
          <w:szCs w:val="21"/>
          <w:shd w:val="clear" w:color="auto" w:fill="FFFFFF"/>
        </w:rPr>
        <w:t xml:space="preserve">suggested that the </w:t>
      </w:r>
      <w:r w:rsidR="006C1C3F">
        <w:rPr>
          <w:rFonts w:cstheme="minorHAnsi"/>
          <w:color w:val="000000"/>
          <w:sz w:val="21"/>
          <w:szCs w:val="21"/>
          <w:shd w:val="clear" w:color="auto" w:fill="FFFFFF"/>
        </w:rPr>
        <w:t>LSTM</w:t>
      </w:r>
      <w:r w:rsidR="00E675F7" w:rsidRPr="00E675F7">
        <w:rPr>
          <w:rFonts w:cstheme="minorHAnsi"/>
          <w:color w:val="000000"/>
          <w:sz w:val="21"/>
          <w:szCs w:val="21"/>
          <w:shd w:val="clear" w:color="auto" w:fill="FFFFFF"/>
        </w:rPr>
        <w:t xml:space="preserve"> model outperforms the other models.</w:t>
      </w:r>
    </w:p>
    <w:p w:rsidR="00294268" w:rsidRDefault="00294268" w:rsidP="0089514F">
      <w:pPr>
        <w:tabs>
          <w:tab w:val="left" w:pos="270"/>
        </w:tabs>
        <w:ind w:left="180" w:right="-450"/>
        <w:jc w:val="both"/>
        <w:rPr>
          <w:rFonts w:cstheme="minorHAnsi"/>
          <w:color w:val="000000"/>
          <w:sz w:val="21"/>
          <w:szCs w:val="21"/>
          <w:shd w:val="clear" w:color="auto" w:fill="FFFFFF"/>
        </w:rPr>
      </w:pPr>
    </w:p>
    <w:tbl>
      <w:tblPr>
        <w:tblW w:w="0" w:type="auto"/>
        <w:jc w:val="center"/>
        <w:tblInd w:w="-216" w:type="dxa"/>
        <w:tblLayout w:type="fixed"/>
        <w:tblCellMar>
          <w:left w:w="30" w:type="dxa"/>
          <w:right w:w="30" w:type="dxa"/>
        </w:tblCellMar>
        <w:tblLook w:val="0000" w:firstRow="0" w:lastRow="0" w:firstColumn="0" w:lastColumn="0" w:noHBand="0" w:noVBand="0"/>
      </w:tblPr>
      <w:tblGrid>
        <w:gridCol w:w="1846"/>
        <w:gridCol w:w="1003"/>
        <w:gridCol w:w="1552"/>
        <w:gridCol w:w="1710"/>
      </w:tblGrid>
      <w:tr w:rsidR="0089514F" w:rsidTr="00294268">
        <w:trPr>
          <w:trHeight w:val="290"/>
          <w:jc w:val="center"/>
        </w:trPr>
        <w:tc>
          <w:tcPr>
            <w:tcW w:w="6111" w:type="dxa"/>
            <w:gridSpan w:val="4"/>
            <w:tcBorders>
              <w:top w:val="single" w:sz="6" w:space="0" w:color="auto"/>
              <w:left w:val="single" w:sz="6" w:space="0" w:color="auto"/>
              <w:bottom w:val="single" w:sz="6" w:space="0" w:color="auto"/>
              <w:right w:val="single" w:sz="6" w:space="0" w:color="auto"/>
            </w:tcBorders>
            <w:shd w:val="solid" w:color="FFCC00" w:fill="auto"/>
          </w:tcPr>
          <w:p w:rsidR="0089514F" w:rsidRDefault="0089514F" w:rsidP="0089514F">
            <w:pPr>
              <w:autoSpaceDE w:val="0"/>
              <w:autoSpaceDN w:val="0"/>
              <w:adjustRightInd w:val="0"/>
              <w:spacing w:after="0" w:line="240" w:lineRule="auto"/>
              <w:ind w:left="180"/>
              <w:jc w:val="center"/>
              <w:rPr>
                <w:rFonts w:ascii="Calibri" w:hAnsi="Calibri" w:cs="Calibri"/>
                <w:b/>
                <w:bCs/>
                <w:color w:val="000000"/>
              </w:rPr>
            </w:pPr>
            <w:r>
              <w:rPr>
                <w:rFonts w:ascii="Calibri" w:hAnsi="Calibri" w:cs="Calibri"/>
                <w:b/>
                <w:bCs/>
                <w:color w:val="000000"/>
              </w:rPr>
              <w:lastRenderedPageBreak/>
              <w:t xml:space="preserve">UNEMPLOYMENT RATE </w:t>
            </w:r>
          </w:p>
        </w:tc>
      </w:tr>
      <w:tr w:rsidR="0089514F" w:rsidTr="00294268">
        <w:trPr>
          <w:trHeight w:val="290"/>
          <w:jc w:val="center"/>
        </w:trPr>
        <w:tc>
          <w:tcPr>
            <w:tcW w:w="1846" w:type="dxa"/>
            <w:tcBorders>
              <w:top w:val="single" w:sz="6" w:space="0" w:color="auto"/>
              <w:left w:val="single" w:sz="6" w:space="0" w:color="auto"/>
              <w:bottom w:val="single" w:sz="6" w:space="0" w:color="auto"/>
              <w:right w:val="single" w:sz="6" w:space="0" w:color="auto"/>
            </w:tcBorders>
            <w:shd w:val="solid" w:color="C0C0C0" w:fill="auto"/>
          </w:tcPr>
          <w:p w:rsidR="0089514F" w:rsidRDefault="0089514F" w:rsidP="0089514F">
            <w:pPr>
              <w:autoSpaceDE w:val="0"/>
              <w:autoSpaceDN w:val="0"/>
              <w:adjustRightInd w:val="0"/>
              <w:spacing w:after="0" w:line="240" w:lineRule="auto"/>
              <w:ind w:left="180"/>
              <w:jc w:val="center"/>
              <w:rPr>
                <w:rFonts w:ascii="Calibri" w:hAnsi="Calibri" w:cs="Calibri"/>
                <w:b/>
                <w:bCs/>
                <w:color w:val="000000"/>
              </w:rPr>
            </w:pPr>
            <w:r>
              <w:rPr>
                <w:rFonts w:ascii="Calibri" w:hAnsi="Calibri" w:cs="Calibri"/>
                <w:b/>
                <w:bCs/>
                <w:color w:val="000000"/>
              </w:rPr>
              <w:t>Country</w:t>
            </w:r>
          </w:p>
        </w:tc>
        <w:tc>
          <w:tcPr>
            <w:tcW w:w="1003" w:type="dxa"/>
            <w:tcBorders>
              <w:top w:val="single" w:sz="6" w:space="0" w:color="auto"/>
              <w:left w:val="single" w:sz="6" w:space="0" w:color="auto"/>
              <w:bottom w:val="single" w:sz="6" w:space="0" w:color="auto"/>
              <w:right w:val="single" w:sz="6" w:space="0" w:color="auto"/>
            </w:tcBorders>
            <w:shd w:val="solid" w:color="C0C0C0" w:fill="auto"/>
          </w:tcPr>
          <w:p w:rsidR="0089514F" w:rsidRDefault="0089514F" w:rsidP="0089514F">
            <w:pPr>
              <w:autoSpaceDE w:val="0"/>
              <w:autoSpaceDN w:val="0"/>
              <w:adjustRightInd w:val="0"/>
              <w:spacing w:after="0" w:line="240" w:lineRule="auto"/>
              <w:ind w:left="180"/>
              <w:jc w:val="center"/>
              <w:rPr>
                <w:rFonts w:ascii="Calibri" w:hAnsi="Calibri" w:cs="Calibri"/>
                <w:b/>
                <w:bCs/>
                <w:color w:val="000000"/>
              </w:rPr>
            </w:pPr>
            <w:r>
              <w:rPr>
                <w:rFonts w:ascii="Calibri" w:hAnsi="Calibri" w:cs="Calibri"/>
                <w:b/>
                <w:bCs/>
                <w:color w:val="000000"/>
              </w:rPr>
              <w:t xml:space="preserve">UE Rate </w:t>
            </w:r>
          </w:p>
        </w:tc>
        <w:tc>
          <w:tcPr>
            <w:tcW w:w="1552" w:type="dxa"/>
            <w:tcBorders>
              <w:top w:val="single" w:sz="6" w:space="0" w:color="auto"/>
              <w:left w:val="single" w:sz="6" w:space="0" w:color="auto"/>
              <w:bottom w:val="single" w:sz="6" w:space="0" w:color="auto"/>
              <w:right w:val="single" w:sz="6" w:space="0" w:color="auto"/>
            </w:tcBorders>
            <w:shd w:val="solid" w:color="C0C0C0" w:fill="auto"/>
          </w:tcPr>
          <w:p w:rsidR="0089514F" w:rsidRDefault="0089514F" w:rsidP="0089514F">
            <w:pPr>
              <w:autoSpaceDE w:val="0"/>
              <w:autoSpaceDN w:val="0"/>
              <w:adjustRightInd w:val="0"/>
              <w:spacing w:after="0" w:line="240" w:lineRule="auto"/>
              <w:ind w:left="180"/>
              <w:jc w:val="center"/>
              <w:rPr>
                <w:rFonts w:ascii="Calibri" w:hAnsi="Calibri" w:cs="Calibri"/>
                <w:b/>
                <w:bCs/>
                <w:color w:val="000000"/>
              </w:rPr>
            </w:pPr>
            <w:r>
              <w:rPr>
                <w:rFonts w:ascii="Calibri" w:hAnsi="Calibri" w:cs="Calibri"/>
                <w:b/>
                <w:bCs/>
                <w:color w:val="000000"/>
              </w:rPr>
              <w:t xml:space="preserve">Upper Bound </w:t>
            </w:r>
          </w:p>
        </w:tc>
        <w:tc>
          <w:tcPr>
            <w:tcW w:w="1710" w:type="dxa"/>
            <w:tcBorders>
              <w:top w:val="single" w:sz="6" w:space="0" w:color="auto"/>
              <w:left w:val="single" w:sz="6" w:space="0" w:color="auto"/>
              <w:bottom w:val="single" w:sz="6" w:space="0" w:color="auto"/>
              <w:right w:val="single" w:sz="6" w:space="0" w:color="auto"/>
            </w:tcBorders>
            <w:shd w:val="solid" w:color="C0C0C0" w:fill="auto"/>
          </w:tcPr>
          <w:p w:rsidR="0089514F" w:rsidRDefault="0089514F" w:rsidP="0089514F">
            <w:pPr>
              <w:autoSpaceDE w:val="0"/>
              <w:autoSpaceDN w:val="0"/>
              <w:adjustRightInd w:val="0"/>
              <w:spacing w:after="0" w:line="240" w:lineRule="auto"/>
              <w:ind w:left="180"/>
              <w:jc w:val="center"/>
              <w:rPr>
                <w:rFonts w:ascii="Calibri" w:hAnsi="Calibri" w:cs="Calibri"/>
                <w:b/>
                <w:bCs/>
                <w:color w:val="000000"/>
              </w:rPr>
            </w:pPr>
            <w:r>
              <w:rPr>
                <w:rFonts w:ascii="Calibri" w:hAnsi="Calibri" w:cs="Calibri"/>
                <w:b/>
                <w:bCs/>
                <w:color w:val="000000"/>
              </w:rPr>
              <w:t xml:space="preserve">Lower Bound </w:t>
            </w:r>
          </w:p>
        </w:tc>
      </w:tr>
      <w:tr w:rsidR="0089514F" w:rsidTr="00294268">
        <w:trPr>
          <w:trHeight w:val="290"/>
          <w:jc w:val="center"/>
        </w:trPr>
        <w:tc>
          <w:tcPr>
            <w:tcW w:w="1846"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Canada</w:t>
            </w:r>
          </w:p>
        </w:tc>
        <w:tc>
          <w:tcPr>
            <w:tcW w:w="1003"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5.1</w:t>
            </w:r>
          </w:p>
        </w:tc>
        <w:tc>
          <w:tcPr>
            <w:tcW w:w="1552"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5.3</w:t>
            </w:r>
          </w:p>
        </w:tc>
        <w:tc>
          <w:tcPr>
            <w:tcW w:w="1710"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5.0</w:t>
            </w:r>
          </w:p>
        </w:tc>
      </w:tr>
      <w:tr w:rsidR="0089514F" w:rsidTr="00294268">
        <w:trPr>
          <w:trHeight w:val="290"/>
          <w:jc w:val="center"/>
        </w:trPr>
        <w:tc>
          <w:tcPr>
            <w:tcW w:w="1846"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France</w:t>
            </w:r>
          </w:p>
        </w:tc>
        <w:tc>
          <w:tcPr>
            <w:tcW w:w="1003"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7.0</w:t>
            </w:r>
          </w:p>
        </w:tc>
        <w:tc>
          <w:tcPr>
            <w:tcW w:w="1552"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7.1</w:t>
            </w:r>
          </w:p>
        </w:tc>
        <w:tc>
          <w:tcPr>
            <w:tcW w:w="1710"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7.0</w:t>
            </w:r>
          </w:p>
        </w:tc>
      </w:tr>
      <w:tr w:rsidR="0089514F" w:rsidTr="00294268">
        <w:trPr>
          <w:trHeight w:val="290"/>
          <w:jc w:val="center"/>
        </w:trPr>
        <w:tc>
          <w:tcPr>
            <w:tcW w:w="1846"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Germany</w:t>
            </w:r>
          </w:p>
        </w:tc>
        <w:tc>
          <w:tcPr>
            <w:tcW w:w="1003"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2.9</w:t>
            </w:r>
          </w:p>
        </w:tc>
        <w:tc>
          <w:tcPr>
            <w:tcW w:w="1552"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2.9</w:t>
            </w:r>
          </w:p>
        </w:tc>
        <w:tc>
          <w:tcPr>
            <w:tcW w:w="1710"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2.9</w:t>
            </w:r>
          </w:p>
        </w:tc>
      </w:tr>
      <w:tr w:rsidR="0089514F" w:rsidTr="00294268">
        <w:trPr>
          <w:trHeight w:val="290"/>
          <w:jc w:val="center"/>
        </w:trPr>
        <w:tc>
          <w:tcPr>
            <w:tcW w:w="1846"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Italy</w:t>
            </w:r>
          </w:p>
        </w:tc>
        <w:tc>
          <w:tcPr>
            <w:tcW w:w="1003"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8.0</w:t>
            </w:r>
          </w:p>
        </w:tc>
        <w:tc>
          <w:tcPr>
            <w:tcW w:w="1552"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8.0</w:t>
            </w:r>
          </w:p>
        </w:tc>
        <w:tc>
          <w:tcPr>
            <w:tcW w:w="1710"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8.0</w:t>
            </w:r>
          </w:p>
        </w:tc>
      </w:tr>
      <w:tr w:rsidR="0089514F" w:rsidTr="00294268">
        <w:trPr>
          <w:trHeight w:val="290"/>
          <w:jc w:val="center"/>
        </w:trPr>
        <w:tc>
          <w:tcPr>
            <w:tcW w:w="1846"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Japan</w:t>
            </w:r>
          </w:p>
        </w:tc>
        <w:tc>
          <w:tcPr>
            <w:tcW w:w="1003"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2.5</w:t>
            </w:r>
          </w:p>
        </w:tc>
        <w:tc>
          <w:tcPr>
            <w:tcW w:w="1552"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2.6</w:t>
            </w:r>
          </w:p>
        </w:tc>
        <w:tc>
          <w:tcPr>
            <w:tcW w:w="1710"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2.4</w:t>
            </w:r>
          </w:p>
        </w:tc>
      </w:tr>
      <w:tr w:rsidR="0089514F" w:rsidTr="00294268">
        <w:trPr>
          <w:trHeight w:val="290"/>
          <w:jc w:val="center"/>
        </w:trPr>
        <w:tc>
          <w:tcPr>
            <w:tcW w:w="1846"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United Kingdom</w:t>
            </w:r>
          </w:p>
        </w:tc>
        <w:tc>
          <w:tcPr>
            <w:tcW w:w="1003"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3.8</w:t>
            </w:r>
          </w:p>
        </w:tc>
        <w:tc>
          <w:tcPr>
            <w:tcW w:w="1552"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3.9</w:t>
            </w:r>
          </w:p>
        </w:tc>
        <w:tc>
          <w:tcPr>
            <w:tcW w:w="1710"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3.7</w:t>
            </w:r>
          </w:p>
        </w:tc>
      </w:tr>
      <w:tr w:rsidR="0089514F" w:rsidTr="00294268">
        <w:trPr>
          <w:trHeight w:val="290"/>
          <w:jc w:val="center"/>
        </w:trPr>
        <w:tc>
          <w:tcPr>
            <w:tcW w:w="1846"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United States</w:t>
            </w:r>
          </w:p>
        </w:tc>
        <w:tc>
          <w:tcPr>
            <w:tcW w:w="1003"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3.6</w:t>
            </w:r>
          </w:p>
        </w:tc>
        <w:tc>
          <w:tcPr>
            <w:tcW w:w="1552"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3.7</w:t>
            </w:r>
          </w:p>
        </w:tc>
        <w:tc>
          <w:tcPr>
            <w:tcW w:w="1710" w:type="dxa"/>
            <w:tcBorders>
              <w:top w:val="single" w:sz="6" w:space="0" w:color="auto"/>
              <w:left w:val="single" w:sz="6" w:space="0" w:color="auto"/>
              <w:bottom w:val="single" w:sz="6" w:space="0" w:color="auto"/>
              <w:right w:val="single" w:sz="6" w:space="0" w:color="auto"/>
            </w:tcBorders>
          </w:tcPr>
          <w:p w:rsidR="0089514F" w:rsidRDefault="0089514F" w:rsidP="0089514F">
            <w:pPr>
              <w:autoSpaceDE w:val="0"/>
              <w:autoSpaceDN w:val="0"/>
              <w:adjustRightInd w:val="0"/>
              <w:spacing w:after="0" w:line="240" w:lineRule="auto"/>
              <w:ind w:left="180"/>
              <w:jc w:val="center"/>
              <w:rPr>
                <w:rFonts w:ascii="Calibri" w:hAnsi="Calibri" w:cs="Calibri"/>
                <w:color w:val="000000"/>
              </w:rPr>
            </w:pPr>
            <w:r>
              <w:rPr>
                <w:rFonts w:ascii="Calibri" w:hAnsi="Calibri" w:cs="Calibri"/>
                <w:color w:val="000000"/>
              </w:rPr>
              <w:t>3.6</w:t>
            </w:r>
          </w:p>
        </w:tc>
      </w:tr>
    </w:tbl>
    <w:p w:rsidR="0089514F" w:rsidRDefault="0089514F" w:rsidP="0089514F">
      <w:pPr>
        <w:tabs>
          <w:tab w:val="left" w:pos="270"/>
        </w:tabs>
        <w:ind w:left="180" w:right="-450"/>
        <w:jc w:val="both"/>
        <w:rPr>
          <w:rFonts w:cstheme="minorHAnsi"/>
          <w:color w:val="000000"/>
          <w:sz w:val="21"/>
          <w:szCs w:val="21"/>
          <w:shd w:val="clear" w:color="auto" w:fill="FFFFFF"/>
        </w:rPr>
      </w:pPr>
    </w:p>
    <w:p w:rsidR="0062610E" w:rsidRDefault="0062610E" w:rsidP="0089514F">
      <w:pPr>
        <w:tabs>
          <w:tab w:val="left" w:pos="270"/>
        </w:tabs>
        <w:ind w:left="180" w:right="-450"/>
        <w:jc w:val="both"/>
        <w:rPr>
          <w:rFonts w:cstheme="minorHAnsi"/>
          <w:color w:val="000000"/>
          <w:sz w:val="21"/>
          <w:szCs w:val="21"/>
          <w:shd w:val="clear" w:color="auto" w:fill="FFFFFF"/>
        </w:rPr>
      </w:pPr>
    </w:p>
    <w:p w:rsidR="0062610E" w:rsidRDefault="0062610E" w:rsidP="0089514F">
      <w:pPr>
        <w:tabs>
          <w:tab w:val="left" w:pos="270"/>
        </w:tabs>
        <w:ind w:left="180" w:right="-450"/>
        <w:jc w:val="both"/>
        <w:rPr>
          <w:rFonts w:cstheme="minorHAnsi"/>
          <w:color w:val="000000"/>
          <w:sz w:val="21"/>
          <w:szCs w:val="21"/>
          <w:shd w:val="clear" w:color="auto" w:fill="FFFFFF"/>
        </w:rPr>
      </w:pPr>
      <w:r>
        <w:rPr>
          <w:rFonts w:cstheme="minorHAnsi"/>
          <w:color w:val="000000"/>
          <w:sz w:val="21"/>
          <w:szCs w:val="21"/>
          <w:shd w:val="clear" w:color="auto" w:fill="FFFFFF"/>
        </w:rPr>
        <w:t xml:space="preserve">The unemployment follows the business cycles and positively correlated to inflation, economic growth. This is cyclic in nature. There could be moving </w:t>
      </w:r>
      <w:proofErr w:type="spellStart"/>
      <w:r>
        <w:rPr>
          <w:rFonts w:cstheme="minorHAnsi"/>
          <w:color w:val="000000"/>
          <w:sz w:val="21"/>
          <w:szCs w:val="21"/>
          <w:shd w:val="clear" w:color="auto" w:fill="FFFFFF"/>
        </w:rPr>
        <w:t>averge</w:t>
      </w:r>
      <w:proofErr w:type="spellEnd"/>
      <w:r>
        <w:rPr>
          <w:rFonts w:cstheme="minorHAnsi"/>
          <w:color w:val="000000"/>
          <w:sz w:val="21"/>
          <w:szCs w:val="21"/>
          <w:shd w:val="clear" w:color="auto" w:fill="FFFFFF"/>
        </w:rPr>
        <w:t xml:space="preserve"> associated </w:t>
      </w:r>
      <w:proofErr w:type="gramStart"/>
      <w:r>
        <w:rPr>
          <w:rFonts w:cstheme="minorHAnsi"/>
          <w:color w:val="000000"/>
          <w:sz w:val="21"/>
          <w:szCs w:val="21"/>
          <w:shd w:val="clear" w:color="auto" w:fill="FFFFFF"/>
        </w:rPr>
        <w:t>with  like</w:t>
      </w:r>
      <w:proofErr w:type="gramEnd"/>
      <w:r>
        <w:rPr>
          <w:rFonts w:cstheme="minorHAnsi"/>
          <w:color w:val="000000"/>
          <w:sz w:val="21"/>
          <w:szCs w:val="21"/>
          <w:shd w:val="clear" w:color="auto" w:fill="FFFFFF"/>
        </w:rPr>
        <w:t xml:space="preserve"> </w:t>
      </w:r>
      <w:proofErr w:type="spellStart"/>
      <w:r>
        <w:rPr>
          <w:rFonts w:cstheme="minorHAnsi"/>
          <w:color w:val="000000"/>
          <w:sz w:val="21"/>
          <w:szCs w:val="21"/>
          <w:shd w:val="clear" w:color="auto" w:fill="FFFFFF"/>
        </w:rPr>
        <w:t>quartley</w:t>
      </w:r>
      <w:proofErr w:type="spellEnd"/>
      <w:r>
        <w:rPr>
          <w:rFonts w:cstheme="minorHAnsi"/>
          <w:color w:val="000000"/>
          <w:sz w:val="21"/>
          <w:szCs w:val="21"/>
          <w:shd w:val="clear" w:color="auto" w:fill="FFFFFF"/>
        </w:rPr>
        <w:t xml:space="preserve"> , 5 moving average </w:t>
      </w:r>
      <w:proofErr w:type="spellStart"/>
      <w:r>
        <w:rPr>
          <w:rFonts w:cstheme="minorHAnsi"/>
          <w:color w:val="000000"/>
          <w:sz w:val="21"/>
          <w:szCs w:val="21"/>
          <w:shd w:val="clear" w:color="auto" w:fill="FFFFFF"/>
        </w:rPr>
        <w:t>eetc</w:t>
      </w:r>
      <w:proofErr w:type="spellEnd"/>
      <w:r>
        <w:rPr>
          <w:rFonts w:cstheme="minorHAnsi"/>
          <w:color w:val="000000"/>
          <w:sz w:val="21"/>
          <w:szCs w:val="21"/>
          <w:shd w:val="clear" w:color="auto" w:fill="FFFFFF"/>
        </w:rPr>
        <w:t>…</w:t>
      </w:r>
    </w:p>
    <w:p w:rsidR="0062610E" w:rsidRDefault="0062610E" w:rsidP="0089514F">
      <w:pPr>
        <w:tabs>
          <w:tab w:val="left" w:pos="270"/>
        </w:tabs>
        <w:ind w:left="180" w:right="-450"/>
        <w:jc w:val="both"/>
        <w:rPr>
          <w:rFonts w:cstheme="minorHAnsi"/>
          <w:color w:val="000000"/>
          <w:sz w:val="21"/>
          <w:szCs w:val="21"/>
          <w:shd w:val="clear" w:color="auto" w:fill="FFFFFF"/>
        </w:rPr>
      </w:pPr>
      <w:r>
        <w:rPr>
          <w:rFonts w:cstheme="minorHAnsi"/>
          <w:color w:val="000000"/>
          <w:sz w:val="21"/>
          <w:szCs w:val="21"/>
          <w:shd w:val="clear" w:color="auto" w:fill="FFFFFF"/>
        </w:rPr>
        <w:t xml:space="preserve">For each country the business cycle can vary and accordingly unemployment rate </w:t>
      </w:r>
      <w:proofErr w:type="spellStart"/>
      <w:r>
        <w:rPr>
          <w:rFonts w:cstheme="minorHAnsi"/>
          <w:color w:val="000000"/>
          <w:sz w:val="21"/>
          <w:szCs w:val="21"/>
          <w:shd w:val="clear" w:color="auto" w:fill="FFFFFF"/>
        </w:rPr>
        <w:t>cyel</w:t>
      </w:r>
      <w:proofErr w:type="spellEnd"/>
      <w:r>
        <w:rPr>
          <w:rFonts w:cstheme="minorHAnsi"/>
          <w:color w:val="000000"/>
          <w:sz w:val="21"/>
          <w:szCs w:val="21"/>
          <w:shd w:val="clear" w:color="auto" w:fill="FFFFFF"/>
        </w:rPr>
        <w:t xml:space="preserve"> </w:t>
      </w:r>
    </w:p>
    <w:p w:rsidR="0062610E" w:rsidRDefault="0062610E" w:rsidP="0089514F">
      <w:pPr>
        <w:tabs>
          <w:tab w:val="left" w:pos="270"/>
        </w:tabs>
        <w:ind w:left="180" w:right="-450"/>
        <w:jc w:val="both"/>
        <w:rPr>
          <w:rFonts w:cstheme="minorHAnsi"/>
          <w:color w:val="000000"/>
          <w:sz w:val="21"/>
          <w:szCs w:val="21"/>
          <w:shd w:val="clear" w:color="auto" w:fill="FFFFFF"/>
        </w:rPr>
      </w:pPr>
      <w:r>
        <w:rPr>
          <w:noProof/>
        </w:rPr>
        <w:drawing>
          <wp:inline distT="0" distB="0" distL="0" distR="0">
            <wp:extent cx="6343650" cy="3362995"/>
            <wp:effectExtent l="0" t="0" r="0" b="8890"/>
            <wp:docPr id="1" name="Picture 1" descr="Business Cycle - The 6 Different Stages of a Business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Cycle - The 6 Different Stages of a Business Cyc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43650" cy="3362995"/>
                    </a:xfrm>
                    <a:prstGeom prst="rect">
                      <a:avLst/>
                    </a:prstGeom>
                    <a:noFill/>
                    <a:ln>
                      <a:noFill/>
                    </a:ln>
                  </pic:spPr>
                </pic:pic>
              </a:graphicData>
            </a:graphic>
          </wp:inline>
        </w:drawing>
      </w:r>
    </w:p>
    <w:p w:rsidR="0062610E" w:rsidRDefault="0062610E" w:rsidP="0089514F">
      <w:pPr>
        <w:tabs>
          <w:tab w:val="left" w:pos="270"/>
        </w:tabs>
        <w:ind w:left="180" w:right="-450"/>
        <w:jc w:val="both"/>
        <w:rPr>
          <w:rFonts w:cstheme="minorHAnsi"/>
          <w:color w:val="000000"/>
          <w:sz w:val="21"/>
          <w:szCs w:val="21"/>
          <w:shd w:val="clear" w:color="auto" w:fill="FFFFFF"/>
        </w:rPr>
      </w:pPr>
    </w:p>
    <w:p w:rsidR="0062610E" w:rsidRDefault="00FA3790" w:rsidP="0089514F">
      <w:pPr>
        <w:tabs>
          <w:tab w:val="left" w:pos="270"/>
        </w:tabs>
        <w:ind w:left="180" w:right="-450"/>
        <w:jc w:val="both"/>
        <w:rPr>
          <w:rFonts w:cstheme="minorHAnsi"/>
          <w:color w:val="000000"/>
          <w:sz w:val="21"/>
          <w:szCs w:val="21"/>
          <w:shd w:val="clear" w:color="auto" w:fill="FFFFFF"/>
        </w:rPr>
      </w:pPr>
      <w:hyperlink r:id="rId6" w:anchor="imgrc=BzsztgfiSS17QM" w:history="1">
        <w:r w:rsidR="0062610E" w:rsidRPr="00287FF5">
          <w:rPr>
            <w:rStyle w:val="Hyperlink"/>
            <w:rFonts w:cstheme="minorHAnsi"/>
            <w:sz w:val="21"/>
            <w:szCs w:val="21"/>
            <w:shd w:val="clear" w:color="auto" w:fill="FFFFFF"/>
          </w:rPr>
          <w:t>https://www.google.com/search?q=business+cycle+inflation+and+unemployment+cycle&amp;tbm=isch&amp;ved=2ahUKEwjV15Oei-r_AhXqo2MGHVr1D6oQ2-cCegQIABAA&amp;oq=business+cycle+inflation+and+unemployment+cycle&amp;gs_lcp=CgNpbWcQDDoECCMQJzoHCAAQigUQQzoFCAAQgAQ6BggAEAgQHjoHCAAQGBCABDoECAAQHlCbBFjBNGCwQ2gBcAB4AIABxAGIAcgNkgEEMi4xM5gBAKABAaoBC2d3cy13aXotaW1nwAEB&amp;sclient=img&amp;ei=wlCeZNXuAurHjuMP2uq_0Ao&amp;bih=722&amp;biw=1536#imgrc=BzsztgfiSS17QM</w:t>
        </w:r>
      </w:hyperlink>
    </w:p>
    <w:p w:rsidR="0062610E" w:rsidRDefault="0062610E" w:rsidP="0089514F">
      <w:pPr>
        <w:tabs>
          <w:tab w:val="left" w:pos="270"/>
        </w:tabs>
        <w:ind w:left="180" w:right="-450"/>
        <w:jc w:val="both"/>
        <w:rPr>
          <w:rFonts w:cstheme="minorHAnsi"/>
          <w:color w:val="000000"/>
          <w:sz w:val="21"/>
          <w:szCs w:val="21"/>
          <w:shd w:val="clear" w:color="auto" w:fill="FFFFFF"/>
        </w:rPr>
      </w:pPr>
      <w:r>
        <w:rPr>
          <w:noProof/>
        </w:rPr>
        <w:lastRenderedPageBreak/>
        <w:drawing>
          <wp:inline distT="0" distB="0" distL="0" distR="0">
            <wp:extent cx="6343650" cy="4757738"/>
            <wp:effectExtent l="0" t="0" r="0" b="5080"/>
            <wp:docPr id="2" name="Picture 2" descr="The Business Cycle and Unemployment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usiness Cycle and Unemployment - ppt video online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4757738"/>
                    </a:xfrm>
                    <a:prstGeom prst="rect">
                      <a:avLst/>
                    </a:prstGeom>
                    <a:noFill/>
                    <a:ln>
                      <a:noFill/>
                    </a:ln>
                  </pic:spPr>
                </pic:pic>
              </a:graphicData>
            </a:graphic>
          </wp:inline>
        </w:drawing>
      </w:r>
    </w:p>
    <w:p w:rsidR="0062610E" w:rsidRDefault="00FA3790" w:rsidP="0089514F">
      <w:pPr>
        <w:tabs>
          <w:tab w:val="left" w:pos="270"/>
        </w:tabs>
        <w:ind w:left="180" w:right="-450"/>
        <w:jc w:val="both"/>
        <w:rPr>
          <w:rStyle w:val="Hyperlink"/>
          <w:rFonts w:cstheme="minorHAnsi"/>
          <w:sz w:val="21"/>
          <w:szCs w:val="21"/>
          <w:shd w:val="clear" w:color="auto" w:fill="FFFFFF"/>
        </w:rPr>
      </w:pPr>
      <w:hyperlink r:id="rId8" w:history="1">
        <w:r w:rsidR="0062610E" w:rsidRPr="00287FF5">
          <w:rPr>
            <w:rStyle w:val="Hyperlink"/>
            <w:rFonts w:cstheme="minorHAnsi"/>
            <w:sz w:val="21"/>
            <w:szCs w:val="21"/>
            <w:shd w:val="clear" w:color="auto" w:fill="FFFFFF"/>
          </w:rPr>
          <w:t>https://www.learn-economics.co.uk/The-business-cycle.html</w:t>
        </w:r>
      </w:hyperlink>
    </w:p>
    <w:p w:rsidR="009228A4" w:rsidRDefault="009228A4" w:rsidP="0089514F">
      <w:pPr>
        <w:tabs>
          <w:tab w:val="left" w:pos="270"/>
        </w:tabs>
        <w:ind w:left="180" w:right="-450"/>
        <w:jc w:val="both"/>
        <w:rPr>
          <w:rStyle w:val="Hyperlink"/>
          <w:rFonts w:cstheme="minorHAnsi"/>
          <w:sz w:val="21"/>
          <w:szCs w:val="21"/>
          <w:shd w:val="clear" w:color="auto" w:fill="FFFFFF"/>
        </w:rPr>
      </w:pPr>
    </w:p>
    <w:p w:rsidR="009228A4" w:rsidRDefault="009228A4" w:rsidP="0089514F">
      <w:pPr>
        <w:tabs>
          <w:tab w:val="left" w:pos="270"/>
        </w:tabs>
        <w:ind w:left="180" w:right="-450"/>
        <w:jc w:val="both"/>
        <w:rPr>
          <w:rStyle w:val="Hyperlink"/>
          <w:rFonts w:cstheme="minorHAnsi"/>
          <w:sz w:val="21"/>
          <w:szCs w:val="21"/>
          <w:shd w:val="clear" w:color="auto" w:fill="FFFFFF"/>
        </w:rPr>
      </w:pPr>
      <w:proofErr w:type="gramStart"/>
      <w:r>
        <w:rPr>
          <w:rStyle w:val="Hyperlink"/>
          <w:rFonts w:cstheme="minorHAnsi"/>
          <w:sz w:val="21"/>
          <w:szCs w:val="21"/>
          <w:shd w:val="clear" w:color="auto" w:fill="FFFFFF"/>
        </w:rPr>
        <w:t>check</w:t>
      </w:r>
      <w:proofErr w:type="gramEnd"/>
      <w:r>
        <w:rPr>
          <w:rStyle w:val="Hyperlink"/>
          <w:rFonts w:cstheme="minorHAnsi"/>
          <w:sz w:val="21"/>
          <w:szCs w:val="21"/>
          <w:shd w:val="clear" w:color="auto" w:fill="FFFFFF"/>
        </w:rPr>
        <w:t xml:space="preserve"> </w:t>
      </w:r>
      <w:proofErr w:type="spellStart"/>
      <w:r>
        <w:rPr>
          <w:rStyle w:val="Hyperlink"/>
          <w:rFonts w:cstheme="minorHAnsi"/>
          <w:sz w:val="21"/>
          <w:szCs w:val="21"/>
          <w:shd w:val="clear" w:color="auto" w:fill="FFFFFF"/>
        </w:rPr>
        <w:t>stretss</w:t>
      </w:r>
      <w:proofErr w:type="spellEnd"/>
      <w:r>
        <w:rPr>
          <w:rStyle w:val="Hyperlink"/>
          <w:rFonts w:cstheme="minorHAnsi"/>
          <w:sz w:val="21"/>
          <w:szCs w:val="21"/>
          <w:shd w:val="clear" w:color="auto" w:fill="FFFFFF"/>
        </w:rPr>
        <w:t xml:space="preserve"> </w:t>
      </w:r>
      <w:proofErr w:type="spellStart"/>
      <w:r>
        <w:rPr>
          <w:rStyle w:val="Hyperlink"/>
          <w:rFonts w:cstheme="minorHAnsi"/>
          <w:sz w:val="21"/>
          <w:szCs w:val="21"/>
          <w:shd w:val="clear" w:color="auto" w:fill="FFFFFF"/>
        </w:rPr>
        <w:t>anakysis</w:t>
      </w:r>
      <w:proofErr w:type="spellEnd"/>
      <w:r>
        <w:rPr>
          <w:rStyle w:val="Hyperlink"/>
          <w:rFonts w:cstheme="minorHAnsi"/>
          <w:sz w:val="21"/>
          <w:szCs w:val="21"/>
          <w:shd w:val="clear" w:color="auto" w:fill="FFFFFF"/>
        </w:rPr>
        <w:t xml:space="preserve"> and </w:t>
      </w:r>
      <w:proofErr w:type="spellStart"/>
      <w:r>
        <w:rPr>
          <w:rStyle w:val="Hyperlink"/>
          <w:rFonts w:cstheme="minorHAnsi"/>
          <w:sz w:val="21"/>
          <w:szCs w:val="21"/>
          <w:shd w:val="clear" w:color="auto" w:fill="FFFFFF"/>
        </w:rPr>
        <w:t>backtesting</w:t>
      </w:r>
      <w:proofErr w:type="spellEnd"/>
      <w:r>
        <w:rPr>
          <w:rStyle w:val="Hyperlink"/>
          <w:rFonts w:cstheme="minorHAnsi"/>
          <w:sz w:val="21"/>
          <w:szCs w:val="21"/>
          <w:shd w:val="clear" w:color="auto" w:fill="FFFFFF"/>
        </w:rPr>
        <w:t xml:space="preserve"> in time series </w:t>
      </w:r>
    </w:p>
    <w:p w:rsidR="0049353A" w:rsidRDefault="00FA3790" w:rsidP="0089514F">
      <w:pPr>
        <w:tabs>
          <w:tab w:val="left" w:pos="270"/>
        </w:tabs>
        <w:ind w:left="180" w:right="-450"/>
        <w:jc w:val="both"/>
        <w:rPr>
          <w:rFonts w:cstheme="minorHAnsi"/>
          <w:color w:val="000000"/>
          <w:sz w:val="21"/>
          <w:szCs w:val="21"/>
          <w:shd w:val="clear" w:color="auto" w:fill="FFFFFF"/>
        </w:rPr>
      </w:pPr>
      <w:hyperlink r:id="rId9" w:history="1">
        <w:r w:rsidR="0049353A" w:rsidRPr="008C2A42">
          <w:rPr>
            <w:rStyle w:val="Hyperlink"/>
            <w:rFonts w:cstheme="minorHAnsi"/>
            <w:sz w:val="21"/>
            <w:szCs w:val="21"/>
            <w:shd w:val="clear" w:color="auto" w:fill="FFFFFF"/>
          </w:rPr>
          <w:t>https://www.kaggle.com/code/calven22/forecasting-inflation-with-arima-and-lstm</w:t>
        </w:r>
      </w:hyperlink>
    </w:p>
    <w:p w:rsidR="0049353A" w:rsidRDefault="00FA3790" w:rsidP="0089514F">
      <w:pPr>
        <w:tabs>
          <w:tab w:val="left" w:pos="270"/>
        </w:tabs>
        <w:ind w:left="180" w:right="-450"/>
        <w:jc w:val="both"/>
        <w:rPr>
          <w:rFonts w:cstheme="minorHAnsi"/>
          <w:color w:val="000000"/>
          <w:sz w:val="21"/>
          <w:szCs w:val="21"/>
          <w:shd w:val="clear" w:color="auto" w:fill="FFFFFF"/>
        </w:rPr>
      </w:pPr>
      <w:hyperlink r:id="rId10" w:history="1">
        <w:r w:rsidR="0049353A" w:rsidRPr="008C2A42">
          <w:rPr>
            <w:rStyle w:val="Hyperlink"/>
            <w:rFonts w:cstheme="minorHAnsi"/>
            <w:sz w:val="21"/>
            <w:szCs w:val="21"/>
            <w:shd w:val="clear" w:color="auto" w:fill="FFFFFF"/>
          </w:rPr>
          <w:t>file:///C:/Users/HP/Downloads/SSRN-id3496138.pdf</w:t>
        </w:r>
      </w:hyperlink>
    </w:p>
    <w:p w:rsidR="0049353A" w:rsidRDefault="00FA3790" w:rsidP="0089514F">
      <w:pPr>
        <w:tabs>
          <w:tab w:val="left" w:pos="270"/>
        </w:tabs>
        <w:ind w:left="180" w:right="-450"/>
        <w:jc w:val="both"/>
        <w:rPr>
          <w:rFonts w:cstheme="minorHAnsi"/>
          <w:color w:val="000000"/>
          <w:sz w:val="21"/>
          <w:szCs w:val="21"/>
          <w:shd w:val="clear" w:color="auto" w:fill="FFFFFF"/>
        </w:rPr>
      </w:pPr>
      <w:hyperlink r:id="rId11" w:history="1">
        <w:r w:rsidR="0049353A" w:rsidRPr="008C2A42">
          <w:rPr>
            <w:rStyle w:val="Hyperlink"/>
            <w:rFonts w:cstheme="minorHAnsi"/>
            <w:sz w:val="21"/>
            <w:szCs w:val="21"/>
            <w:shd w:val="clear" w:color="auto" w:fill="FFFFFF"/>
          </w:rPr>
          <w:t>https://www.mdpi.com/1099-4300/23/3/325</w:t>
        </w:r>
      </w:hyperlink>
    </w:p>
    <w:p w:rsidR="0049353A" w:rsidRDefault="00FA3790" w:rsidP="0089514F">
      <w:pPr>
        <w:tabs>
          <w:tab w:val="left" w:pos="270"/>
        </w:tabs>
        <w:ind w:left="180" w:right="-450"/>
        <w:jc w:val="both"/>
        <w:rPr>
          <w:rFonts w:cstheme="minorHAnsi"/>
          <w:color w:val="000000"/>
          <w:sz w:val="21"/>
          <w:szCs w:val="21"/>
          <w:shd w:val="clear" w:color="auto" w:fill="FFFFFF"/>
        </w:rPr>
      </w:pPr>
      <w:hyperlink r:id="rId12" w:history="1">
        <w:r w:rsidR="0049353A" w:rsidRPr="008C2A42">
          <w:rPr>
            <w:rStyle w:val="Hyperlink"/>
            <w:rFonts w:cstheme="minorHAnsi"/>
            <w:sz w:val="21"/>
            <w:szCs w:val="21"/>
            <w:shd w:val="clear" w:color="auto" w:fill="FFFFFF"/>
          </w:rPr>
          <w:t>https://pdf.trdizin.gov.tr/pdf/bVBmdlNvdVY0V2FYRjBBQjRnOHdydzF4TjJXeEtmVmM3ZlpST3pFWjZzaTBGTm1kcVQ0dlVRT3VhSFRVZ1NJbjBKenRiMFlVRGdhbHplOHZDbXVBR29aRFhma3ZUVVducHZVblVyZklUeWJWRFRHc1IxR1hsamRkQTc2N1ZiNkd4cUNod0F1Szl5RmI4TGJVS1FZN25GQjQrZWRyMWRwdU1TdEI2SVl3bnlkbERVZXZnL1AwRURWT0lDQlZOek5VcUR5Mm1pUkowVDN5V2VsNENkeDJXTXRSOEJtK3hJMCtiYy9XUFk5aFRrTWVFVStLL3VpdTJ0MzJRTTFCNTlrRFJMcGJLZkhLVWV2UnJ3PT0</w:t>
        </w:r>
      </w:hyperlink>
    </w:p>
    <w:p w:rsidR="0049353A" w:rsidRDefault="0049353A" w:rsidP="0089514F">
      <w:pPr>
        <w:tabs>
          <w:tab w:val="left" w:pos="270"/>
        </w:tabs>
        <w:ind w:left="180" w:right="-450"/>
        <w:jc w:val="both"/>
        <w:rPr>
          <w:rFonts w:cstheme="minorHAnsi"/>
          <w:color w:val="000000"/>
          <w:sz w:val="21"/>
          <w:szCs w:val="21"/>
          <w:shd w:val="clear" w:color="auto" w:fill="FFFFFF"/>
        </w:rPr>
      </w:pPr>
      <w:r w:rsidRPr="0049353A">
        <w:rPr>
          <w:rFonts w:cstheme="minorHAnsi"/>
          <w:color w:val="000000"/>
          <w:sz w:val="21"/>
          <w:szCs w:val="21"/>
          <w:shd w:val="clear" w:color="auto" w:fill="FFFFFF"/>
        </w:rPr>
        <w:t>https://www.mdpi.com/1099-4300/23/3/325</w:t>
      </w:r>
    </w:p>
    <w:p w:rsidR="0062610E" w:rsidRDefault="0062610E" w:rsidP="0089514F">
      <w:pPr>
        <w:tabs>
          <w:tab w:val="left" w:pos="270"/>
        </w:tabs>
        <w:ind w:left="180" w:right="-450"/>
        <w:jc w:val="both"/>
        <w:rPr>
          <w:rFonts w:cstheme="minorHAnsi"/>
          <w:color w:val="000000"/>
          <w:sz w:val="21"/>
          <w:szCs w:val="21"/>
          <w:shd w:val="clear" w:color="auto" w:fill="FFFFFF"/>
        </w:rPr>
      </w:pPr>
      <w:r>
        <w:rPr>
          <w:noProof/>
        </w:rPr>
        <w:lastRenderedPageBreak/>
        <w:drawing>
          <wp:inline distT="0" distB="0" distL="0" distR="0">
            <wp:extent cx="5236845" cy="3865245"/>
            <wp:effectExtent l="0" t="0" r="1905" b="1905"/>
            <wp:docPr id="3" name="Picture 3" descr="Business Cy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siness Cyc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6845" cy="3865245"/>
                    </a:xfrm>
                    <a:prstGeom prst="rect">
                      <a:avLst/>
                    </a:prstGeom>
                    <a:noFill/>
                    <a:ln>
                      <a:noFill/>
                    </a:ln>
                  </pic:spPr>
                </pic:pic>
              </a:graphicData>
            </a:graphic>
          </wp:inline>
        </w:drawing>
      </w:r>
    </w:p>
    <w:p w:rsidR="0062610E" w:rsidRDefault="00FA3790" w:rsidP="0089514F">
      <w:pPr>
        <w:tabs>
          <w:tab w:val="left" w:pos="270"/>
        </w:tabs>
        <w:ind w:left="180" w:right="-450"/>
        <w:jc w:val="both"/>
        <w:rPr>
          <w:rFonts w:cstheme="minorHAnsi"/>
          <w:color w:val="000000"/>
          <w:sz w:val="21"/>
          <w:szCs w:val="21"/>
          <w:shd w:val="clear" w:color="auto" w:fill="FFFFFF"/>
        </w:rPr>
      </w:pPr>
      <w:hyperlink r:id="rId14" w:history="1">
        <w:r w:rsidRPr="00BD66E4">
          <w:rPr>
            <w:rStyle w:val="Hyperlink"/>
            <w:rFonts w:cstheme="minorHAnsi"/>
            <w:sz w:val="21"/>
            <w:szCs w:val="21"/>
            <w:shd w:val="clear" w:color="auto" w:fill="FFFFFF"/>
          </w:rPr>
          <w:t>http://www.lidderdale.com/econ/104/ch7Lect.html</w:t>
        </w:r>
      </w:hyperlink>
    </w:p>
    <w:p w:rsidR="00FA3790" w:rsidRDefault="00FA3790" w:rsidP="0089514F">
      <w:pPr>
        <w:tabs>
          <w:tab w:val="left" w:pos="270"/>
        </w:tabs>
        <w:ind w:left="180" w:right="-450"/>
        <w:jc w:val="both"/>
        <w:rPr>
          <w:rFonts w:cstheme="minorHAnsi"/>
          <w:color w:val="000000"/>
          <w:sz w:val="21"/>
          <w:szCs w:val="21"/>
          <w:shd w:val="clear" w:color="auto" w:fill="FFFFFF"/>
        </w:rPr>
      </w:pPr>
      <w:hyperlink r:id="rId15" w:history="1">
        <w:r w:rsidRPr="00BD66E4">
          <w:rPr>
            <w:rStyle w:val="Hyperlink"/>
            <w:rFonts w:cstheme="minorHAnsi"/>
            <w:sz w:val="21"/>
            <w:szCs w:val="21"/>
            <w:shd w:val="clear" w:color="auto" w:fill="FFFFFF"/>
          </w:rPr>
          <w:t>https://developers.refinitiv.com/en/article-catalog/article/modelling-and-evaluation-using-pycaret-on-time-series-data</w:t>
        </w:r>
      </w:hyperlink>
    </w:p>
    <w:p w:rsidR="00FA3790" w:rsidRDefault="00FA3790" w:rsidP="0089514F">
      <w:pPr>
        <w:tabs>
          <w:tab w:val="left" w:pos="270"/>
        </w:tabs>
        <w:ind w:left="180" w:right="-450"/>
        <w:jc w:val="both"/>
        <w:rPr>
          <w:rFonts w:cstheme="minorHAnsi"/>
          <w:color w:val="000000"/>
          <w:sz w:val="21"/>
          <w:szCs w:val="21"/>
          <w:shd w:val="clear" w:color="auto" w:fill="FFFFFF"/>
        </w:rPr>
      </w:pPr>
      <w:hyperlink r:id="rId16" w:history="1">
        <w:r w:rsidRPr="00BD66E4">
          <w:rPr>
            <w:rStyle w:val="Hyperlink"/>
            <w:rFonts w:cstheme="minorHAnsi"/>
            <w:sz w:val="21"/>
            <w:szCs w:val="21"/>
            <w:shd w:val="clear" w:color="auto" w:fill="FFFFFF"/>
          </w:rPr>
          <w:t>https://www.kaggle.com/code/calven22/forecasting-inflation-with-arima-and-lstm</w:t>
        </w:r>
      </w:hyperlink>
    </w:p>
    <w:p w:rsidR="00FA3790" w:rsidRDefault="00FA3790" w:rsidP="0089514F">
      <w:pPr>
        <w:tabs>
          <w:tab w:val="left" w:pos="270"/>
        </w:tabs>
        <w:ind w:left="180" w:right="-450"/>
        <w:jc w:val="both"/>
        <w:rPr>
          <w:rFonts w:cstheme="minorHAnsi"/>
          <w:color w:val="000000"/>
          <w:sz w:val="21"/>
          <w:szCs w:val="21"/>
          <w:shd w:val="clear" w:color="auto" w:fill="FFFFFF"/>
        </w:rPr>
      </w:pPr>
      <w:hyperlink r:id="rId17" w:history="1">
        <w:r w:rsidRPr="00BD66E4">
          <w:rPr>
            <w:rStyle w:val="Hyperlink"/>
            <w:rFonts w:cstheme="minorHAnsi"/>
            <w:sz w:val="21"/>
            <w:szCs w:val="21"/>
            <w:shd w:val="clear" w:color="auto" w:fill="FFFFFF"/>
          </w:rPr>
          <w:t>https://vitalflux.com/autoregressive-ar-models-with-python-examples/</w:t>
        </w:r>
      </w:hyperlink>
    </w:p>
    <w:p w:rsidR="00FA3790" w:rsidRDefault="00FA3790" w:rsidP="0089514F">
      <w:pPr>
        <w:tabs>
          <w:tab w:val="left" w:pos="270"/>
        </w:tabs>
        <w:ind w:left="180" w:right="-450"/>
        <w:jc w:val="both"/>
        <w:rPr>
          <w:rFonts w:cstheme="minorHAnsi"/>
          <w:color w:val="000000"/>
          <w:sz w:val="21"/>
          <w:szCs w:val="21"/>
          <w:shd w:val="clear" w:color="auto" w:fill="FFFFFF"/>
        </w:rPr>
      </w:pPr>
      <w:hyperlink r:id="rId18" w:history="1">
        <w:r w:rsidRPr="00BD66E4">
          <w:rPr>
            <w:rStyle w:val="Hyperlink"/>
            <w:rFonts w:cstheme="minorHAnsi"/>
            <w:sz w:val="21"/>
            <w:szCs w:val="21"/>
            <w:shd w:val="clear" w:color="auto" w:fill="FFFFFF"/>
          </w:rPr>
          <w:t>https://www.kaggle.com/code/ohseokkim/pycaret-time-series-let-s-choose-the-simple-way</w:t>
        </w:r>
      </w:hyperlink>
    </w:p>
    <w:p w:rsidR="00FA3790" w:rsidRDefault="00FA3790" w:rsidP="0089514F">
      <w:pPr>
        <w:tabs>
          <w:tab w:val="left" w:pos="270"/>
        </w:tabs>
        <w:ind w:left="180" w:right="-450"/>
        <w:jc w:val="both"/>
        <w:rPr>
          <w:rFonts w:cstheme="minorHAnsi"/>
          <w:color w:val="000000"/>
          <w:sz w:val="21"/>
          <w:szCs w:val="21"/>
          <w:shd w:val="clear" w:color="auto" w:fill="FFFFFF"/>
        </w:rPr>
      </w:pPr>
      <w:hyperlink r:id="rId19" w:history="1">
        <w:r w:rsidRPr="00BD66E4">
          <w:rPr>
            <w:rStyle w:val="Hyperlink"/>
            <w:rFonts w:cstheme="minorHAnsi"/>
            <w:sz w:val="21"/>
            <w:szCs w:val="21"/>
            <w:shd w:val="clear" w:color="auto" w:fill="FFFFFF"/>
          </w:rPr>
          <w:t>https://developers.refinitiv.com/en/article-catalog/article/modelling-and-evaluation-using-pycaret-on-time-series-data</w:t>
        </w:r>
      </w:hyperlink>
    </w:p>
    <w:p w:rsidR="00FA3790" w:rsidRDefault="00FA3790" w:rsidP="0089514F">
      <w:pPr>
        <w:tabs>
          <w:tab w:val="left" w:pos="270"/>
        </w:tabs>
        <w:ind w:left="180" w:right="-450"/>
        <w:jc w:val="both"/>
        <w:rPr>
          <w:rFonts w:cstheme="minorHAnsi"/>
          <w:color w:val="000000"/>
          <w:sz w:val="21"/>
          <w:szCs w:val="21"/>
          <w:shd w:val="clear" w:color="auto" w:fill="FFFFFF"/>
        </w:rPr>
      </w:pPr>
      <w:hyperlink r:id="rId20" w:history="1">
        <w:r w:rsidRPr="00BD66E4">
          <w:rPr>
            <w:rStyle w:val="Hyperlink"/>
            <w:rFonts w:cstheme="minorHAnsi"/>
            <w:sz w:val="21"/>
            <w:szCs w:val="21"/>
            <w:shd w:val="clear" w:color="auto" w:fill="FFFFFF"/>
          </w:rPr>
          <w:t>https://www.kaggle.com/code/caesarmario/forecasting-future-passengers-w-pycaret</w:t>
        </w:r>
      </w:hyperlink>
    </w:p>
    <w:p w:rsidR="00FA3790" w:rsidRPr="00B42B1F" w:rsidRDefault="00FA3790" w:rsidP="0089514F">
      <w:pPr>
        <w:tabs>
          <w:tab w:val="left" w:pos="270"/>
        </w:tabs>
        <w:ind w:left="180" w:right="-450"/>
        <w:jc w:val="both"/>
        <w:rPr>
          <w:rFonts w:cstheme="minorHAnsi"/>
          <w:color w:val="000000"/>
          <w:sz w:val="21"/>
          <w:szCs w:val="21"/>
          <w:shd w:val="clear" w:color="auto" w:fill="FFFFFF"/>
        </w:rPr>
      </w:pPr>
      <w:bookmarkStart w:id="0" w:name="_GoBack"/>
      <w:bookmarkEnd w:id="0"/>
    </w:p>
    <w:sectPr w:rsidR="00FA3790" w:rsidRPr="00B42B1F" w:rsidSect="0089514F">
      <w:pgSz w:w="12240" w:h="15840"/>
      <w:pgMar w:top="63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2D5"/>
    <w:rsid w:val="00024E7E"/>
    <w:rsid w:val="001654AD"/>
    <w:rsid w:val="00294268"/>
    <w:rsid w:val="004032D5"/>
    <w:rsid w:val="0049353A"/>
    <w:rsid w:val="004C7E3D"/>
    <w:rsid w:val="0062610E"/>
    <w:rsid w:val="006C1C3F"/>
    <w:rsid w:val="0089514F"/>
    <w:rsid w:val="009228A4"/>
    <w:rsid w:val="00B36424"/>
    <w:rsid w:val="00B42B1F"/>
    <w:rsid w:val="00C51DA9"/>
    <w:rsid w:val="00D737A2"/>
    <w:rsid w:val="00E51310"/>
    <w:rsid w:val="00E675F7"/>
    <w:rsid w:val="00FA3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10E"/>
    <w:rPr>
      <w:rFonts w:ascii="Tahoma" w:hAnsi="Tahoma" w:cs="Tahoma"/>
      <w:sz w:val="16"/>
      <w:szCs w:val="16"/>
    </w:rPr>
  </w:style>
  <w:style w:type="character" w:styleId="Hyperlink">
    <w:name w:val="Hyperlink"/>
    <w:basedOn w:val="DefaultParagraphFont"/>
    <w:uiPriority w:val="99"/>
    <w:unhideWhenUsed/>
    <w:rsid w:val="0062610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10E"/>
    <w:rPr>
      <w:rFonts w:ascii="Tahoma" w:hAnsi="Tahoma" w:cs="Tahoma"/>
      <w:sz w:val="16"/>
      <w:szCs w:val="16"/>
    </w:rPr>
  </w:style>
  <w:style w:type="character" w:styleId="Hyperlink">
    <w:name w:val="Hyperlink"/>
    <w:basedOn w:val="DefaultParagraphFont"/>
    <w:uiPriority w:val="99"/>
    <w:unhideWhenUsed/>
    <w:rsid w:val="006261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43567">
      <w:bodyDiv w:val="1"/>
      <w:marLeft w:val="0"/>
      <w:marRight w:val="0"/>
      <w:marTop w:val="0"/>
      <w:marBottom w:val="0"/>
      <w:divBdr>
        <w:top w:val="none" w:sz="0" w:space="0" w:color="auto"/>
        <w:left w:val="none" w:sz="0" w:space="0" w:color="auto"/>
        <w:bottom w:val="none" w:sz="0" w:space="0" w:color="auto"/>
        <w:right w:val="none" w:sz="0" w:space="0" w:color="auto"/>
      </w:divBdr>
    </w:div>
    <w:div w:id="108796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arn-economics.co.uk/The-business-cycle.html" TargetMode="External"/><Relationship Id="rId13" Type="http://schemas.openxmlformats.org/officeDocument/2006/relationships/image" Target="media/image3.gif"/><Relationship Id="rId18" Type="http://schemas.openxmlformats.org/officeDocument/2006/relationships/hyperlink" Target="https://www.kaggle.com/code/ohseokkim/pycaret-time-series-let-s-choose-the-simple-wa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pdf.trdizin.gov.tr/pdf/bVBmdlNvdVY0V2FYRjBBQjRnOHdydzF4TjJXeEtmVmM3ZlpST3pFWjZzaTBGTm1kcVQ0dlVRT3VhSFRVZ1NJbjBKenRiMFlVRGdhbHplOHZDbXVBR29aRFhma3ZUVVducHZVblVyZklUeWJWRFRHc1IxR1hsamRkQTc2N1ZiNkd4cUNod0F1Szl5RmI4TGJVS1FZN25GQjQrZWRyMWRwdU1TdEI2SVl3bnlkbERVZXZnL1AwRURWT0lDQlZOek5VcUR5Mm1pUkowVDN5V2VsNENkeDJXTXRSOEJtK3hJMCtiYy9XUFk5aFRrTWVFVStLL3VpdTJ0MzJRTTFCNTlrRFJMcGJLZkhLVWV2UnJ3PT0" TargetMode="External"/><Relationship Id="rId17" Type="http://schemas.openxmlformats.org/officeDocument/2006/relationships/hyperlink" Target="https://vitalflux.com/autoregressive-ar-models-with-python-examples/" TargetMode="External"/><Relationship Id="rId2" Type="http://schemas.microsoft.com/office/2007/relationships/stylesWithEffects" Target="stylesWithEffects.xml"/><Relationship Id="rId16" Type="http://schemas.openxmlformats.org/officeDocument/2006/relationships/hyperlink" Target="https://www.kaggle.com/code/calven22/forecasting-inflation-with-arima-and-lstm" TargetMode="External"/><Relationship Id="rId20" Type="http://schemas.openxmlformats.org/officeDocument/2006/relationships/hyperlink" Target="https://www.kaggle.com/code/caesarmario/forecasting-future-passengers-w-pycaret" TargetMode="External"/><Relationship Id="rId1" Type="http://schemas.openxmlformats.org/officeDocument/2006/relationships/styles" Target="styles.xml"/><Relationship Id="rId6" Type="http://schemas.openxmlformats.org/officeDocument/2006/relationships/hyperlink" Target="https://www.google.com/search?q=business+cycle+inflation+and+unemployment+cycle&amp;tbm=isch&amp;ved=2ahUKEwjV15Oei-r_AhXqo2MGHVr1D6oQ2-cCegQIABAA&amp;oq=business+cycle+inflation+and+unemployment+cycle&amp;gs_lcp=CgNpbWcQDDoECCMQJzoHCAAQigUQQzoFCAAQgAQ6BggAEAgQHjoHCAAQGBCABDoECAAQHlCbBFjBNGCwQ2gBcAB4AIABxAGIAcgNkgEEMi4xM5gBAKABAaoBC2d3cy13aXotaW1nwAEB&amp;sclient=img&amp;ei=wlCeZNXuAurHjuMP2uq_0Ao&amp;bih=722&amp;biw=1536" TargetMode="External"/><Relationship Id="rId11" Type="http://schemas.openxmlformats.org/officeDocument/2006/relationships/hyperlink" Target="https://www.mdpi.com/1099-4300/23/3/325" TargetMode="External"/><Relationship Id="rId5" Type="http://schemas.openxmlformats.org/officeDocument/2006/relationships/image" Target="media/image1.png"/><Relationship Id="rId15" Type="http://schemas.openxmlformats.org/officeDocument/2006/relationships/hyperlink" Target="https://developers.refinitiv.com/en/article-catalog/article/modelling-and-evaluation-using-pycaret-on-time-series-data" TargetMode="External"/><Relationship Id="rId10" Type="http://schemas.openxmlformats.org/officeDocument/2006/relationships/hyperlink" Target="file:///C:/Users/HP/Downloads/SSRN-id3496138.pdf" TargetMode="External"/><Relationship Id="rId19" Type="http://schemas.openxmlformats.org/officeDocument/2006/relationships/hyperlink" Target="https://developers.refinitiv.com/en/article-catalog/article/modelling-and-evaluation-using-pycaret-on-time-series-data" TargetMode="External"/><Relationship Id="rId4" Type="http://schemas.openxmlformats.org/officeDocument/2006/relationships/webSettings" Target="webSettings.xml"/><Relationship Id="rId9" Type="http://schemas.openxmlformats.org/officeDocument/2006/relationships/hyperlink" Target="https://www.kaggle.com/code/calven22/forecasting-inflation-with-arima-and-lstm" TargetMode="External"/><Relationship Id="rId14" Type="http://schemas.openxmlformats.org/officeDocument/2006/relationships/hyperlink" Target="http://www.lidderdale.com/econ/104/ch7Lect.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4</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cp:lastPrinted>2023-05-10T06:40:00Z</cp:lastPrinted>
  <dcterms:created xsi:type="dcterms:W3CDTF">2023-05-10T04:17:00Z</dcterms:created>
  <dcterms:modified xsi:type="dcterms:W3CDTF">2023-07-10T08:11:00Z</dcterms:modified>
</cp:coreProperties>
</file>