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KPMG Workbench 战略评估报告</w:t>
      </w:r>
    </w:p>
    <w:p/>
    <w:p>
      <w:pPr>
        <w:jc w:val="center"/>
      </w:pPr>
      <w:r>
        <w:rPr>
          <w:color w:val="595959"/>
          <w:sz w:val="36"/>
        </w:rPr>
        <w:t>AI开发平台深度评估框架</w:t>
      </w:r>
    </w:p>
    <w:p/>
    <w:p/>
    <w:p/>
    <w:p>
      <w:pPr>
        <w:jc w:val="center"/>
      </w:pPr>
      <w:r>
        <w:rPr>
          <w:sz w:val="24"/>
        </w:rPr>
        <w:t>评估人员: [姓名]</w:t>
        <w:br/>
      </w:r>
      <w:r>
        <w:rPr>
          <w:sz w:val="24"/>
        </w:rPr>
        <w:t>职位: Senior Consultant, AI Development</w:t>
        <w:br/>
      </w:r>
      <w:r>
        <w:rPr>
          <w:sz w:val="24"/>
        </w:rPr>
        <w:t>日期: [评估日期]</w:t>
        <w:br/>
      </w:r>
    </w:p>
    <w:p/>
    <w:p/>
    <w:p>
      <w:pPr>
        <w:jc w:val="center"/>
      </w:pPr>
      <w:r>
        <w:rPr>
          <w:color w:val="808080"/>
          <w:sz w:val="20"/>
        </w:rPr>
        <w:t>Version 1.0</w:t>
      </w:r>
    </w:p>
    <w:p>
      <w:r>
        <w:br w:type="page"/>
      </w:r>
    </w:p>
    <w:p>
      <w:pPr>
        <w:pStyle w:val="Title"/>
      </w:pPr>
      <w:r>
        <w:t>目录</w:t>
      </w:r>
    </w:p>
    <w:p>
      <w:r>
        <w:rPr>
          <w:i/>
        </w:rPr>
        <w:t>【请在Word中按以下步骤生成目录】</w:t>
        <w:br/>
      </w:r>
      <w:r>
        <w:rPr>
          <w:i/>
        </w:rPr>
        <w:t>1. 将光标放在此处</w:t>
        <w:br/>
      </w:r>
      <w:r>
        <w:rPr>
          <w:i/>
        </w:rPr>
        <w:t>2. 点击"引用"选项卡 → "目录" → 选择自动目录样式</w:t>
        <w:br/>
      </w:r>
      <w:r>
        <w:rPr>
          <w:i/>
        </w:rPr>
        <w:t>3. 完成内容填写后,右键点击目录 → "更新域" → "更新整个目录"</w:t>
        <w:br/>
        <w:br/>
      </w:r>
      <w:r>
        <w:rPr>
          <w:i/>
        </w:rPr>
        <w:t>注: 所有章节标题均已设置为标题样式,会自动生成超链接目录</w:t>
      </w:r>
    </w:p>
    <w:p>
      <w:r>
        <w:br w:type="page"/>
      </w:r>
    </w:p>
    <w:p>
      <w:pPr>
        <w:pStyle w:val="Heading1"/>
      </w:pPr>
      <w:r>
        <w:t>执行摘要 (Executive Summary)</w:t>
      </w:r>
    </w:p>
    <w:p>
      <w:r>
        <w:t>【本节在完成所有评估后填写】</w:t>
      </w:r>
    </w:p>
    <w:p>
      <w:pPr>
        <w:pStyle w:val="Heading2"/>
      </w:pPr>
      <w:r>
        <w:t>核心结论</w:t>
      </w:r>
    </w:p>
    <w:p>
      <w:r>
        <w:t>【3-5个要点总结】</w:t>
      </w:r>
    </w:p>
    <w:p>
      <w:pPr>
        <w:pStyle w:val="Heading2"/>
      </w:pPr>
      <w:r>
        <w:t>关键发现</w:t>
      </w:r>
    </w:p>
    <w:p>
      <w:r>
        <w:t>✅ 主要优势:</w:t>
        <w:br/>
      </w:r>
    </w:p>
    <w:p>
      <w:r>
        <w:t>⚠️ 主要限制:</w:t>
        <w:br/>
      </w:r>
    </w:p>
    <w:p>
      <w:r>
        <w:t>🔥 核心亮点:</w:t>
        <w:br/>
      </w:r>
    </w:p>
    <w:p>
      <w:pPr>
        <w:pStyle w:val="Heading2"/>
      </w:pPr>
      <w:r>
        <w:t>建议决策</w:t>
      </w:r>
    </w:p>
    <w:p>
      <w:r>
        <w:t>【Go/No-Go 建议 + 理由】</w:t>
      </w:r>
    </w:p>
    <w:p>
      <w:r>
        <w:br w:type="page"/>
      </w:r>
    </w:p>
    <w:p>
      <w:pPr>
        <w:pStyle w:val="Heading1"/>
      </w:pPr>
      <w:r>
        <w:t>0. 前置准备: 学习路径与认证成本评估</w:t>
      </w:r>
    </w:p>
    <w:p>
      <w:r>
        <w:t>【评估背景】这是团队成员的最大入门障碍,需要详细评估时间成本和学习质量。</w:t>
      </w:r>
    </w:p>
    <w:p>
      <w:pPr>
        <w:pStyle w:val="Heading2"/>
      </w:pPr>
      <w:r>
        <w:t>0.1 认证要求</w:t>
      </w:r>
    </w:p>
    <w:p>
      <w:r>
        <w:t xml:space="preserve">官方要求完成以下认证路径(来源: </w:t>
      </w:r>
      <w:hyperlink r:id="rId9">
        <w:r>
          <w:rPr>
            <w:color w:val="0000FF"/>
            <w:u w:val="single"/>
          </w:rPr>
          <w:t>KPMG Workbench Learning &amp; Development Hub</w:t>
        </w:r>
      </w:hyperlink>
      <w:r>
        <w:t>):</w:t>
      </w:r>
    </w:p>
    <w:p>
      <w:pPr>
        <w:pStyle w:val="ListBullet"/>
      </w:pPr>
      <w:r>
        <w:t>☐ Required Prerequisites/Certifications</w:t>
      </w:r>
    </w:p>
    <w:p>
      <w:pPr>
        <w:pStyle w:val="ListBullet"/>
      </w:pPr>
      <w:r>
        <w:t>☐ KPMG Workbench Knowledge Badge</w:t>
      </w:r>
    </w:p>
    <w:p>
      <w:pPr>
        <w:pStyle w:val="ListBullet"/>
      </w:pPr>
      <w:r>
        <w:t>☐ Developer Learning Path 或 Product Management Learning Path</w:t>
      </w:r>
    </w:p>
    <w:p>
      <w:pPr>
        <w:pStyle w:val="Heading2"/>
      </w:pPr>
      <w:r>
        <w:t>0.2 时间成本评估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学习模块</w:t>
            </w:r>
          </w:p>
        </w:tc>
        <w:tc>
          <w:tcPr>
            <w:tcW w:type="dxa" w:w="2880"/>
          </w:tcPr>
          <w:p>
            <w:r>
              <w:t>预计时长</w:t>
            </w:r>
          </w:p>
        </w:tc>
        <w:tc>
          <w:tcPr>
            <w:tcW w:type="dxa" w:w="2880"/>
          </w:tcPr>
          <w:p>
            <w:r>
              <w:t>实际时长</w:t>
            </w:r>
          </w:p>
        </w:tc>
      </w:tr>
      <w:tr>
        <w:tc>
          <w:tcPr>
            <w:tcW w:type="dxa" w:w="2880"/>
          </w:tcPr>
          <w:p>
            <w:r>
              <w:t>Prerequisites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Developer Learning Path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Assessment/Badge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总计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0.3 学习质量评估</w:t>
      </w:r>
    </w:p>
    <w:p>
      <w:r>
        <w:t>【高价值模块】</w:t>
        <w:br/>
      </w:r>
    </w:p>
    <w:p>
      <w:r>
        <w:t>【可跳过模块】</w:t>
        <w:br/>
      </w:r>
    </w:p>
    <w:p>
      <w:r>
        <w:t>【Tech Talks/Conference录像价值】</w:t>
        <w:br/>
      </w:r>
    </w:p>
    <w:p>
      <w:pPr>
        <w:pStyle w:val="Heading2"/>
      </w:pPr>
      <w:r>
        <w:t>0.4 团队适配性预估</w:t>
      </w:r>
    </w:p>
    <w:p>
      <w:r>
        <w:t>【考虑"現状メンバーの空がない状態"(团队现在很忙)】</w:t>
        <w:br/>
      </w:r>
    </w:p>
    <w:p>
      <w:r>
        <w:t>预计其他成员需要时长: ___小时</w:t>
        <w:br/>
      </w:r>
    </w:p>
    <w:p>
      <w:r>
        <w:t>建议培训时间窗口: ___</w:t>
        <w:br/>
      </w:r>
    </w:p>
    <w:p>
      <w:r>
        <w:t>技术背景较弱成员能否独立完成: ☐是 ☐否</w:t>
        <w:br/>
      </w:r>
    </w:p>
    <w:p>
      <w:r>
        <w:br w:type="page"/>
      </w:r>
    </w:p>
    <w:p>
      <w:pPr>
        <w:pStyle w:val="Heading1"/>
      </w:pPr>
      <w:r>
        <w:t>1. 技术能力与效率评估</w:t>
      </w:r>
    </w:p>
    <w:p>
      <w:pPr>
        <w:pStyle w:val="Heading2"/>
      </w:pPr>
      <w:r>
        <w:t>1.1 技术栈兼容性</w:t>
      </w:r>
    </w:p>
    <w:p>
      <w:pPr>
        <w:pStyle w:val="Heading3"/>
      </w:pPr>
      <w:r>
        <w:t>设计系统 (Design Systems)</w:t>
      </w:r>
    </w:p>
    <w:p>
      <w:r>
        <w:t xml:space="preserve">参考: </w:t>
      </w:r>
      <w:hyperlink r:id="rId10">
        <w:r>
          <w:rPr>
            <w:color w:val="0000FF"/>
            <w:u w:val="single"/>
          </w:rPr>
          <w:t>Design Systems for KPMG Workbench</w:t>
        </w:r>
      </w:hyperlink>
    </w:p>
    <w:p>
      <w:r>
        <w:t>与现有UI框架兼容性: ___</w:t>
        <w:br/>
      </w:r>
    </w:p>
    <w:p>
      <w:r>
        <w:t>迁移成本评估: ___</w:t>
        <w:br/>
      </w:r>
    </w:p>
    <w:p>
      <w:pPr>
        <w:pStyle w:val="Heading3"/>
      </w:pPr>
      <w:r>
        <w:t>开发流程 (SDLC)</w:t>
      </w:r>
    </w:p>
    <w:p>
      <w:r>
        <w:t xml:space="preserve">参考: </w:t>
      </w:r>
      <w:hyperlink r:id="rId11">
        <w:r>
          <w:rPr>
            <w:color w:val="0000FF"/>
            <w:u w:val="single"/>
          </w:rPr>
          <w:t>Software Development Lifecycle</w:t>
        </w:r>
      </w:hyperlink>
    </w:p>
    <w:p>
      <w:r>
        <w:t>与现有工作流冲突点: ___</w:t>
        <w:br/>
      </w:r>
    </w:p>
    <w:p>
      <w:r>
        <w:t>CI/CD流程对比: ___</w:t>
        <w:br/>
      </w:r>
    </w:p>
    <w:p>
      <w:pPr>
        <w:pStyle w:val="Heading3"/>
      </w:pPr>
      <w:r>
        <w:t>安全规范 (Secret Management)</w:t>
      </w:r>
    </w:p>
    <w:p>
      <w:r>
        <w:t xml:space="preserve">参考: </w:t>
      </w:r>
      <w:hyperlink r:id="rId12">
        <w:r>
          <w:rPr>
            <w:color w:val="0000FF"/>
            <w:u w:val="single"/>
          </w:rPr>
          <w:t>Secret Management Best Practices</w:t>
        </w:r>
      </w:hyperlink>
    </w:p>
    <w:p>
      <w:r>
        <w:t>相比现有方案优劣: ___</w:t>
        <w:br/>
      </w:r>
    </w:p>
    <w:p>
      <w:r>
        <w:t>GitHub EMU授权流程复杂度: ___</w:t>
        <w:br/>
      </w:r>
    </w:p>
    <w:p>
      <w:pPr>
        <w:pStyle w:val="Heading2"/>
      </w:pPr>
      <w:r>
        <w:t>1.2 易用性与学习曲线</w:t>
      </w:r>
    </w:p>
    <w:p>
      <w:r>
        <w:t xml:space="preserve">参考: </w:t>
      </w:r>
      <w:hyperlink r:id="rId13">
        <w:r>
          <w:rPr>
            <w:color w:val="0000FF"/>
            <w:u w:val="single"/>
          </w:rPr>
          <w:t>KPMG Workbench User Guide</w:t>
        </w:r>
      </w:hyperlink>
    </w:p>
    <w:p>
      <w:r>
        <w:t>开发者体验(DX)评分: ___/10</w:t>
        <w:br/>
      </w:r>
    </w:p>
    <w:p>
      <w:r>
        <w:t>文档完整度评分: ___/10</w:t>
        <w:br/>
      </w:r>
    </w:p>
    <w:p>
      <w:r>
        <w:t>Hello World项目配置时间: ___小时</w:t>
        <w:br/>
      </w:r>
    </w:p>
    <w:p>
      <w:pPr>
        <w:pStyle w:val="Heading2"/>
      </w:pPr>
      <w:r>
        <w:t>1.3 功能与限制</w:t>
      </w:r>
    </w:p>
    <w:p>
      <w:r>
        <w:t>【预装工具清单】</w:t>
        <w:br/>
      </w:r>
    </w:p>
    <w:p>
      <w:r>
        <w:t>【相比现有环境的新功能】</w:t>
        <w:br/>
      </w:r>
    </w:p>
    <w:p>
      <w:r>
        <w:t>【资源访问便捷性】</w:t>
        <w:br/>
      </w:r>
    </w:p>
    <w:p>
      <w:r>
        <w:t>【配额限制与成本】</w:t>
        <w:br/>
      </w:r>
    </w:p>
    <w:p>
      <w:r>
        <w:t>【最大短板】</w:t>
        <w:br/>
      </w:r>
    </w:p>
    <w:p>
      <w:pPr>
        <w:pStyle w:val="Heading2"/>
      </w:pPr>
      <w:r>
        <w:t>1.4 开发效率提升(可量化)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测试项目</w:t>
            </w:r>
          </w:p>
        </w:tc>
        <w:tc>
          <w:tcPr>
            <w:tcW w:type="dxa" w:w="2160"/>
          </w:tcPr>
          <w:p>
            <w:r>
              <w:t>现有流程</w:t>
            </w:r>
          </w:p>
        </w:tc>
        <w:tc>
          <w:tcPr>
            <w:tcW w:type="dxa" w:w="2160"/>
          </w:tcPr>
          <w:p>
            <w:r>
              <w:t>Workbench</w:t>
            </w:r>
          </w:p>
        </w:tc>
        <w:tc>
          <w:tcPr>
            <w:tcW w:type="dxa" w:w="2160"/>
          </w:tcPr>
          <w:p>
            <w:r>
              <w:t>提升比例</w:t>
            </w:r>
          </w:p>
        </w:tc>
      </w:tr>
      <w:tr>
        <w:tc>
          <w:tcPr>
            <w:tcW w:type="dxa" w:w="2160"/>
          </w:tcPr>
          <w:p>
            <w:r>
              <w:t>RAG Chatbot Demo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从代码到部署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Bug修复效率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2. Agentic AI核心能力评估 🔥</w:t>
      </w:r>
    </w:p>
    <w:p>
      <w:r>
        <w:t>【重要性】这是Workbench的核心竞争力!</w:t>
      </w:r>
    </w:p>
    <w:p>
      <w:pPr>
        <w:pStyle w:val="Heading2"/>
      </w:pPr>
      <w:r>
        <w:t>2.1 战略背景</w:t>
      </w:r>
    </w:p>
    <w:p>
      <w:r>
        <w:t xml:space="preserve">KPMG官方定位参考: </w:t>
      </w:r>
      <w:hyperlink r:id="rId14">
        <w:r>
          <w:rPr>
            <w:color w:val="0000FF"/>
            <w:u w:val="single"/>
          </w:rPr>
          <w:t>The Agentic AI Advantage白皮书</w:t>
        </w:r>
      </w:hyperlink>
    </w:p>
    <w:p>
      <w:pPr>
        <w:pStyle w:val="Heading2"/>
      </w:pPr>
      <w:r>
        <w:t>2.2 Agent开发能力测试</w:t>
      </w:r>
    </w:p>
    <w:p>
      <w:r>
        <w:t>【是否支持Agent框架】</w:t>
        <w:br/>
      </w:r>
    </w:p>
    <w:p>
      <w:r>
        <w:t>【预置Agent模板】</w:t>
        <w:br/>
      </w:r>
    </w:p>
    <w:p>
      <w:r>
        <w:t>【相比LangChain/AutoGPT/CrewAI的优势】</w:t>
        <w:br/>
      </w:r>
    </w:p>
    <w:p>
      <w:pPr>
        <w:pStyle w:val="Heading2"/>
      </w:pPr>
      <w:r>
        <w:t>2.3 真实场景测试 (必做!)</w:t>
      </w:r>
    </w:p>
    <w:p>
      <w:r>
        <w:t>测试任务: [例如:自动审计Agent]</w:t>
        <w:br/>
      </w:r>
    </w:p>
    <w:p>
      <w:r>
        <w:t>开发时间: ___小时</w:t>
        <w:br/>
      </w:r>
    </w:p>
    <w:p>
      <w:r>
        <w:t>Agent准确率: ___%</w:t>
        <w:br/>
      </w:r>
    </w:p>
    <w:p>
      <w:r>
        <w:t>集成难度: ___</w:t>
        <w:br/>
      </w:r>
    </w:p>
    <w:p>
      <w:pPr>
        <w:pStyle w:val="Heading2"/>
      </w:pPr>
      <w:r>
        <w:t>2.4 知识库集成</w:t>
      </w:r>
    </w:p>
    <w:p>
      <w:r>
        <w:t>【RAG能力】</w:t>
        <w:br/>
      </w:r>
    </w:p>
    <w:p>
      <w:r>
        <w:t>【与KPMG知识库集成】</w:t>
        <w:br/>
      </w:r>
    </w:p>
    <w:p>
      <w:pPr>
        <w:pStyle w:val="Heading2"/>
      </w:pPr>
      <w:r>
        <w:t>2.5 多Agent协作</w:t>
      </w:r>
    </w:p>
    <w:p>
      <w:r>
        <w:t>【是否支持多Agent】</w:t>
        <w:br/>
      </w:r>
    </w:p>
    <w:p>
      <w:r>
        <w:t>【Orchestration机制】</w:t>
        <w:br/>
      </w:r>
    </w:p>
    <w:p>
      <w:r>
        <w:br w:type="page"/>
      </w:r>
    </w:p>
    <w:p>
      <w:pPr>
        <w:pStyle w:val="Heading1"/>
      </w:pPr>
      <w:r>
        <w:t>3. 商业价值与客户应用</w:t>
      </w:r>
    </w:p>
    <w:p>
      <w:pPr>
        <w:pStyle w:val="Heading2"/>
      </w:pPr>
      <w:r>
        <w:t>3.1 Demo环境价值</w:t>
      </w:r>
    </w:p>
    <w:p>
      <w:r>
        <w:t>【售前加速】</w:t>
        <w:br/>
      </w:r>
    </w:p>
    <w:p>
      <w:r>
        <w:t>Demo开发时间对比: [X周] → [Y天]</w:t>
        <w:br/>
      </w:r>
    </w:p>
    <w:p>
      <w:r>
        <w:t>【提案竞争力提升】</w:t>
        <w:br/>
      </w:r>
    </w:p>
    <w:p>
      <w:r>
        <w:t>【定制化能力】</w:t>
        <w:br/>
      </w:r>
    </w:p>
    <w:p>
      <w:pPr>
        <w:pStyle w:val="Heading2"/>
      </w:pPr>
      <w:r>
        <w:t>3.2 内部服务开发</w:t>
      </w:r>
    </w:p>
    <w:p>
      <w:r>
        <w:t>【可开发的内部工具清单】</w:t>
        <w:br/>
      </w:r>
    </w:p>
    <w:p>
      <w:r>
        <w:t>【与现有系统集成难度】</w:t>
        <w:br/>
      </w:r>
    </w:p>
    <w:p>
      <w:r>
        <w:t>【知识沉淀机制】</w:t>
        <w:br/>
      </w:r>
    </w:p>
    <w:p>
      <w:pPr>
        <w:pStyle w:val="Heading2"/>
      </w:pPr>
      <w:r>
        <w:t>3.3 客户项目边界与迁移成本 (风险!)</w:t>
      </w:r>
    </w:p>
    <w:p>
      <w:r>
        <w:t>【"不能用于客户服务"的边界】</w:t>
        <w:br/>
      </w:r>
    </w:p>
    <w:p>
      <w:r>
        <w:t>Demo → 生产环境迁移成本: ___%</w:t>
        <w:br/>
      </w:r>
    </w:p>
    <w:p>
      <w:r>
        <w:t>【数据隔离风险】</w:t>
        <w:br/>
      </w:r>
    </w:p>
    <w:p>
      <w:r>
        <w:t>【合规性保证】</w:t>
        <w:br/>
      </w:r>
    </w:p>
    <w:p>
      <w:r>
        <w:br w:type="page"/>
      </w:r>
    </w:p>
    <w:p>
      <w:pPr>
        <w:pStyle w:val="Heading1"/>
      </w:pPr>
      <w:r>
        <w:t>4. 学习资源与社区支持评估</w:t>
      </w:r>
    </w:p>
    <w:p>
      <w:pPr>
        <w:pStyle w:val="Heading2"/>
      </w:pPr>
      <w:r>
        <w:t>4.1 官方学习资源质量</w:t>
      </w:r>
    </w:p>
    <w:p>
      <w:r>
        <w:t>【Tech Talks系列 (2025年4-6月)】</w:t>
        <w:br/>
      </w:r>
    </w:p>
    <w:p>
      <w:r>
        <w:t>最有价值的几期: ___</w:t>
        <w:br/>
      </w:r>
    </w:p>
    <w:p>
      <w:r>
        <w:t>【Developers Conference录像 (2024年11月)】</w:t>
        <w:br/>
      </w:r>
    </w:p>
    <w:p>
      <w:r>
        <w:t>【文档完整度】</w:t>
        <w:br/>
      </w:r>
    </w:p>
    <w:p>
      <w:pPr>
        <w:pStyle w:val="Heading2"/>
      </w:pPr>
      <w:r>
        <w:t>4.2 社区与支持</w:t>
      </w:r>
    </w:p>
    <w:p>
      <w:r>
        <w:t>技术支持响应时间: ___小时</w:t>
        <w:br/>
      </w:r>
    </w:p>
    <w:p>
      <w:r>
        <w:t>【Slack/Teams频道活跃度】</w:t>
        <w:br/>
      </w:r>
    </w:p>
    <w:p>
      <w:r>
        <w:t xml:space="preserve">【Champions网络】参考: </w:t>
      </w:r>
      <w:hyperlink r:id="rId15">
        <w:r>
          <w:rPr>
            <w:color w:val="0000FF"/>
            <w:u w:val="single"/>
          </w:rPr>
          <w:t>Global AI Ninjas and Navigators</w:t>
        </w:r>
      </w:hyperlink>
    </w:p>
    <w:p>
      <w:pPr>
        <w:pStyle w:val="Heading2"/>
      </w:pPr>
      <w:r>
        <w:t>4.3 外部资源</w:t>
      </w:r>
    </w:p>
    <w:p>
      <w:r>
        <w:t xml:space="preserve">白皮书价值: </w:t>
      </w:r>
      <w:hyperlink r:id="rId16">
        <w:r>
          <w:rPr>
            <w:color w:val="0000FF"/>
            <w:u w:val="single"/>
          </w:rPr>
          <w:t>AI Adoption in the Workplace</w:t>
        </w:r>
      </w:hyperlink>
    </w:p>
    <w:p/>
    <w:p>
      <w:r>
        <w:t xml:space="preserve">Podcast价值: </w:t>
      </w:r>
      <w:hyperlink r:id="rId17">
        <w:r>
          <w:rPr>
            <w:color w:val="0000FF"/>
            <w:u w:val="single"/>
          </w:rPr>
          <w:t>You Can with AI Podcast</w:t>
        </w:r>
      </w:hyperlink>
    </w:p>
    <w:p>
      <w:r>
        <w:br w:type="page"/>
      </w:r>
    </w:p>
    <w:p>
      <w:pPr>
        <w:pStyle w:val="Heading1"/>
      </w:pPr>
      <w:r>
        <w:t>5. 战略价值与组织影响</w:t>
      </w:r>
    </w:p>
    <w:p>
      <w:pPr>
        <w:pStyle w:val="Heading2"/>
      </w:pPr>
      <w:r>
        <w:t>5.1 与KPMG AI愿景的契合度</w:t>
      </w:r>
    </w:p>
    <w:p>
      <w:r>
        <w:t xml:space="preserve">参考: </w:t>
      </w:r>
      <w:hyperlink r:id="rId18">
        <w:r>
          <w:rPr>
            <w:color w:val="0000FF"/>
            <w:u w:val="single"/>
          </w:rPr>
          <w:t>KPMG Global AI战略</w:t>
        </w:r>
      </w:hyperlink>
    </w:p>
    <w:p/>
    <w:p>
      <w:r>
        <w:t xml:space="preserve">Trusted AI原则: </w:t>
      </w:r>
      <w:hyperlink r:id="rId19">
        <w:r>
          <w:rPr>
            <w:color w:val="0000FF"/>
            <w:u w:val="single"/>
          </w:rPr>
          <w:t>Trusted AI Principles</w:t>
        </w:r>
      </w:hyperlink>
    </w:p>
    <w:p>
      <w:r>
        <w:t>【AI Backbone定位价值】</w:t>
        <w:br/>
      </w:r>
    </w:p>
    <w:p>
      <w:r>
        <w:t>【成为Champions案例的可能性】</w:t>
        <w:br/>
      </w:r>
    </w:p>
    <w:p>
      <w:pPr>
        <w:pStyle w:val="Heading2"/>
      </w:pPr>
      <w:r>
        <w:t>5.2 跨团队协作机会</w:t>
      </w:r>
    </w:p>
    <w:p>
      <w:r>
        <w:t>【知识共享机制】</w:t>
        <w:br/>
      </w:r>
    </w:p>
    <w:p>
      <w:r>
        <w:t>【资源复用可能性】</w:t>
        <w:br/>
      </w:r>
    </w:p>
    <w:p>
      <w:pPr>
        <w:pStyle w:val="Heading2"/>
      </w:pPr>
      <w:r>
        <w:t>5.3 团队品牌与职业发展</w:t>
      </w:r>
    </w:p>
    <w:p>
      <w:r>
        <w:t>【内部可见性提升】</w:t>
        <w:br/>
      </w:r>
    </w:p>
    <w:p>
      <w:r>
        <w:t>【个人成长机会】</w:t>
        <w:br/>
      </w:r>
    </w:p>
    <w:p>
      <w:r>
        <w:br w:type="page"/>
      </w:r>
    </w:p>
    <w:p>
      <w:pPr>
        <w:pStyle w:val="Heading1"/>
      </w:pPr>
      <w:r>
        <w:t>6. 风险与合规性评估 ⚠️</w:t>
      </w:r>
    </w:p>
    <w:p>
      <w:pPr>
        <w:pStyle w:val="Heading2"/>
      </w:pPr>
      <w:r>
        <w:t>6.1 数据安全与隔离风险</w:t>
      </w:r>
    </w:p>
    <w:p>
      <w:r>
        <w:t>【数据泄露风险】</w:t>
        <w:br/>
      </w:r>
    </w:p>
    <w:p>
      <w:r>
        <w:t>【多租户隔离机制】</w:t>
        <w:br/>
      </w:r>
    </w:p>
    <w:p>
      <w:r>
        <w:t>【访问控制细粒度】</w:t>
        <w:br/>
      </w:r>
    </w:p>
    <w:p>
      <w:pPr>
        <w:pStyle w:val="Heading2"/>
      </w:pPr>
      <w:r>
        <w:t>6.2 技术依赖与锁定风险</w:t>
      </w:r>
    </w:p>
    <w:p>
      <w:r>
        <w:t>【平台锁定风险】</w:t>
        <w:br/>
      </w:r>
    </w:p>
    <w:p>
      <w:r>
        <w:t>迁移成本评估: ___</w:t>
        <w:br/>
      </w:r>
    </w:p>
    <w:p>
      <w:r>
        <w:t>【技能转移性】</w:t>
        <w:br/>
      </w:r>
    </w:p>
    <w:p>
      <w:pPr>
        <w:pStyle w:val="Heading2"/>
      </w:pPr>
      <w:r>
        <w:t>6.3 合规与审计</w:t>
      </w:r>
    </w:p>
    <w:p>
      <w:r>
        <w:t>【GDPR/数据主权合规性】</w:t>
        <w:br/>
      </w:r>
    </w:p>
    <w:p>
      <w:r>
        <w:t>【审计日志完整性】</w:t>
        <w:br/>
      </w:r>
    </w:p>
    <w:p>
      <w:pPr>
        <w:pStyle w:val="Heading2"/>
      </w:pPr>
      <w:r>
        <w:t>6.4 成本风险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成本项</w:t>
            </w:r>
          </w:p>
        </w:tc>
        <w:tc>
          <w:tcPr>
            <w:tcW w:type="dxa" w:w="2880"/>
          </w:tcPr>
          <w:p>
            <w:r>
              <w:t>预估金额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许可证费用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算力成本(GPU)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培训成本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总计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【机会成本】</w:t>
        <w:br/>
      </w:r>
    </w:p>
    <w:p>
      <w:r>
        <w:br w:type="page"/>
      </w:r>
    </w:p>
    <w:p>
      <w:pPr>
        <w:pStyle w:val="Heading1"/>
      </w:pPr>
      <w:r>
        <w:t>7. 团队推广与运营考量</w:t>
      </w:r>
    </w:p>
    <w:p>
      <w:pPr>
        <w:pStyle w:val="Heading2"/>
      </w:pPr>
      <w:r>
        <w:t>7.1 团队适配性</w:t>
      </w:r>
    </w:p>
    <w:p>
      <w:r>
        <w:t>能快速上手的成员比例: ___%</w:t>
        <w:br/>
      </w:r>
    </w:p>
    <w:p>
      <w:r>
        <w:t>【培训需求与成本】</w:t>
        <w:br/>
      </w:r>
    </w:p>
    <w:p>
      <w:r>
        <w:t>【工作负载影响】</w:t>
        <w:br/>
      </w:r>
    </w:p>
    <w:p>
      <w:pPr>
        <w:pStyle w:val="Heading2"/>
      </w:pPr>
      <w:r>
        <w:t>7.2 成本与收益(ROI)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现状</w:t>
            </w:r>
          </w:p>
        </w:tc>
        <w:tc>
          <w:tcPr>
            <w:tcW w:type="dxa" w:w="2880"/>
          </w:tcPr>
          <w:p>
            <w:r>
              <w:t>使用Workbench后</w:t>
            </w:r>
          </w:p>
        </w:tc>
      </w:tr>
      <w:tr>
        <w:tc>
          <w:tcPr>
            <w:tcW w:type="dxa" w:w="2880"/>
          </w:tcPr>
          <w:p>
            <w:r>
              <w:t>Demo开发时间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项目中标率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团队士气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知识积累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7.3 Go/No-Go决策标准 🎯</w:t>
      </w:r>
    </w:p>
    <w:p>
      <w:pPr>
        <w:pStyle w:val="Heading3"/>
      </w:pPr>
      <w:r>
        <w:t>全面推广条件 ✅</w:t>
      </w:r>
    </w:p>
    <w:p>
      <w:pPr>
        <w:pStyle w:val="ListBullet"/>
      </w:pPr>
      <w:r>
        <w:t>☐ 单个成员完成认证时间 &lt; 20小时</w:t>
      </w:r>
    </w:p>
    <w:p>
      <w:pPr>
        <w:pStyle w:val="ListBullet"/>
      </w:pPr>
      <w:r>
        <w:t>☐ Demo开发速度提升 &gt; 30%</w:t>
      </w:r>
    </w:p>
    <w:p>
      <w:pPr>
        <w:pStyle w:val="ListBullet"/>
      </w:pPr>
      <w:r>
        <w:t>☐ 至少1个PoC获得客户正面反馈</w:t>
      </w:r>
    </w:p>
    <w:p>
      <w:pPr>
        <w:pStyle w:val="ListBullet"/>
      </w:pPr>
      <w:r>
        <w:t>☐ 技术支持响应时间 &lt; 24小时</w:t>
      </w:r>
    </w:p>
    <w:p>
      <w:pPr>
        <w:pStyle w:val="ListBullet"/>
      </w:pPr>
      <w:r>
        <w:t>☐ 数据隔离通过安全审查</w:t>
      </w:r>
    </w:p>
    <w:p>
      <w:pPr>
        <w:pStyle w:val="ListBullet"/>
      </w:pPr>
      <w:r>
        <w:t>☐ 团队 &gt; 70%认为值得学习</w:t>
      </w:r>
    </w:p>
    <w:p>
      <w:pPr>
        <w:pStyle w:val="Heading3"/>
      </w:pPr>
      <w:r>
        <w:t>暂缓推广条件 ❌</w:t>
      </w:r>
    </w:p>
    <w:p>
      <w:pPr>
        <w:pStyle w:val="ListBullet"/>
      </w:pPr>
      <w:r>
        <w:t>☐ 学习成本 &gt; 1个月全职投入</w:t>
      </w:r>
    </w:p>
    <w:p>
      <w:pPr>
        <w:pStyle w:val="ListBullet"/>
      </w:pPr>
      <w:r>
        <w:t>☐ 隔离机制不清晰/有合规风险</w:t>
      </w:r>
    </w:p>
    <w:p>
      <w:pPr>
        <w:pStyle w:val="ListBullet"/>
      </w:pPr>
      <w:r>
        <w:t>☐ 团队 &lt; 50%能独立完成开发</w:t>
      </w:r>
    </w:p>
    <w:p>
      <w:pPr>
        <w:pStyle w:val="ListBullet"/>
      </w:pPr>
      <w:r>
        <w:t>☐ 迁移成本 &gt; 50%开发时间</w:t>
      </w:r>
    </w:p>
    <w:p>
      <w:pPr>
        <w:pStyle w:val="ListBullet"/>
      </w:pPr>
      <w:r>
        <w:t>☐ 官方支持不足</w:t>
      </w:r>
    </w:p>
    <w:p>
      <w:pPr>
        <w:pStyle w:val="ListBullet"/>
      </w:pPr>
      <w:r>
        <w:t>☐ 有更好的替代方案</w:t>
      </w:r>
    </w:p>
    <w:p>
      <w:pPr>
        <w:pStyle w:val="Heading2"/>
      </w:pPr>
      <w:r>
        <w:t>7.4 试点方案 (Phased Rollout)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时长</w:t>
            </w:r>
          </w:p>
        </w:tc>
        <w:tc>
          <w:tcPr>
            <w:tcW w:type="dxa" w:w="2160"/>
          </w:tcPr>
          <w:p>
            <w:r>
              <w:t>参与人员</w:t>
            </w:r>
          </w:p>
        </w:tc>
        <w:tc>
          <w:tcPr>
            <w:tcW w:type="dxa" w:w="2160"/>
          </w:tcPr>
          <w:p>
            <w:r>
              <w:t>交付物</w:t>
            </w:r>
          </w:p>
        </w:tc>
      </w:tr>
      <w:tr>
        <w:tc>
          <w:tcPr>
            <w:tcW w:type="dxa" w:w="2160"/>
          </w:tcPr>
          <w:p>
            <w:r>
              <w:t>Phase 1: 个人探索</w:t>
            </w:r>
          </w:p>
        </w:tc>
        <w:tc>
          <w:tcPr>
            <w:tcW w:type="dxa" w:w="2160"/>
          </w:tcPr>
          <w:p>
            <w:r>
              <w:t>1个月</w:t>
            </w:r>
          </w:p>
        </w:tc>
        <w:tc>
          <w:tcPr>
            <w:tcW w:type="dxa" w:w="2160"/>
          </w:tcPr>
          <w:p>
            <w:r>
              <w:t>SC级别1人</w:t>
            </w:r>
          </w:p>
        </w:tc>
        <w:tc>
          <w:tcPr>
            <w:tcW w:type="dxa" w:w="2160"/>
          </w:tcPr>
          <w:p>
            <w:r>
              <w:t>技术评估报告</w:t>
            </w:r>
          </w:p>
        </w:tc>
      </w:tr>
      <w:tr>
        <w:tc>
          <w:tcPr>
            <w:tcW w:type="dxa" w:w="2160"/>
          </w:tcPr>
          <w:p>
            <w:r>
              <w:t>Phase 2: 小组试点</w:t>
            </w:r>
          </w:p>
        </w:tc>
        <w:tc>
          <w:tcPr>
            <w:tcW w:type="dxa" w:w="2160"/>
          </w:tcPr>
          <w:p>
            <w:r>
              <w:t>2个月</w:t>
            </w:r>
          </w:p>
        </w:tc>
        <w:tc>
          <w:tcPr>
            <w:tcW w:type="dxa" w:w="2160"/>
          </w:tcPr>
          <w:p>
            <w:r>
              <w:t>SC + 1-2成员</w:t>
            </w:r>
          </w:p>
        </w:tc>
        <w:tc>
          <w:tcPr>
            <w:tcW w:type="dxa" w:w="2160"/>
          </w:tcPr>
          <w:p>
            <w:r>
              <w:t>PoC + ROI数据</w:t>
            </w:r>
          </w:p>
        </w:tc>
      </w:tr>
      <w:tr>
        <w:tc>
          <w:tcPr>
            <w:tcW w:type="dxa" w:w="2160"/>
          </w:tcPr>
          <w:p>
            <w:r>
              <w:t>Phase 3: 决策点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管理层</w:t>
            </w:r>
          </w:p>
        </w:tc>
        <w:tc>
          <w:tcPr>
            <w:tcW w:type="dxa" w:w="2160"/>
          </w:tcPr>
          <w:p>
            <w:r>
              <w:t>Go/No-Go决策</w:t>
            </w:r>
          </w:p>
        </w:tc>
      </w:tr>
      <w:tr>
        <w:tc>
          <w:tcPr>
            <w:tcW w:type="dxa" w:w="2160"/>
          </w:tcPr>
          <w:p>
            <w:r>
              <w:t>Phase 4: 全面推广</w:t>
            </w:r>
          </w:p>
        </w:tc>
        <w:tc>
          <w:tcPr>
            <w:tcW w:type="dxa" w:w="2160"/>
          </w:tcPr>
          <w:p>
            <w:r>
              <w:t>3个月</w:t>
            </w:r>
          </w:p>
        </w:tc>
        <w:tc>
          <w:tcPr>
            <w:tcW w:type="dxa" w:w="2160"/>
          </w:tcPr>
          <w:p>
            <w:r>
              <w:t>全团队</w:t>
            </w:r>
          </w:p>
        </w:tc>
        <w:tc>
          <w:tcPr>
            <w:tcW w:type="dxa" w:w="2160"/>
          </w:tcPr>
          <w:p>
            <w:r>
              <w:t>培训完成+持续优化</w:t>
            </w:r>
          </w:p>
        </w:tc>
      </w:tr>
    </w:tbl>
    <w:p>
      <w:r>
        <w:br w:type="page"/>
      </w:r>
    </w:p>
    <w:p>
      <w:pPr>
        <w:pStyle w:val="Heading1"/>
      </w:pPr>
      <w:r>
        <w:t>附录: 参考资源</w:t>
      </w:r>
    </w:p>
    <w:p>
      <w:pPr>
        <w:pStyle w:val="Heading2"/>
      </w:pPr>
      <w:r>
        <w:t>A. 官方学习资源</w:t>
      </w:r>
    </w:p>
    <w:p>
      <w:pPr>
        <w:pStyle w:val="ListBullet"/>
      </w:pPr>
      <w:r>
        <w:t xml:space="preserve">• </w:t>
      </w:r>
      <w:hyperlink r:id="rId9">
        <w:r>
          <w:rPr>
            <w:color w:val="0000FF"/>
            <w:u w:val="single"/>
          </w:rPr>
          <w:t>KPMG Workbench Learning &amp; Development Hub</w:t>
        </w:r>
      </w:hyperlink>
    </w:p>
    <w:p>
      <w:pPr>
        <w:pStyle w:val="ListBullet"/>
      </w:pPr>
      <w:r>
        <w:t xml:space="preserve">• </w:t>
      </w:r>
      <w:hyperlink r:id="rId20">
        <w:r>
          <w:rPr>
            <w:color w:val="0000FF"/>
            <w:u w:val="single"/>
          </w:rPr>
          <w:t>Developer Learning Path</w:t>
        </w:r>
      </w:hyperlink>
    </w:p>
    <w:p>
      <w:pPr>
        <w:pStyle w:val="ListBullet"/>
      </w:pPr>
      <w:r>
        <w:t xml:space="preserve">• </w:t>
      </w:r>
      <w:hyperlink r:id="rId21">
        <w:r>
          <w:rPr>
            <w:color w:val="0000FF"/>
            <w:u w:val="single"/>
          </w:rPr>
          <w:t>Product Management Learning Path</w:t>
        </w:r>
      </w:hyperlink>
    </w:p>
    <w:p>
      <w:pPr>
        <w:pStyle w:val="Heading2"/>
      </w:pPr>
      <w:r>
        <w:t>B. 技术文档</w:t>
      </w:r>
    </w:p>
    <w:p>
      <w:pPr>
        <w:pStyle w:val="ListBullet"/>
      </w:pPr>
      <w:r>
        <w:t xml:space="preserve">• </w:t>
      </w:r>
      <w:hyperlink r:id="rId13">
        <w:r>
          <w:rPr>
            <w:color w:val="0000FF"/>
            <w:u w:val="single"/>
          </w:rPr>
          <w:t>KPMG Workbench User Guide</w:t>
        </w:r>
      </w:hyperlink>
    </w:p>
    <w:p>
      <w:pPr>
        <w:pStyle w:val="ListBullet"/>
      </w:pPr>
      <w:r>
        <w:t xml:space="preserve">• </w:t>
      </w:r>
      <w:hyperlink r:id="rId10">
        <w:r>
          <w:rPr>
            <w:color w:val="0000FF"/>
            <w:u w:val="single"/>
          </w:rPr>
          <w:t>Design Systems for KPMG Workbench</w:t>
        </w:r>
      </w:hyperlink>
    </w:p>
    <w:p>
      <w:pPr>
        <w:pStyle w:val="ListBullet"/>
      </w:pPr>
      <w:r>
        <w:t xml:space="preserve">• </w:t>
      </w:r>
      <w:hyperlink r:id="rId11">
        <w:r>
          <w:rPr>
            <w:color w:val="0000FF"/>
            <w:u w:val="single"/>
          </w:rPr>
          <w:t>Software Development Lifecycle (SDLC)</w:t>
        </w:r>
      </w:hyperlink>
    </w:p>
    <w:p>
      <w:pPr>
        <w:pStyle w:val="ListBullet"/>
      </w:pPr>
      <w:r>
        <w:t xml:space="preserve">• </w:t>
      </w:r>
      <w:hyperlink r:id="rId12">
        <w:r>
          <w:rPr>
            <w:color w:val="0000FF"/>
            <w:u w:val="single"/>
          </w:rPr>
          <w:t>Secret Management Best Practices</w:t>
        </w:r>
      </w:hyperlink>
    </w:p>
    <w:p>
      <w:pPr>
        <w:pStyle w:val="Heading2"/>
      </w:pPr>
      <w:r>
        <w:t>C. 战略资源</w:t>
      </w:r>
    </w:p>
    <w:p>
      <w:pPr>
        <w:pStyle w:val="ListBullet"/>
      </w:pPr>
      <w:r>
        <w:t xml:space="preserve">• </w:t>
      </w:r>
      <w:hyperlink r:id="rId18">
        <w:r>
          <w:rPr>
            <w:color w:val="0000FF"/>
            <w:u w:val="single"/>
          </w:rPr>
          <w:t>KPMG Global aIQ Hub</w:t>
        </w:r>
      </w:hyperlink>
    </w:p>
    <w:p>
      <w:pPr>
        <w:pStyle w:val="ListBullet"/>
      </w:pPr>
      <w:r>
        <w:t xml:space="preserve">• </w:t>
      </w:r>
      <w:hyperlink r:id="rId15">
        <w:r>
          <w:rPr>
            <w:color w:val="0000FF"/>
            <w:u w:val="single"/>
          </w:rPr>
          <w:t>Global AI Ninjas and Navigators</w:t>
        </w:r>
      </w:hyperlink>
    </w:p>
    <w:p>
      <w:pPr>
        <w:pStyle w:val="ListBullet"/>
      </w:pPr>
      <w:r>
        <w:t xml:space="preserve">• </w:t>
      </w:r>
      <w:hyperlink r:id="rId19">
        <w:r>
          <w:rPr>
            <w:color w:val="0000FF"/>
            <w:u w:val="single"/>
          </w:rPr>
          <w:t>Trusted AI Learning Path</w:t>
        </w:r>
      </w:hyperlink>
    </w:p>
    <w:p>
      <w:pPr>
        <w:pStyle w:val="Heading2"/>
      </w:pPr>
      <w:r>
        <w:t>D. 白皮书与洞察</w:t>
      </w:r>
    </w:p>
    <w:p>
      <w:pPr>
        <w:pStyle w:val="ListBullet"/>
      </w:pPr>
      <w:r>
        <w:t xml:space="preserve">• </w:t>
      </w:r>
      <w:hyperlink r:id="rId14">
        <w:r>
          <w:rPr>
            <w:color w:val="0000FF"/>
            <w:u w:val="single"/>
          </w:rPr>
          <w:t>The Agentic AI Advantage</w:t>
        </w:r>
      </w:hyperlink>
    </w:p>
    <w:p>
      <w:pPr>
        <w:pStyle w:val="ListBullet"/>
      </w:pPr>
      <w:r>
        <w:t xml:space="preserve">• </w:t>
      </w:r>
      <w:hyperlink r:id="rId16">
        <w:r>
          <w:rPr>
            <w:color w:val="0000FF"/>
            <w:u w:val="single"/>
          </w:rPr>
          <w:t>AI Adoption in the Workplace</w:t>
        </w:r>
      </w:hyperlink>
    </w:p>
    <w:p>
      <w:pPr>
        <w:pStyle w:val="ListBullet"/>
      </w:pPr>
      <w:r>
        <w:t xml:space="preserve">• </w:t>
      </w:r>
      <w:hyperlink r:id="rId22">
        <w:r>
          <w:rPr>
            <w:color w:val="0000FF"/>
            <w:u w:val="single"/>
          </w:rPr>
          <w:t>KPMG Revolutionizes AI Delivery</w:t>
        </w:r>
      </w:hyperlink>
    </w:p>
    <w:p>
      <w:pPr>
        <w:pStyle w:val="Heading2"/>
      </w:pPr>
      <w:r>
        <w:t>E. 会议录像 (推荐)</w:t>
      </w:r>
    </w:p>
    <w:p>
      <w:pPr>
        <w:pStyle w:val="ListBullet"/>
      </w:pPr>
      <w:r>
        <w:t xml:space="preserve">• </w:t>
      </w:r>
      <w:hyperlink r:id="rId23">
        <w:r>
          <w:rPr>
            <w:color w:val="0000FF"/>
            <w:u w:val="single"/>
          </w:rPr>
          <w:t>Microsoft Keynote - Agentic AI Thinking</w:t>
        </w:r>
      </w:hyperlink>
    </w:p>
    <w:p>
      <w:pPr>
        <w:pStyle w:val="ListBullet"/>
      </w:pPr>
      <w:r>
        <w:t xml:space="preserve">• </w:t>
      </w:r>
      <w:hyperlink r:id="rId24">
        <w:r>
          <w:rPr>
            <w:color w:val="0000FF"/>
            <w:u w:val="single"/>
          </w:rPr>
          <w:t>KPMG Keynote - Workbench Champions</w:t>
        </w:r>
      </w:hyperlink>
    </w:p>
    <w:p>
      <w:pPr>
        <w:pStyle w:val="ListBullet"/>
      </w:pPr>
      <w:r>
        <w:t xml:space="preserve">• </w:t>
      </w:r>
      <w:hyperlink r:id="rId25">
        <w:r>
          <w:rPr>
            <w:color w:val="0000FF"/>
            <w:u w:val="single"/>
          </w:rPr>
          <w:t>Q&amp;A with Product Owners</w:t>
        </w:r>
      </w:hyperlink>
    </w:p>
    <w:p>
      <w:pPr>
        <w:pStyle w:val="Heading2"/>
      </w:pPr>
      <w:r>
        <w:t>F. 外部资源</w:t>
      </w:r>
    </w:p>
    <w:p>
      <w:pPr>
        <w:pStyle w:val="ListBullet"/>
      </w:pPr>
      <w:r>
        <w:t xml:space="preserve">• </w:t>
      </w:r>
      <w:hyperlink r:id="rId17">
        <w:r>
          <w:rPr>
            <w:color w:val="0000FF"/>
            <w:u w:val="single"/>
          </w:rPr>
          <w:t>You Can with AI Podcast</w:t>
        </w:r>
      </w:hyperlink>
    </w:p>
    <w:p>
      <w:r>
        <w:br w:type="page"/>
      </w:r>
    </w:p>
    <w:p>
      <w:pPr>
        <w:pStyle w:val="Heading1"/>
      </w:pPr>
      <w:r>
        <w:t>附录: 评估时间表 (建议)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周次</w:t>
            </w:r>
          </w:p>
        </w:tc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交付物</w:t>
            </w:r>
          </w:p>
        </w:tc>
      </w:tr>
      <w:tr>
        <w:tc>
          <w:tcPr>
            <w:tcW w:type="dxa" w:w="2880"/>
          </w:tcPr>
          <w:p>
            <w:r>
              <w:t>W1</w:t>
            </w:r>
          </w:p>
        </w:tc>
        <w:tc>
          <w:tcPr>
            <w:tcW w:type="dxa" w:w="2880"/>
          </w:tcPr>
          <w:p>
            <w:r>
              <w:t>完成Prerequisites + Developer Learning Path</w:t>
            </w:r>
          </w:p>
        </w:tc>
        <w:tc>
          <w:tcPr>
            <w:tcW w:type="dxa" w:w="2880"/>
          </w:tcPr>
          <w:p>
            <w:r>
              <w:t>认证徽章</w:t>
            </w:r>
          </w:p>
        </w:tc>
      </w:tr>
      <w:tr>
        <w:tc>
          <w:tcPr>
            <w:tcW w:type="dxa" w:w="2880"/>
          </w:tcPr>
          <w:p>
            <w:r>
              <w:t>W2</w:t>
            </w:r>
          </w:p>
        </w:tc>
        <w:tc>
          <w:tcPr>
            <w:tcW w:type="dxa" w:w="2880"/>
          </w:tcPr>
          <w:p>
            <w:r>
              <w:t>开发测试Demo 1 (如: RAG Chatbot)</w:t>
            </w:r>
          </w:p>
        </w:tc>
        <w:tc>
          <w:tcPr>
            <w:tcW w:type="dxa" w:w="2880"/>
          </w:tcPr>
          <w:p>
            <w:r>
              <w:t>技术能力评估数据</w:t>
            </w:r>
          </w:p>
        </w:tc>
      </w:tr>
      <w:tr>
        <w:tc>
          <w:tcPr>
            <w:tcW w:type="dxa" w:w="2880"/>
          </w:tcPr>
          <w:p>
            <w:r>
              <w:t>W3</w:t>
            </w:r>
          </w:p>
        </w:tc>
        <w:tc>
          <w:tcPr>
            <w:tcW w:type="dxa" w:w="2880"/>
          </w:tcPr>
          <w:p>
            <w:r>
              <w:t>开发测试Demo 2 (如: Audit Agent)</w:t>
            </w:r>
          </w:p>
        </w:tc>
        <w:tc>
          <w:tcPr>
            <w:tcW w:type="dxa" w:w="2880"/>
          </w:tcPr>
          <w:p>
            <w:r>
              <w:t>Agentic AI能力评估</w:t>
            </w:r>
          </w:p>
        </w:tc>
      </w:tr>
      <w:tr>
        <w:tc>
          <w:tcPr>
            <w:tcW w:type="dxa" w:w="2880"/>
          </w:tcPr>
          <w:p>
            <w:r>
              <w:t>W4</w:t>
            </w:r>
          </w:p>
        </w:tc>
        <w:tc>
          <w:tcPr>
            <w:tcW w:type="dxa" w:w="2880"/>
          </w:tcPr>
          <w:p>
            <w:r>
              <w:t>风险分析、ROI计算、撰写报告</w:t>
            </w:r>
          </w:p>
        </w:tc>
        <w:tc>
          <w:tcPr>
            <w:tcW w:type="dxa" w:w="2880"/>
          </w:tcPr>
          <w:p>
            <w:r>
              <w:t>完整评估报告 + Executive Summary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po-global.kpmg.com/sites/GO-OI-BUS-GTK-WB/SitePages/KPMG-Workbench-learning-development.aspx" TargetMode="External"/><Relationship Id="rId10" Type="http://schemas.openxmlformats.org/officeDocument/2006/relationships/hyperlink" Target="https://spo-global.kpmg.com/sites/GO-OI-BUS-GTK-WB/SitePages/Design-Systems-for-KPMG-Workbench.aspx" TargetMode="External"/><Relationship Id="rId11" Type="http://schemas.openxmlformats.org/officeDocument/2006/relationships/hyperlink" Target="https://docs.code.kpmg.com/GTK/Engineering-Ecosystem/Software-Development-Lifecycle-%28SDLC%29/sdlc/" TargetMode="External"/><Relationship Id="rId12" Type="http://schemas.openxmlformats.org/officeDocument/2006/relationships/hyperlink" Target="https://handbook.code.kpmg.com/digital-grc/secrets-management-best-practices/" TargetMode="External"/><Relationship Id="rId13" Type="http://schemas.openxmlformats.org/officeDocument/2006/relationships/hyperlink" Target="https://docs.code.kpmg.com/GTK/AI-Framework/KPMG-Workbench/" TargetMode="External"/><Relationship Id="rId14" Type="http://schemas.openxmlformats.org/officeDocument/2006/relationships/hyperlink" Target="https://kpmg.com/us/en/articles/2025/the-agentic-ai-advantage.html" TargetMode="External"/><Relationship Id="rId15" Type="http://schemas.openxmlformats.org/officeDocument/2006/relationships/hyperlink" Target="https://spo-global.kpmg.com/sites/GO-OI-BUS-GTK-AI/SitePages/Global-AI-Ninjas-Navigators.aspx" TargetMode="External"/><Relationship Id="rId16" Type="http://schemas.openxmlformats.org/officeDocument/2006/relationships/hyperlink" Target="https://kpmg.com/au/en/insights/artificial-intelligence-ai/workplace-ai-adoption-success-insights-stories.html" TargetMode="External"/><Relationship Id="rId17" Type="http://schemas.openxmlformats.org/officeDocument/2006/relationships/hyperlink" Target="https://kpmg.com/us/en/podcasts/you-can-with-ai.html" TargetMode="External"/><Relationship Id="rId18" Type="http://schemas.openxmlformats.org/officeDocument/2006/relationships/hyperlink" Target="https://spo-global.kpmg.com/sites/GO-OI-BUS-GTK-AI" TargetMode="External"/><Relationship Id="rId19" Type="http://schemas.openxmlformats.org/officeDocument/2006/relationships/hyperlink" Target="https://spo-global.kpmg.com/sites/go-oi-bus-People/SitePages/Trusted-AI.aspx" TargetMode="External"/><Relationship Id="rId20" Type="http://schemas.openxmlformats.org/officeDocument/2006/relationships/hyperlink" Target="https://spo-global.kpmg.com/sites/GO-OI-BUS-GTK-WB/SitePages/KPMG-Workbench-learning-and-development-development-track.aspx" TargetMode="External"/><Relationship Id="rId21" Type="http://schemas.openxmlformats.org/officeDocument/2006/relationships/hyperlink" Target="https://spo-global.kpmg.com/sites/GO-OI-BUS-GTK-WB/SitePages/KPMG-Workbench-learning-and-development-product-management-track.aspx" TargetMode="External"/><Relationship Id="rId22" Type="http://schemas.openxmlformats.org/officeDocument/2006/relationships/hyperlink" Target="https://spo-global.kpmg.com/sites/GO-OI-BUS-GTK-AI/SitePages/KPMG-revolutionizes-AI-delivery-with-a-first-of-its-kind-global-AI-platform.aspx" TargetMode="External"/><Relationship Id="rId23" Type="http://schemas.openxmlformats.org/officeDocument/2006/relationships/hyperlink" Target="https://spo-global.kpmg.com/:v:/r/sites/GO-OI-BUS-GTK-WB/KPMGWorkbenchDevCon/Microsoft%20Keynote%20recording%20-%20Agentic%20AI%20Thinking.mp4" TargetMode="External"/><Relationship Id="rId24" Type="http://schemas.openxmlformats.org/officeDocument/2006/relationships/hyperlink" Target="https://spo-global.kpmg.com/sites/GO-OI-BUS-GTK-WB/KPMGWorkbenchDevCon/KPMG%20Keynote%20recording%20-%20Workbench%20Champions.mp4" TargetMode="External"/><Relationship Id="rId25" Type="http://schemas.openxmlformats.org/officeDocument/2006/relationships/hyperlink" Target="https://spo-global.kpmg.com/:v:/r/sites/GO-OI-BUS-GTK-WB/KPMGWorkbenchDevCon/The%20Open%20Forum%20Live%20Q%26A%20with%20Workbench%20Product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