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KPMG Workbench 戦略評価レポート</w:t>
      </w:r>
    </w:p>
    <w:p/>
    <w:p>
      <w:pPr>
        <w:jc w:val="center"/>
      </w:pPr>
      <w:r>
        <w:rPr>
          <w:color w:val="595959"/>
          <w:sz w:val="36"/>
        </w:rPr>
        <w:t>AI開発プラットフォーム詳細評価フレームワーク</w:t>
      </w:r>
    </w:p>
    <w:p/>
    <w:p/>
    <w:p/>
    <w:p>
      <w:pPr>
        <w:jc w:val="center"/>
      </w:pPr>
      <w:r>
        <w:rPr>
          <w:sz w:val="24"/>
        </w:rPr>
        <w:t>評価担当者: [氏名]</w:t>
        <w:br/>
      </w:r>
      <w:r>
        <w:rPr>
          <w:sz w:val="24"/>
        </w:rPr>
        <w:t>役職: Senior Consultant, AI Development</w:t>
        <w:br/>
      </w:r>
      <w:r>
        <w:rPr>
          <w:sz w:val="24"/>
        </w:rPr>
        <w:t>日付: [評価日]</w:t>
        <w:br/>
      </w:r>
    </w:p>
    <w:p/>
    <w:p/>
    <w:p>
      <w:pPr>
        <w:jc w:val="center"/>
      </w:pPr>
      <w:r>
        <w:rPr>
          <w:color w:val="808080"/>
          <w:sz w:val="20"/>
        </w:rPr>
        <w:t>Version 1.0</w:t>
      </w:r>
    </w:p>
    <w:p>
      <w:r>
        <w:br w:type="page"/>
      </w:r>
    </w:p>
    <w:p>
      <w:pPr>
        <w:pStyle w:val="Title"/>
      </w:pPr>
      <w:r>
        <w:t>目次</w:t>
      </w:r>
    </w:p>
    <w:p>
      <w:r>
        <w:rPr>
          <w:i/>
        </w:rPr>
        <w:t>【Wordで目次を生成する手順】</w:t>
        <w:br/>
      </w:r>
      <w:r>
        <w:rPr>
          <w:i/>
        </w:rPr>
        <w:t>1. カーソルをここに置く</w:t>
        <w:br/>
      </w:r>
      <w:r>
        <w:rPr>
          <w:i/>
        </w:rPr>
        <w:t>2. 「参考資料」タブ → 「目次」 → 自動目次スタイルを選択</w:t>
        <w:br/>
      </w:r>
      <w:r>
        <w:rPr>
          <w:i/>
        </w:rPr>
        <w:t>3. 内容記入完了後、目次を右クリック → 「フィールド更新」 → 「目次をすべて更新」</w:t>
        <w:br/>
        <w:br/>
      </w:r>
      <w:r>
        <w:rPr>
          <w:i/>
        </w:rPr>
        <w:t>注: すべての章見出しは見出しスタイルに設定されており、自動的にハイパーリンク目次が生成されます</w:t>
      </w:r>
    </w:p>
    <w:p>
      <w:r>
        <w:br w:type="page"/>
      </w:r>
    </w:p>
    <w:p>
      <w:pPr>
        <w:pStyle w:val="Heading1"/>
      </w:pPr>
      <w:r>
        <w:t>エグゼクティブサマリー (Executive Summary)</w:t>
      </w:r>
    </w:p>
    <w:p>
      <w:r>
        <w:t>【本セクションはすべての評価完了後に記入】</w:t>
      </w:r>
    </w:p>
    <w:p>
      <w:pPr>
        <w:pStyle w:val="Heading2"/>
      </w:pPr>
      <w:r>
        <w:t>核心結論</w:t>
      </w:r>
    </w:p>
    <w:p>
      <w:r>
        <w:t>【3～5つの要点まとめ】</w:t>
      </w:r>
    </w:p>
    <w:p>
      <w:pPr>
        <w:pStyle w:val="Heading2"/>
      </w:pPr>
      <w:r>
        <w:t>主要発見事項</w:t>
      </w:r>
    </w:p>
    <w:p>
      <w:r>
        <w:t>✅ 主な強み:</w:t>
        <w:br/>
      </w:r>
    </w:p>
    <w:p>
      <w:r>
        <w:t>⚠️ 主な制限:</w:t>
        <w:br/>
      </w:r>
    </w:p>
    <w:p>
      <w:r>
        <w:t>🔥 コアハイライト:</w:t>
        <w:br/>
      </w:r>
    </w:p>
    <w:p>
      <w:pPr>
        <w:pStyle w:val="Heading2"/>
      </w:pPr>
      <w:r>
        <w:t>推奨決定</w:t>
      </w:r>
    </w:p>
    <w:p>
      <w:r>
        <w:t>【Go/No-Go 推奨 + 理由】</w:t>
      </w:r>
    </w:p>
    <w:p>
      <w:r>
        <w:br w:type="page"/>
      </w:r>
    </w:p>
    <w:p>
      <w:pPr>
        <w:pStyle w:val="Heading1"/>
      </w:pPr>
      <w:r>
        <w:rPr>
          <w:rFonts w:ascii="Arial" w:hAnsi="Arial" w:eastAsia="Meiryo UI"/>
        </w:rPr>
        <w:t>0. 事前準備: 学習パスと認証コスト評価</w:t>
      </w:r>
    </w:p>
    <w:p>
      <w:r>
        <w:t>【評価背景】これはチームメンバーにとって最大の参入障壁であり、時間コストと学習品質を詳細に評価する必要があります。</w:t>
      </w:r>
    </w:p>
    <w:p>
      <w:pPr>
        <w:pStyle w:val="Heading2"/>
      </w:pPr>
      <w:r>
        <w:rPr>
          <w:rFonts w:ascii="Arial" w:hAnsi="Arial" w:eastAsia="Meiryo UI"/>
        </w:rPr>
        <w:t>0.1 認証要件</w:t>
      </w:r>
    </w:p>
    <w:p>
      <w:r>
        <w:t xml:space="preserve">KPMG Workbenchにアクセスするには、以下の認証パスを完了する必要があります (出典: </w:t>
      </w:r>
      <w:hyperlink r:id="rId9">
        <w:r>
          <w:rPr>
            <w:color w:val="0000FF"/>
            <w:u w:val="single"/>
          </w:rPr>
          <w:t>KPMG Workbench Learning &amp; Development Hub</w:t>
        </w:r>
      </w:hyperlink>
      <w:r>
        <w:t>)：</w:t>
      </w:r>
    </w:p>
    <w:p/>
    <w:p>
      <w:pPr>
        <w:pStyle w:val="Heading3"/>
      </w:pPr>
      <w:r>
        <w:rPr>
          <w:rFonts w:ascii="Arial" w:hAnsi="Arial" w:eastAsia="Meiryo UI"/>
        </w:rPr>
        <w:t>必須要件</w:t>
      </w:r>
    </w:p>
    <w:p>
      <w:pPr>
        <w:pStyle w:val="ListBullet"/>
      </w:pPr>
      <w:r>
        <w:t>✓ 以下のいずれかの学習パスを完了し、KPMG Workbench Knowledge Badgeを取得すること：</w:t>
      </w:r>
    </w:p>
    <w:p>
      <w:pPr>
        <w:pStyle w:val="ListBullet2"/>
      </w:pPr>
      <w:r>
        <w:t xml:space="preserve">  • </w:t>
      </w:r>
      <w:hyperlink r:id="rId10">
        <w:r>
          <w:rPr>
            <w:color w:val="0000FF"/>
            <w:u w:val="single"/>
          </w:rPr>
          <w:t>Developer Learning Path</w:t>
        </w:r>
      </w:hyperlink>
      <w:r>
        <w:t xml:space="preserve"> （開発者向け）</w:t>
      </w:r>
    </w:p>
    <w:p>
      <w:pPr>
        <w:pStyle w:val="ListBullet2"/>
      </w:pPr>
      <w:r>
        <w:t xml:space="preserve">  • </w:t>
      </w:r>
      <w:hyperlink r:id="rId11">
        <w:r>
          <w:rPr>
            <w:color w:val="0000FF"/>
            <w:u w:val="single"/>
          </w:rPr>
          <w:t>Product Management Learning Path</w:t>
        </w:r>
      </w:hyperlink>
      <w:r>
        <w:t xml:space="preserve"> （プロダクトマネージャー向け）</w:t>
      </w:r>
    </w:p>
    <w:p/>
    <w:p>
      <w:pPr>
        <w:pStyle w:val="Heading3"/>
      </w:pPr>
      <w:r>
        <w:rPr>
          <w:rFonts w:ascii="Arial" w:hAnsi="Arial" w:eastAsia="Meiryo UI"/>
        </w:rPr>
        <w:t>事前トレーニング要件</w:t>
      </w:r>
    </w:p>
    <w:p>
      <w:pPr>
        <w:pStyle w:val="ListBullet"/>
      </w:pPr>
      <w:r>
        <w:t>• 実務経験のあるエンジニア、技術者、またはプロダクトスペシャリストであること</w:t>
      </w:r>
    </w:p>
    <w:p>
      <w:pPr>
        <w:pStyle w:val="ListBullet"/>
      </w:pPr>
      <w:r>
        <w:t xml:space="preserve">• </w:t>
      </w:r>
      <w:hyperlink r:id="rId12">
        <w:r>
          <w:rPr>
            <w:color w:val="0000FF"/>
            <w:u w:val="single"/>
          </w:rPr>
          <w:t>GitHub EMU</w:t>
        </w:r>
      </w:hyperlink>
      <w:r>
        <w:t xml:space="preserve"> にオンボーディングされていること</w:t>
      </w:r>
    </w:p>
    <w:p>
      <w:pPr>
        <w:pStyle w:val="ListBullet"/>
      </w:pPr>
      <w:r>
        <w:t>• GitHub EMUリポジトリに少なくとも1つのPull Requestを提出していること</w:t>
      </w:r>
    </w:p>
    <w:p/>
    <w:p>
      <w:pPr>
        <w:pStyle w:val="Heading3"/>
      </w:pPr>
      <w:r>
        <w:rPr>
          <w:rFonts w:ascii="Arial" w:hAnsi="Arial" w:eastAsia="Meiryo UI"/>
        </w:rPr>
        <w:t>推奨認証（必須ではない）</w:t>
      </w:r>
    </w:p>
    <w:p>
      <w:r>
        <w:t>Knowledge Badge トレーニングを開始する前に、以下の認証のうち2つ以上を完了することが推奨されます：</w:t>
      </w:r>
    </w:p>
    <w:p>
      <w:pPr>
        <w:pStyle w:val="Heading4"/>
      </w:pPr>
      <w:r>
        <w:rPr>
          <w:rFonts w:ascii="Arial" w:hAnsi="Arial" w:eastAsia="Meiryo UI"/>
        </w:rPr>
        <w:t>開発者向け推奨認証: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認証名</w:t>
            </w:r>
          </w:p>
        </w:tc>
      </w:tr>
      <w:tr>
        <w:tc>
          <w:tcPr>
            <w:tcW w:type="dxa" w:w="8640"/>
          </w:tcPr>
          <w:p>
            <w:hyperlink r:id="rId13">
              <w:r>
                <w:rPr>
                  <w:color w:val="0000FF"/>
                  <w:u w:val="single"/>
                </w:rPr>
                <w:t>Azure Fundamentals AZ-900</w:t>
              </w:r>
            </w:hyperlink>
          </w:p>
        </w:tc>
      </w:tr>
      <w:tr>
        <w:tc>
          <w:tcPr>
            <w:tcW w:type="dxa" w:w="8640"/>
          </w:tcPr>
          <w:p>
            <w:hyperlink r:id="rId14">
              <w:r>
                <w:rPr>
                  <w:color w:val="0000FF"/>
                  <w:u w:val="single"/>
                </w:rPr>
                <w:t>Azure AI Fundamentals AI-900</w:t>
              </w:r>
            </w:hyperlink>
          </w:p>
        </w:tc>
      </w:tr>
      <w:tr>
        <w:tc>
          <w:tcPr>
            <w:tcW w:type="dxa" w:w="8640"/>
          </w:tcPr>
          <w:p>
            <w:hyperlink r:id="rId15">
              <w:r>
                <w:rPr>
                  <w:color w:val="0000FF"/>
                  <w:u w:val="single"/>
                </w:rPr>
                <w:t>GitHub Foundations</w:t>
              </w:r>
            </w:hyperlink>
          </w:p>
        </w:tc>
      </w:tr>
      <w:tr>
        <w:tc>
          <w:tcPr>
            <w:tcW w:type="dxa" w:w="8640"/>
          </w:tcPr>
          <w:p>
            <w:hyperlink r:id="rId16">
              <w:r>
                <w:rPr>
                  <w:color w:val="0000FF"/>
                  <w:u w:val="single"/>
                </w:rPr>
                <w:t>GitHub Actions</w:t>
              </w:r>
            </w:hyperlink>
          </w:p>
        </w:tc>
      </w:tr>
      <w:tr>
        <w:tc>
          <w:tcPr>
            <w:tcW w:type="dxa" w:w="8640"/>
          </w:tcPr>
          <w:p>
            <w:hyperlink r:id="rId17">
              <w:r>
                <w:rPr>
                  <w:color w:val="0000FF"/>
                  <w:u w:val="single"/>
                </w:rPr>
                <w:t>Responsible AI</w:t>
              </w:r>
            </w:hyperlink>
          </w:p>
        </w:tc>
      </w:tr>
    </w:tbl>
    <w:p/>
    <w:p>
      <w:pPr>
        <w:pStyle w:val="Heading4"/>
      </w:pPr>
      <w:r>
        <w:rPr>
          <w:rFonts w:ascii="Arial" w:hAnsi="Arial" w:eastAsia="Meiryo UI"/>
        </w:rPr>
        <w:t>プロダクトマネージャー向け推奨認証: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認証名</w:t>
            </w:r>
          </w:p>
        </w:tc>
      </w:tr>
      <w:tr>
        <w:tc>
          <w:tcPr>
            <w:tcW w:type="dxa" w:w="8640"/>
          </w:tcPr>
          <w:p>
            <w:hyperlink r:id="rId13">
              <w:r>
                <w:rPr>
                  <w:color w:val="0000FF"/>
                  <w:u w:val="single"/>
                </w:rPr>
                <w:t>Azure Fundamentals AZ-900</w:t>
              </w:r>
            </w:hyperlink>
          </w:p>
        </w:tc>
      </w:tr>
      <w:tr>
        <w:tc>
          <w:tcPr>
            <w:tcW w:type="dxa" w:w="8640"/>
          </w:tcPr>
          <w:p>
            <w:hyperlink r:id="rId18">
              <w:r>
                <w:rPr>
                  <w:color w:val="0000FF"/>
                  <w:u w:val="single"/>
                </w:rPr>
                <w:t>Professional Scrum Master PSM I</w:t>
              </w:r>
            </w:hyperlink>
          </w:p>
        </w:tc>
      </w:tr>
      <w:tr>
        <w:tc>
          <w:tcPr>
            <w:tcW w:type="dxa" w:w="8640"/>
          </w:tcPr>
          <w:p>
            <w:hyperlink r:id="rId19">
              <w:r>
                <w:rPr>
                  <w:color w:val="0000FF"/>
                  <w:u w:val="single"/>
                </w:rPr>
                <w:t>Professional Scrum Product Owner PSPO I</w:t>
              </w:r>
            </w:hyperlink>
          </w:p>
        </w:tc>
      </w:tr>
      <w:tr>
        <w:tc>
          <w:tcPr>
            <w:tcW w:type="dxa" w:w="8640"/>
          </w:tcPr>
          <w:p>
            <w:hyperlink r:id="rId15">
              <w:r>
                <w:rPr>
                  <w:color w:val="0000FF"/>
                  <w:u w:val="single"/>
                </w:rPr>
                <w:t>GitHub Foundations</w:t>
              </w:r>
            </w:hyperlink>
          </w:p>
        </w:tc>
      </w:tr>
      <w:tr>
        <w:tc>
          <w:tcPr>
            <w:tcW w:type="dxa" w:w="8640"/>
          </w:tcPr>
          <w:p>
            <w:hyperlink r:id="rId17">
              <w:r>
                <w:rPr>
                  <w:color w:val="0000FF"/>
                  <w:u w:val="single"/>
                </w:rPr>
                <w:t>Responsible AI</w:t>
              </w:r>
            </w:hyperlink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hAnsi="Arial" w:eastAsia="Meiryo UI"/>
        </w:rPr>
        <w:t>0.2 学習パス完了ステップ（完全版）</w:t>
      </w:r>
    </w:p>
    <w:p>
      <w:r>
        <w:rPr>
          <w:b/>
        </w:rPr>
        <w:t xml:space="preserve">予想所要時間: </w:t>
      </w:r>
      <w:r>
        <w:t>2～7日（Prerequisites有無により変動）</w:t>
      </w:r>
    </w:p>
    <w:p/>
    <w:p>
      <w:r>
        <w:rPr>
          <w:rFonts w:ascii="Arial" w:hAnsi="Arial" w:eastAsia="Meiryo UI"/>
          <w:b/>
          <w:sz w:val="24"/>
        </w:rPr>
        <w:t xml:space="preserve">Step 1: Prerequisites認証完了  </w:t>
      </w:r>
      <w:r>
        <w:rPr>
          <w:rFonts w:ascii="Arial" w:hAnsi="Arial" w:eastAsia="Meiryo UI"/>
          <w:b/>
          <w:color w:val="C00000"/>
          <w:sz w:val="24"/>
        </w:rPr>
        <w:t>【推奨・スキップ可】</w:t>
      </w:r>
    </w:p>
    <w:p>
      <w:pPr>
        <w:pStyle w:val="ListBullet"/>
      </w:pPr>
      <w:r>
        <w:t>• 2つ以上の認証を完了（上記の推奨認証表を参照）</w:t>
      </w:r>
    </w:p>
    <w:p>
      <w:pPr>
        <w:pStyle w:val="ListBullet"/>
      </w:pPr>
      <w:r>
        <w:t>• 最速: GitHub Foundations + Responsible AI（7～11時間）</w:t>
      </w:r>
    </w:p>
    <w:p>
      <w:pPr>
        <w:pStyle w:val="ListBullet"/>
      </w:pPr>
      <w:r>
        <w:t>• 最有用: Azure AI-900 + GitHub Foundations（10～16時間）</w:t>
      </w:r>
    </w:p>
    <w:p/>
    <w:p>
      <w:r>
        <w:rPr>
          <w:rFonts w:ascii="Arial" w:hAnsi="Arial" w:eastAsia="Meiryo UI"/>
          <w:b/>
          <w:sz w:val="24"/>
        </w:rPr>
        <w:t xml:space="preserve">Step 2: GitHub EMU + Pull Request提出  </w:t>
      </w:r>
      <w:r>
        <w:rPr>
          <w:rFonts w:ascii="Arial" w:hAnsi="Arial" w:eastAsia="Meiryo UI"/>
          <w:b/>
          <w:color w:val="C00000"/>
          <w:sz w:val="24"/>
        </w:rPr>
        <w:t>【必須】</w:t>
      </w:r>
    </w:p>
    <w:p>
      <w:r>
        <w:t xml:space="preserve">• </w:t>
      </w:r>
      <w:hyperlink r:id="rId12">
        <w:r>
          <w:rPr>
            <w:color w:val="0000FF"/>
            <w:u w:val="single"/>
          </w:rPr>
          <w:t>GitHub EMU</w:t>
        </w:r>
      </w:hyperlink>
      <w:r>
        <w:t xml:space="preserve"> にオンボーディング完了</w:t>
      </w:r>
    </w:p>
    <w:p>
      <w:pPr>
        <w:pStyle w:val="ListBullet"/>
      </w:pPr>
      <w:r>
        <w:t>• 任意のリポジトリに最低1つのPull Requestを提出</w:t>
      </w:r>
    </w:p>
    <w:p>
      <w:pPr>
        <w:pStyle w:val="ListBullet"/>
      </w:pPr>
      <w:r>
        <w:t>• 所要時間: 1～2時間</w:t>
      </w:r>
    </w:p>
    <w:p/>
    <w:p>
      <w:r>
        <w:rPr>
          <w:rFonts w:ascii="Arial" w:hAnsi="Arial" w:eastAsia="Meiryo UI"/>
          <w:b/>
          <w:sz w:val="24"/>
        </w:rPr>
        <w:t xml:space="preserve">Step 3: Learning Path完了  </w:t>
      </w:r>
      <w:r>
        <w:rPr>
          <w:rFonts w:ascii="Arial" w:hAnsi="Arial" w:eastAsia="Meiryo UI"/>
          <w:b/>
          <w:color w:val="C00000"/>
          <w:sz w:val="24"/>
        </w:rPr>
        <w:t>【必須・二択一】</w:t>
      </w:r>
    </w:p>
    <w:p/>
    <w:p>
      <w:pPr>
        <w:pStyle w:val="Heading4"/>
      </w:pPr>
      <w:r>
        <w:rPr>
          <w:rFonts w:ascii="Arial" w:hAnsi="Arial" w:eastAsia="Meiryo UI"/>
        </w:rPr>
        <w:t>選択肢A: Developer Learning Path（開発者向け）</w:t>
      </w:r>
    </w:p>
    <w:p>
      <w:r>
        <w:t xml:space="preserve">Program ID: </w:t>
      </w:r>
      <w:hyperlink r:id="rId20">
        <w:r>
          <w:rPr>
            <w:color w:val="0000FF"/>
            <w:u w:val="single"/>
          </w:rPr>
          <w:t>GX25_CFS_DDF_AI_BLDG_WB_D_PRO</w:t>
        </w:r>
      </w:hyperlink>
    </w:p>
    <w:p>
      <w:pPr>
        <w:pStyle w:val="ListBullet"/>
      </w:pPr>
      <w:r>
        <w:t>• 総時間: 約5.3時間（318分）</w:t>
      </w:r>
    </w:p>
    <w:p>
      <w:pPr>
        <w:pStyle w:val="ListBullet"/>
      </w:pPr>
      <w:r>
        <w:t>• 9モジュール: Intro / AI Productivity / Inference API / Completion API / RAG（2部）/ Feature Flags / Design / Resources</w:t>
      </w:r>
    </w:p>
    <w:p>
      <w:pPr>
        <w:pStyle w:val="ListBullet"/>
      </w:pPr>
      <w:r>
        <w:t xml:space="preserve">• </w:t>
      </w:r>
      <w:r>
        <w:rPr>
          <w:b/>
          <w:color w:val="C00000"/>
        </w:rPr>
        <w:t>重点: モジュール2・9の部署モード確認</w:t>
      </w:r>
    </w:p>
    <w:p/>
    <w:p>
      <w:pPr>
        <w:pStyle w:val="Heading4"/>
      </w:pPr>
      <w:r>
        <w:rPr>
          <w:rFonts w:ascii="Arial" w:hAnsi="Arial" w:eastAsia="Meiryo UI"/>
        </w:rPr>
        <w:t>選択肢B: Product Management Learning Path（PM向け）</w:t>
      </w:r>
    </w:p>
    <w:p>
      <w:r>
        <w:t xml:space="preserve">Program ID: </w:t>
      </w:r>
      <w:hyperlink r:id="rId21">
        <w:r>
          <w:rPr>
            <w:color w:val="0000FF"/>
            <w:u w:val="single"/>
          </w:rPr>
          <w:t>GX25_CFS_DDF_AI_BLDG_WB_PM_PRO</w:t>
        </w:r>
      </w:hyperlink>
    </w:p>
    <w:p>
      <w:pPr>
        <w:pStyle w:val="ListBullet"/>
      </w:pPr>
      <w:r>
        <w:t>• 総時間: 約5.0時間（301分）</w:t>
      </w:r>
    </w:p>
    <w:p>
      <w:pPr>
        <w:pStyle w:val="ListBullet"/>
      </w:pPr>
      <w:r>
        <w:t>• 9モジュール: Intro / Panel / AI Productivity / Why Workbench / IP Strategy / Microsoft Keynote / Migration / Feature Request / Support</w:t>
      </w:r>
    </w:p>
    <w:p/>
    <w:p>
      <w:r>
        <w:rPr>
          <w:b/>
        </w:rPr>
        <w:t xml:space="preserve">⚠️ 重要: </w:t>
      </w:r>
      <w:r>
        <w:t>ビデオを95%以上視聴すること。完了ステータスは</w:t>
      </w:r>
      <w:r>
        <w:rPr>
          <w:b/>
          <w:color w:val="C00000"/>
        </w:rPr>
        <w:t>24～48時間後</w:t>
      </w:r>
      <w:r>
        <w:t>にシステムに反映されます。</w:t>
      </w:r>
    </w:p>
    <w:p/>
    <w:p>
      <w:r>
        <w:rPr>
          <w:rFonts w:ascii="Arial" w:hAnsi="Arial" w:eastAsia="Meiryo UI"/>
          <w:b/>
          <w:sz w:val="24"/>
        </w:rPr>
        <w:t xml:space="preserve">Step 4: Knowledge Badge Assessment合格  </w:t>
      </w:r>
      <w:r>
        <w:rPr>
          <w:rFonts w:ascii="Arial" w:hAnsi="Arial" w:eastAsia="Meiryo UI"/>
          <w:b/>
          <w:color w:val="C00000"/>
          <w:sz w:val="24"/>
        </w:rPr>
        <w:t>【必須】</w:t>
      </w:r>
    </w:p>
    <w:p>
      <w:pPr>
        <w:pStyle w:val="ListBullet"/>
      </w:pPr>
      <w:r>
        <w:t>• 全モジュール完了後、Assessment（試験）を受験</w:t>
      </w:r>
    </w:p>
    <w:p>
      <w:pPr>
        <w:pStyle w:val="ListBullet"/>
      </w:pPr>
      <w:r>
        <w:t>• 形式: 選択式問題（予想: 20～50問、30～60分）</w:t>
      </w:r>
    </w:p>
    <w:p>
      <w:pPr>
        <w:pStyle w:val="ListBullet"/>
      </w:pPr>
      <w:r>
        <w:t>• 合格基準: 70～80%以上</w:t>
      </w:r>
    </w:p>
    <w:p/>
    <w:p>
      <w:r>
        <w:rPr>
          <w:rFonts w:ascii="Arial" w:hAnsi="Arial" w:eastAsia="Meiryo UI"/>
          <w:b/>
          <w:sz w:val="24"/>
        </w:rPr>
        <w:t xml:space="preserve">Step 5: API Key取得  </w:t>
      </w:r>
      <w:r>
        <w:rPr>
          <w:rFonts w:ascii="Arial" w:hAnsi="Arial" w:eastAsia="Meiryo UI"/>
          <w:b/>
          <w:color w:val="C00000"/>
          <w:sz w:val="24"/>
        </w:rPr>
        <w:t>【必須】</w:t>
      </w:r>
    </w:p>
    <w:p>
      <w:r>
        <w:t>• Assessment合格後、</w:t>
      </w:r>
      <w:hyperlink r:id="rId22">
        <w:r>
          <w:rPr>
            <w:color w:val="0000FF"/>
            <w:u w:val="single"/>
          </w:rPr>
          <w:t>Developer Onboarding Request Form</w:t>
        </w:r>
      </w:hyperlink>
      <w:r>
        <w:t xml:space="preserve"> からAPIキーをリクエスト</w:t>
      </w:r>
    </w:p>
    <w:p>
      <w:pPr>
        <w:pStyle w:val="ListBullet"/>
      </w:pPr>
      <w:r>
        <w:t>• 添付必須: Badge証明書 + Member Firm承認者のメール</w:t>
      </w:r>
    </w:p>
    <w:p>
      <w:pPr>
        <w:pStyle w:val="ListBullet"/>
      </w:pPr>
      <w:r>
        <w:t>• 発行期間: 2～3営業日</w:t>
      </w:r>
    </w:p>
    <w:p>
      <w:r>
        <w:br w:type="page"/>
      </w:r>
    </w:p>
    <w:p>
      <w:pPr>
        <w:pStyle w:val="Heading2"/>
      </w:pPr>
      <w:r>
        <w:rPr>
          <w:rFonts w:ascii="Arial" w:hAnsi="Arial" w:eastAsia="Meiryo UI"/>
        </w:rPr>
        <w:t>0.3 時間コスト評価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学習モジュール</w:t>
            </w:r>
          </w:p>
        </w:tc>
        <w:tc>
          <w:tcPr>
            <w:tcW w:type="dxa" w:w="2880"/>
          </w:tcPr>
          <w:p>
            <w:r>
              <w:t>予定時間</w:t>
            </w:r>
          </w:p>
        </w:tc>
        <w:tc>
          <w:tcPr>
            <w:tcW w:type="dxa" w:w="2880"/>
          </w:tcPr>
          <w:p>
            <w:r>
              <w:t>実際の時間</w:t>
            </w:r>
          </w:p>
        </w:tc>
      </w:tr>
      <w:tr>
        <w:tc>
          <w:tcPr>
            <w:tcW w:type="dxa" w:w="2880"/>
          </w:tcPr>
          <w:p>
            <w:r>
              <w:t>事前要件（GitHub EMU等）</w:t>
            </w:r>
          </w:p>
        </w:tc>
        <w:tc>
          <w:tcPr>
            <w:tcW w:type="dxa" w:w="2880"/>
          </w:tcPr>
          <w:p>
            <w:r>
              <w:t>___時間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Developer / PM Learning Path</w:t>
            </w:r>
          </w:p>
        </w:tc>
        <w:tc>
          <w:tcPr>
            <w:tcW w:type="dxa" w:w="2880"/>
          </w:tcPr>
          <w:p>
            <w:r>
              <w:t>5～5.3時間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Assessment/Badge</w:t>
            </w:r>
          </w:p>
        </w:tc>
        <w:tc>
          <w:tcPr>
            <w:tcW w:type="dxa" w:w="2880"/>
          </w:tcPr>
          <w:p>
            <w:r>
              <w:t>___時間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合計</w:t>
            </w:r>
          </w:p>
        </w:tc>
        <w:tc>
          <w:tcPr>
            <w:tcW w:type="dxa" w:w="2880"/>
          </w:tcPr>
          <w:p>
            <w:r>
              <w:t>___時間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1. 技術能力と効率評価</w:t>
      </w:r>
    </w:p>
    <w:p>
      <w:pPr>
        <w:pStyle w:val="Heading2"/>
      </w:pPr>
      <w:r>
        <w:t>1.1 技術スタック互換性</w:t>
      </w:r>
    </w:p>
    <w:p>
      <w:pPr>
        <w:pStyle w:val="Heading3"/>
      </w:pPr>
      <w:r>
        <w:t>デザインシステム (Design Systems)</w:t>
      </w:r>
    </w:p>
    <w:p>
      <w:r>
        <w:t xml:space="preserve">参考: </w:t>
      </w:r>
      <w:hyperlink r:id="rId23">
        <w:r>
          <w:rPr>
            <w:color w:val="0000FF"/>
            <w:u w:val="single"/>
          </w:rPr>
          <w:t>Design Systems for KPMG Workbench</w:t>
        </w:r>
      </w:hyperlink>
    </w:p>
    <w:p>
      <w:r>
        <w:t>既存UIフレームワークとの互換性: ___</w:t>
        <w:br/>
      </w:r>
    </w:p>
    <w:p>
      <w:r>
        <w:t>移行コスト評価: ___</w:t>
        <w:br/>
      </w:r>
    </w:p>
    <w:p>
      <w:pPr>
        <w:pStyle w:val="Heading3"/>
      </w:pPr>
      <w:r>
        <w:t>開発プロセス (SDLC)</w:t>
      </w:r>
    </w:p>
    <w:p>
      <w:r>
        <w:t xml:space="preserve">参考: </w:t>
      </w:r>
      <w:hyperlink r:id="rId24">
        <w:r>
          <w:rPr>
            <w:color w:val="0000FF"/>
            <w:u w:val="single"/>
          </w:rPr>
          <w:t>Software Development Lifecycle</w:t>
        </w:r>
      </w:hyperlink>
    </w:p>
    <w:p>
      <w:r>
        <w:t>既存ワークフローとの競合点: ___</w:t>
        <w:br/>
      </w:r>
    </w:p>
    <w:p>
      <w:r>
        <w:t>CI/CDプロセス比較: ___</w:t>
        <w:br/>
      </w:r>
    </w:p>
    <w:p>
      <w:pPr>
        <w:pStyle w:val="Heading3"/>
      </w:pPr>
      <w:r>
        <w:t>セキュリティ規範 (Secret Management)</w:t>
      </w:r>
    </w:p>
    <w:p>
      <w:r>
        <w:t xml:space="preserve">参考: </w:t>
      </w:r>
      <w:hyperlink r:id="rId25">
        <w:r>
          <w:rPr>
            <w:color w:val="0000FF"/>
            <w:u w:val="single"/>
          </w:rPr>
          <w:t>Secret Management Best Practices</w:t>
        </w:r>
      </w:hyperlink>
    </w:p>
    <w:p>
      <w:r>
        <w:t>既存ソリューションとの優劣: ___</w:t>
        <w:br/>
      </w:r>
    </w:p>
    <w:p>
      <w:r>
        <w:t>GitHub EMU認証プロセスの複雑度: ___</w:t>
        <w:br/>
      </w:r>
    </w:p>
    <w:p>
      <w:pPr>
        <w:pStyle w:val="Heading2"/>
      </w:pPr>
      <w:r>
        <w:t>1.2 使いやすさと学習曲線</w:t>
      </w:r>
    </w:p>
    <w:p>
      <w:r>
        <w:t xml:space="preserve">参考: </w:t>
      </w:r>
      <w:hyperlink r:id="rId26">
        <w:r>
          <w:rPr>
            <w:color w:val="0000FF"/>
            <w:u w:val="single"/>
          </w:rPr>
          <w:t>KPMG Workbench User Guide</w:t>
        </w:r>
      </w:hyperlink>
    </w:p>
    <w:p>
      <w:r>
        <w:t>開発者体験(DX)スコア: ___/10</w:t>
        <w:br/>
      </w:r>
    </w:p>
    <w:p>
      <w:r>
        <w:t>ドキュメント完全性スコア: ___/10</w:t>
        <w:br/>
      </w:r>
    </w:p>
    <w:p>
      <w:r>
        <w:t>Hello Worldプロジェクト設定時間: ___時間</w:t>
        <w:br/>
      </w:r>
    </w:p>
    <w:p>
      <w:pPr>
        <w:pStyle w:val="Heading2"/>
      </w:pPr>
      <w:r>
        <w:t>1.3 機能と制限</w:t>
      </w:r>
    </w:p>
    <w:p>
      <w:r>
        <w:t>【プリインストールツールリスト】</w:t>
        <w:br/>
      </w:r>
    </w:p>
    <w:p>
      <w:r>
        <w:t>【既存環境と比較した新機能】</w:t>
        <w:br/>
      </w:r>
    </w:p>
    <w:p>
      <w:r>
        <w:t>【リソースアクセスの利便性】</w:t>
        <w:br/>
      </w:r>
    </w:p>
    <w:p>
      <w:r>
        <w:t>【クォータ制限とコスト】</w:t>
        <w:br/>
      </w:r>
    </w:p>
    <w:p>
      <w:r>
        <w:t>【最大の弱点】</w:t>
        <w:br/>
      </w:r>
    </w:p>
    <w:p>
      <w:pPr>
        <w:pStyle w:val="Heading2"/>
      </w:pPr>
      <w:r>
        <w:t>1.4 開発効率向上(定量化可能)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テスト項目</w:t>
            </w:r>
          </w:p>
        </w:tc>
        <w:tc>
          <w:tcPr>
            <w:tcW w:type="dxa" w:w="2160"/>
          </w:tcPr>
          <w:p>
            <w:r>
              <w:t>既存プロセス</w:t>
            </w:r>
          </w:p>
        </w:tc>
        <w:tc>
          <w:tcPr>
            <w:tcW w:type="dxa" w:w="2160"/>
          </w:tcPr>
          <w:p>
            <w:r>
              <w:t>Workbench</w:t>
            </w:r>
          </w:p>
        </w:tc>
        <w:tc>
          <w:tcPr>
            <w:tcW w:type="dxa" w:w="2160"/>
          </w:tcPr>
          <w:p>
            <w:r>
              <w:t>向上率</w:t>
            </w:r>
          </w:p>
        </w:tc>
      </w:tr>
      <w:tr>
        <w:tc>
          <w:tcPr>
            <w:tcW w:type="dxa" w:w="2160"/>
          </w:tcPr>
          <w:p>
            <w:r>
              <w:t>RAG Chatbot Demo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コードから展開まで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バグ修正効率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2. Agentic AI核心能力評価 🔥</w:t>
      </w:r>
    </w:p>
    <w:p>
      <w:r>
        <w:t>【重要性】これはWorkbenchのコア競争力です!</w:t>
      </w:r>
    </w:p>
    <w:p>
      <w:pPr>
        <w:pStyle w:val="Heading2"/>
      </w:pPr>
      <w:r>
        <w:t>2.1 戦略的背景</w:t>
      </w:r>
    </w:p>
    <w:p>
      <w:r>
        <w:t xml:space="preserve">KPMG公式ポジショニング参考: </w:t>
      </w:r>
      <w:hyperlink r:id="rId27">
        <w:r>
          <w:rPr>
            <w:color w:val="0000FF"/>
            <w:u w:val="single"/>
          </w:rPr>
          <w:t>The Agentic AI Advantageホワイトペーパー</w:t>
        </w:r>
      </w:hyperlink>
    </w:p>
    <w:p>
      <w:pPr>
        <w:pStyle w:val="Heading2"/>
      </w:pPr>
      <w:r>
        <w:t>2.2 Agent開発能力テスト</w:t>
      </w:r>
    </w:p>
    <w:p>
      <w:r>
        <w:t>【Agentフレームワークのサポート有無】</w:t>
        <w:br/>
      </w:r>
    </w:p>
    <w:p>
      <w:r>
        <w:t>【プリセットAgentテンプレート】</w:t>
        <w:br/>
      </w:r>
    </w:p>
    <w:p>
      <w:r>
        <w:t>【LangChain/AutoGPT/CrewAIとの比較優位性】</w:t>
        <w:br/>
      </w:r>
    </w:p>
    <w:p>
      <w:pPr>
        <w:pStyle w:val="Heading2"/>
      </w:pPr>
      <w:r>
        <w:t>2.3 実際のシナリオテスト (必須!)</w:t>
      </w:r>
    </w:p>
    <w:p>
      <w:r>
        <w:t>テストタスク: [例: 自動監査Agent]</w:t>
        <w:br/>
      </w:r>
    </w:p>
    <w:p>
      <w:r>
        <w:t>開発時間: ___時間</w:t>
        <w:br/>
      </w:r>
    </w:p>
    <w:p>
      <w:r>
        <w:t>Agent精度: ___%</w:t>
        <w:br/>
      </w:r>
    </w:p>
    <w:p>
      <w:r>
        <w:t>統合難易度: ___</w:t>
        <w:br/>
      </w:r>
    </w:p>
    <w:p>
      <w:pPr>
        <w:pStyle w:val="Heading2"/>
      </w:pPr>
      <w:r>
        <w:t>2.4 ナレッジベース統合</w:t>
      </w:r>
    </w:p>
    <w:p>
      <w:r>
        <w:t>【RAG能力】</w:t>
        <w:br/>
      </w:r>
    </w:p>
    <w:p>
      <w:r>
        <w:t>【KPMGナレッジベースとの統合】</w:t>
        <w:br/>
      </w:r>
    </w:p>
    <w:p>
      <w:pPr>
        <w:pStyle w:val="Heading2"/>
      </w:pPr>
      <w:r>
        <w:t>2.5 マルチAgent協調</w:t>
      </w:r>
    </w:p>
    <w:p>
      <w:r>
        <w:t>【マルチAgentサポート有無】</w:t>
        <w:br/>
      </w:r>
    </w:p>
    <w:p>
      <w:r>
        <w:t>【Orchestrationメカニズム】</w:t>
        <w:br/>
      </w:r>
    </w:p>
    <w:p>
      <w:r>
        <w:br w:type="page"/>
      </w:r>
    </w:p>
    <w:p>
      <w:pPr>
        <w:pStyle w:val="Heading1"/>
      </w:pPr>
      <w:r>
        <w:t>3. 商業価値と顧客応用</w:t>
      </w:r>
    </w:p>
    <w:p>
      <w:pPr>
        <w:pStyle w:val="Heading2"/>
      </w:pPr>
      <w:r>
        <w:t>3.1 Demo環境の価値</w:t>
      </w:r>
    </w:p>
    <w:p>
      <w:r>
        <w:t>【プリセールス加速】</w:t>
        <w:br/>
      </w:r>
    </w:p>
    <w:p>
      <w:r>
        <w:t>Demo開発時間比較: [X週] → [Y日]</w:t>
        <w:br/>
      </w:r>
    </w:p>
    <w:p>
      <w:r>
        <w:t>【提案競争力向上】</w:t>
        <w:br/>
      </w:r>
    </w:p>
    <w:p>
      <w:r>
        <w:t>【カスタマイズ能力】</w:t>
        <w:br/>
      </w:r>
    </w:p>
    <w:p>
      <w:pPr>
        <w:pStyle w:val="Heading2"/>
      </w:pPr>
      <w:r>
        <w:t>3.2 社内サービス開発</w:t>
      </w:r>
    </w:p>
    <w:p>
      <w:r>
        <w:t>【開発可能な社内ツールリスト】</w:t>
        <w:br/>
      </w:r>
    </w:p>
    <w:p>
      <w:r>
        <w:t>【既存システムとの統合難易度】</w:t>
        <w:br/>
      </w:r>
    </w:p>
    <w:p>
      <w:r>
        <w:t>【ナレッジ蓄積メカニズム】</w:t>
        <w:br/>
      </w:r>
    </w:p>
    <w:p>
      <w:pPr>
        <w:pStyle w:val="Heading2"/>
      </w:pPr>
      <w:r>
        <w:t>3.3 顧客プロジェクト境界と移行コスト (リスク!)</w:t>
      </w:r>
    </w:p>
    <w:p>
      <w:r>
        <w:t>【「顧客サービスに使用不可」の境界】</w:t>
        <w:br/>
      </w:r>
    </w:p>
    <w:p>
      <w:r>
        <w:t>Demo → 本番環境移行コスト: ___%</w:t>
        <w:br/>
      </w:r>
    </w:p>
    <w:p>
      <w:r>
        <w:t>【データ分離リスク】</w:t>
        <w:br/>
      </w:r>
    </w:p>
    <w:p>
      <w:r>
        <w:t>【コンプライアンス保証】</w:t>
        <w:br/>
      </w:r>
    </w:p>
    <w:p>
      <w:r>
        <w:br w:type="page"/>
      </w:r>
    </w:p>
    <w:p>
      <w:pPr>
        <w:pStyle w:val="Heading1"/>
      </w:pPr>
      <w:r>
        <w:t>4. 学習資源とコミュニティサポート評価</w:t>
      </w:r>
    </w:p>
    <w:p>
      <w:pPr>
        <w:pStyle w:val="Heading2"/>
      </w:pPr>
      <w:r>
        <w:t>4.1 公式学習資源品質</w:t>
      </w:r>
    </w:p>
    <w:p>
      <w:r>
        <w:t>【Tech Talksシリーズ (2025年4-6月)】</w:t>
        <w:br/>
      </w:r>
    </w:p>
    <w:p>
      <w:r>
        <w:t>最も価値のあるエピソード: ___</w:t>
        <w:br/>
      </w:r>
    </w:p>
    <w:p>
      <w:r>
        <w:t>【Developers Conference録画 (2024年11月)】</w:t>
        <w:br/>
      </w:r>
    </w:p>
    <w:p>
      <w:r>
        <w:t>【ドキュメント完全性】</w:t>
        <w:br/>
      </w:r>
    </w:p>
    <w:p>
      <w:pPr>
        <w:pStyle w:val="Heading2"/>
      </w:pPr>
      <w:r>
        <w:t>4.2 コミュニティとサポート</w:t>
      </w:r>
    </w:p>
    <w:p>
      <w:r>
        <w:t>技術サポート対応時間: ___時間</w:t>
        <w:br/>
      </w:r>
    </w:p>
    <w:p>
      <w:r>
        <w:t>【Slack/Teamsチャンネルアクティビティ】</w:t>
        <w:br/>
      </w:r>
    </w:p>
    <w:p>
      <w:r>
        <w:t xml:space="preserve">【Championsネットワーク】参考: </w:t>
      </w:r>
      <w:hyperlink r:id="rId28">
        <w:r>
          <w:rPr>
            <w:color w:val="0000FF"/>
            <w:u w:val="single"/>
          </w:rPr>
          <w:t>Global AI Ninjas and Navigators</w:t>
        </w:r>
      </w:hyperlink>
    </w:p>
    <w:p>
      <w:pPr>
        <w:pStyle w:val="Heading2"/>
      </w:pPr>
      <w:r>
        <w:t>4.3 外部リソース</w:t>
      </w:r>
    </w:p>
    <w:p>
      <w:r>
        <w:t xml:space="preserve">ホワイトペーパー価値: </w:t>
      </w:r>
      <w:hyperlink r:id="rId29">
        <w:r>
          <w:rPr>
            <w:color w:val="0000FF"/>
            <w:u w:val="single"/>
          </w:rPr>
          <w:t>AI Adoption in the Workplace</w:t>
        </w:r>
      </w:hyperlink>
    </w:p>
    <w:p/>
    <w:p>
      <w:r>
        <w:t xml:space="preserve">Podcast価値: </w:t>
      </w:r>
      <w:hyperlink r:id="rId30">
        <w:r>
          <w:rPr>
            <w:color w:val="0000FF"/>
            <w:u w:val="single"/>
          </w:rPr>
          <w:t>You Can with AI Podcast</w:t>
        </w:r>
      </w:hyperlink>
    </w:p>
    <w:p>
      <w:r>
        <w:br w:type="page"/>
      </w:r>
    </w:p>
    <w:p>
      <w:pPr>
        <w:pStyle w:val="Heading1"/>
      </w:pPr>
      <w:r>
        <w:t>5. 戦略価値と組織影響</w:t>
      </w:r>
    </w:p>
    <w:p>
      <w:pPr>
        <w:pStyle w:val="Heading2"/>
      </w:pPr>
      <w:r>
        <w:t>5.1 KPMG AIビジョンとの整合性</w:t>
      </w:r>
    </w:p>
    <w:p>
      <w:r>
        <w:t xml:space="preserve">参考: </w:t>
      </w:r>
      <w:hyperlink r:id="rId31">
        <w:r>
          <w:rPr>
            <w:color w:val="0000FF"/>
            <w:u w:val="single"/>
          </w:rPr>
          <w:t>KPMG Global AI戦略</w:t>
        </w:r>
      </w:hyperlink>
    </w:p>
    <w:p/>
    <w:p>
      <w:r>
        <w:t xml:space="preserve">Trusted AI原則: </w:t>
      </w:r>
      <w:hyperlink r:id="rId32">
        <w:r>
          <w:rPr>
            <w:color w:val="0000FF"/>
            <w:u w:val="single"/>
          </w:rPr>
          <w:t>Trusted AI Principles</w:t>
        </w:r>
      </w:hyperlink>
    </w:p>
    <w:p>
      <w:r>
        <w:t>【AI Backboneポジショニング価値】</w:t>
        <w:br/>
      </w:r>
    </w:p>
    <w:p>
      <w:r>
        <w:t>【Championsケースになる可能性】</w:t>
        <w:br/>
      </w:r>
    </w:p>
    <w:p>
      <w:pPr>
        <w:pStyle w:val="Heading2"/>
      </w:pPr>
      <w:r>
        <w:t>5.2 チーム横断協力機会</w:t>
      </w:r>
    </w:p>
    <w:p>
      <w:r>
        <w:t>【ナレッジ共有メカニズム】</w:t>
        <w:br/>
      </w:r>
    </w:p>
    <w:p>
      <w:r>
        <w:t>【リソース再利用可能性】</w:t>
        <w:br/>
      </w:r>
    </w:p>
    <w:p>
      <w:pPr>
        <w:pStyle w:val="Heading2"/>
      </w:pPr>
      <w:r>
        <w:t>5.3 チームブランドとキャリア開発</w:t>
      </w:r>
    </w:p>
    <w:p>
      <w:r>
        <w:t>【社内可視性向上】</w:t>
        <w:br/>
      </w:r>
    </w:p>
    <w:p>
      <w:r>
        <w:t>【個人成長機会】</w:t>
        <w:br/>
      </w:r>
    </w:p>
    <w:p>
      <w:r>
        <w:br w:type="page"/>
      </w:r>
    </w:p>
    <w:p>
      <w:pPr>
        <w:pStyle w:val="Heading1"/>
      </w:pPr>
      <w:r>
        <w:t>6. リスクとコンプライアンス評価 ⚠️</w:t>
      </w:r>
    </w:p>
    <w:p>
      <w:pPr>
        <w:pStyle w:val="Heading2"/>
      </w:pPr>
      <w:r>
        <w:t>6.1 データセキュリティと分離リスク</w:t>
      </w:r>
    </w:p>
    <w:p>
      <w:r>
        <w:t>【データ漏洩リスク】</w:t>
        <w:br/>
      </w:r>
    </w:p>
    <w:p>
      <w:r>
        <w:t>【マルチテナント分離メカニズム】</w:t>
        <w:br/>
      </w:r>
    </w:p>
    <w:p>
      <w:r>
        <w:t>【アクセス制御粒度】</w:t>
        <w:br/>
      </w:r>
    </w:p>
    <w:p>
      <w:pPr>
        <w:pStyle w:val="Heading2"/>
      </w:pPr>
      <w:r>
        <w:t>6.2 技術依存とロックインリスク</w:t>
      </w:r>
    </w:p>
    <w:p>
      <w:r>
        <w:t>【プラットフォームロックインリスク】</w:t>
        <w:br/>
      </w:r>
    </w:p>
    <w:p>
      <w:r>
        <w:t>移行コスト評価: ___</w:t>
        <w:br/>
      </w:r>
    </w:p>
    <w:p>
      <w:r>
        <w:t>【スキル移転性】</w:t>
        <w:br/>
      </w:r>
    </w:p>
    <w:p>
      <w:pPr>
        <w:pStyle w:val="Heading2"/>
      </w:pPr>
      <w:r>
        <w:t>6.3 コンプライアンスと監査</w:t>
      </w:r>
    </w:p>
    <w:p>
      <w:r>
        <w:t>【GDPR/データ主権コンプライアンス】</w:t>
        <w:br/>
      </w:r>
    </w:p>
    <w:p>
      <w:r>
        <w:t>【監査ログ完全性】</w:t>
        <w:br/>
      </w:r>
    </w:p>
    <w:p>
      <w:pPr>
        <w:pStyle w:val="Heading2"/>
      </w:pPr>
      <w:r>
        <w:t>6.4 コストリスク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コスト項目</w:t>
            </w:r>
          </w:p>
        </w:tc>
        <w:tc>
          <w:tcPr>
            <w:tcW w:type="dxa" w:w="2880"/>
          </w:tcPr>
          <w:p>
            <w:r>
              <w:t>予想金額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ライセンス費用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コンピューティングコスト(GPU)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トレーニングコスト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合計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t>【機会コスト】</w:t>
        <w:br/>
      </w:r>
    </w:p>
    <w:p>
      <w:r>
        <w:br w:type="page"/>
      </w:r>
    </w:p>
    <w:p>
      <w:pPr>
        <w:pStyle w:val="Heading1"/>
      </w:pPr>
      <w:r>
        <w:t>7. チーム推進と運営考慮</w:t>
      </w:r>
    </w:p>
    <w:p>
      <w:pPr>
        <w:pStyle w:val="Heading2"/>
      </w:pPr>
      <w:r>
        <w:t>7.1 チーム適合性</w:t>
      </w:r>
    </w:p>
    <w:p>
      <w:r>
        <w:t>迅速に習得できるメンバーの割合: ___%</w:t>
        <w:br/>
      </w:r>
    </w:p>
    <w:p>
      <w:r>
        <w:t>【トレーニングニーズとコスト】</w:t>
        <w:br/>
      </w:r>
    </w:p>
    <w:p>
      <w:r>
        <w:t>【ワークロード影響】</w:t>
        <w:br/>
      </w:r>
    </w:p>
    <w:p>
      <w:pPr>
        <w:pStyle w:val="Heading2"/>
      </w:pPr>
      <w:r>
        <w:t>7.2 コストと収益(ROI)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指標</w:t>
            </w:r>
          </w:p>
        </w:tc>
        <w:tc>
          <w:tcPr>
            <w:tcW w:type="dxa" w:w="2880"/>
          </w:tcPr>
          <w:p>
            <w:r>
              <w:t>現状</w:t>
            </w:r>
          </w:p>
        </w:tc>
        <w:tc>
          <w:tcPr>
            <w:tcW w:type="dxa" w:w="2880"/>
          </w:tcPr>
          <w:p>
            <w:r>
              <w:t>Workbench使用後</w:t>
            </w:r>
          </w:p>
        </w:tc>
      </w:tr>
      <w:tr>
        <w:tc>
          <w:tcPr>
            <w:tcW w:type="dxa" w:w="2880"/>
          </w:tcPr>
          <w:p>
            <w:r>
              <w:t>Demo開発時間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プロジェクト受注率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チームモラール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ナレッジ蓄積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7.3 Go/No-Go決定基準 🎯</w:t>
      </w:r>
    </w:p>
    <w:p>
      <w:pPr>
        <w:pStyle w:val="Heading3"/>
      </w:pPr>
      <w:r>
        <w:t>全面展開条件 ✅</w:t>
      </w:r>
    </w:p>
    <w:p>
      <w:pPr>
        <w:pStyle w:val="ListBullet"/>
      </w:pPr>
      <w:r>
        <w:t>☐ 個人認証完了時間 &lt; 20時間</w:t>
      </w:r>
    </w:p>
    <w:p>
      <w:pPr>
        <w:pStyle w:val="ListBullet"/>
      </w:pPr>
      <w:r>
        <w:t>☐ Demo開発速度向上 &gt; 30%</w:t>
      </w:r>
    </w:p>
    <w:p>
      <w:pPr>
        <w:pStyle w:val="ListBullet"/>
      </w:pPr>
      <w:r>
        <w:t>☐ 少なくとも1つのPoCが顧客から好評</w:t>
      </w:r>
    </w:p>
    <w:p>
      <w:pPr>
        <w:pStyle w:val="ListBullet"/>
      </w:pPr>
      <w:r>
        <w:t>☐ 技術サポート対応時間 &lt; 24時間</w:t>
      </w:r>
    </w:p>
    <w:p>
      <w:pPr>
        <w:pStyle w:val="ListBullet"/>
      </w:pPr>
      <w:r>
        <w:t>☐ データ分離がセキュリティ審査を通過</w:t>
      </w:r>
    </w:p>
    <w:p>
      <w:pPr>
        <w:pStyle w:val="ListBullet"/>
      </w:pPr>
      <w:r>
        <w:t>☐ チーム &gt; 70%が学習価値があると認識</w:t>
      </w:r>
    </w:p>
    <w:p>
      <w:pPr>
        <w:pStyle w:val="Heading3"/>
      </w:pPr>
      <w:r>
        <w:t>展開延期条件 ❌</w:t>
      </w:r>
    </w:p>
    <w:p>
      <w:pPr>
        <w:pStyle w:val="ListBullet"/>
      </w:pPr>
      <w:r>
        <w:t>☐ 学習コスト &gt; 1ヶ月フルタイム投入</w:t>
      </w:r>
    </w:p>
    <w:p>
      <w:pPr>
        <w:pStyle w:val="ListBullet"/>
      </w:pPr>
      <w:r>
        <w:t>☐ 分離メカニズム不明確/コンプライアンスリスク有</w:t>
      </w:r>
    </w:p>
    <w:p>
      <w:pPr>
        <w:pStyle w:val="ListBullet"/>
      </w:pPr>
      <w:r>
        <w:t>☐ チーム &lt; 50%が独立開発可能</w:t>
      </w:r>
    </w:p>
    <w:p>
      <w:pPr>
        <w:pStyle w:val="ListBullet"/>
      </w:pPr>
      <w:r>
        <w:t>☐ 移行コスト &gt; 50%開発時間</w:t>
      </w:r>
    </w:p>
    <w:p>
      <w:pPr>
        <w:pStyle w:val="ListBullet"/>
      </w:pPr>
      <w:r>
        <w:t>☐ 公式サポート不足</w:t>
      </w:r>
    </w:p>
    <w:p>
      <w:pPr>
        <w:pStyle w:val="ListBullet"/>
      </w:pPr>
      <w:r>
        <w:t>☐ より良い代替案有</w:t>
      </w:r>
    </w:p>
    <w:p>
      <w:pPr>
        <w:pStyle w:val="Heading2"/>
      </w:pPr>
      <w:r>
        <w:t>7.4 パイロット方案 (Phased Rollout)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段階</w:t>
            </w:r>
          </w:p>
        </w:tc>
        <w:tc>
          <w:tcPr>
            <w:tcW w:type="dxa" w:w="2160"/>
          </w:tcPr>
          <w:p>
            <w:r>
              <w:t>期間</w:t>
            </w:r>
          </w:p>
        </w:tc>
        <w:tc>
          <w:tcPr>
            <w:tcW w:type="dxa" w:w="2160"/>
          </w:tcPr>
          <w:p>
            <w:r>
              <w:t>参加者</w:t>
            </w:r>
          </w:p>
        </w:tc>
        <w:tc>
          <w:tcPr>
            <w:tcW w:type="dxa" w:w="2160"/>
          </w:tcPr>
          <w:p>
            <w:r>
              <w:t>成果物</w:t>
            </w:r>
          </w:p>
        </w:tc>
      </w:tr>
      <w:tr>
        <w:tc>
          <w:tcPr>
            <w:tcW w:type="dxa" w:w="2160"/>
          </w:tcPr>
          <w:p>
            <w:r>
              <w:t>Phase 1: 個人探索</w:t>
            </w:r>
          </w:p>
        </w:tc>
        <w:tc>
          <w:tcPr>
            <w:tcW w:type="dxa" w:w="2160"/>
          </w:tcPr>
          <w:p>
            <w:r>
              <w:t>1ヶ月</w:t>
            </w:r>
          </w:p>
        </w:tc>
        <w:tc>
          <w:tcPr>
            <w:tcW w:type="dxa" w:w="2160"/>
          </w:tcPr>
          <w:p>
            <w:r>
              <w:t>SCレベル1名</w:t>
            </w:r>
          </w:p>
        </w:tc>
        <w:tc>
          <w:tcPr>
            <w:tcW w:type="dxa" w:w="2160"/>
          </w:tcPr>
          <w:p>
            <w:r>
              <w:t>技術評価レポート</w:t>
            </w:r>
          </w:p>
        </w:tc>
      </w:tr>
      <w:tr>
        <w:tc>
          <w:tcPr>
            <w:tcW w:type="dxa" w:w="2160"/>
          </w:tcPr>
          <w:p>
            <w:r>
              <w:t>Phase 2: グループパイロット</w:t>
            </w:r>
          </w:p>
        </w:tc>
        <w:tc>
          <w:tcPr>
            <w:tcW w:type="dxa" w:w="2160"/>
          </w:tcPr>
          <w:p>
            <w:r>
              <w:t>2ヶ月</w:t>
            </w:r>
          </w:p>
        </w:tc>
        <w:tc>
          <w:tcPr>
            <w:tcW w:type="dxa" w:w="2160"/>
          </w:tcPr>
          <w:p>
            <w:r>
              <w:t>SC + 1-2名</w:t>
            </w:r>
          </w:p>
        </w:tc>
        <w:tc>
          <w:tcPr>
            <w:tcW w:type="dxa" w:w="2160"/>
          </w:tcPr>
          <w:p>
            <w:r>
              <w:t>PoC + ROIデータ</w:t>
            </w:r>
          </w:p>
        </w:tc>
      </w:tr>
      <w:tr>
        <w:tc>
          <w:tcPr>
            <w:tcW w:type="dxa" w:w="2160"/>
          </w:tcPr>
          <w:p>
            <w:r>
              <w:t>Phase 3: 決定ポイント</w:t>
            </w:r>
          </w:p>
        </w:tc>
        <w:tc>
          <w:tcPr>
            <w:tcW w:type="dxa" w:w="2160"/>
          </w:tcPr>
          <w:p>
            <w:r>
              <w:t>1週</w:t>
            </w:r>
          </w:p>
        </w:tc>
        <w:tc>
          <w:tcPr>
            <w:tcW w:type="dxa" w:w="2160"/>
          </w:tcPr>
          <w:p>
            <w:r>
              <w:t>管理層</w:t>
            </w:r>
          </w:p>
        </w:tc>
        <w:tc>
          <w:tcPr>
            <w:tcW w:type="dxa" w:w="2160"/>
          </w:tcPr>
          <w:p>
            <w:r>
              <w:t>Go/No-Go決定</w:t>
            </w:r>
          </w:p>
        </w:tc>
      </w:tr>
      <w:tr>
        <w:tc>
          <w:tcPr>
            <w:tcW w:type="dxa" w:w="2160"/>
          </w:tcPr>
          <w:p>
            <w:r>
              <w:t>Phase 4: 全面展開</w:t>
            </w:r>
          </w:p>
        </w:tc>
        <w:tc>
          <w:tcPr>
            <w:tcW w:type="dxa" w:w="2160"/>
          </w:tcPr>
          <w:p>
            <w:r>
              <w:t>3ヶ月</w:t>
            </w:r>
          </w:p>
        </w:tc>
        <w:tc>
          <w:tcPr>
            <w:tcW w:type="dxa" w:w="2160"/>
          </w:tcPr>
          <w:p>
            <w:r>
              <w:t>全チーム</w:t>
            </w:r>
          </w:p>
        </w:tc>
        <w:tc>
          <w:tcPr>
            <w:tcW w:type="dxa" w:w="2160"/>
          </w:tcPr>
          <w:p>
            <w:r>
              <w:t>トレーニング完了+継続最適化</w:t>
            </w:r>
          </w:p>
        </w:tc>
      </w:tr>
    </w:tbl>
    <w:p>
      <w:r>
        <w:br w:type="page"/>
      </w:r>
    </w:p>
    <w:p>
      <w:pPr>
        <w:pStyle w:val="Heading1"/>
      </w:pPr>
      <w:r>
        <w:t>付録: 参考資料</w:t>
      </w:r>
    </w:p>
    <w:p>
      <w:pPr>
        <w:pStyle w:val="Heading2"/>
      </w:pPr>
      <w:r>
        <w:t>A. 公式学習資源</w:t>
      </w:r>
    </w:p>
    <w:p>
      <w:pPr>
        <w:pStyle w:val="ListBullet"/>
      </w:pPr>
      <w:r>
        <w:t xml:space="preserve">• </w:t>
      </w:r>
      <w:hyperlink r:id="rId9">
        <w:r>
          <w:rPr>
            <w:color w:val="0000FF"/>
            <w:u w:val="single"/>
          </w:rPr>
          <w:t>KPMG Workbench Learning &amp; Development Hub</w:t>
        </w:r>
      </w:hyperlink>
    </w:p>
    <w:p>
      <w:pPr>
        <w:pStyle w:val="ListBullet"/>
      </w:pPr>
      <w:r>
        <w:t xml:space="preserve">• </w:t>
      </w:r>
      <w:hyperlink r:id="rId10">
        <w:r>
          <w:rPr>
            <w:color w:val="0000FF"/>
            <w:u w:val="single"/>
          </w:rPr>
          <w:t>Developer Learning Path</w:t>
        </w:r>
      </w:hyperlink>
    </w:p>
    <w:p>
      <w:pPr>
        <w:pStyle w:val="ListBullet"/>
      </w:pPr>
      <w:r>
        <w:t xml:space="preserve">• </w:t>
      </w:r>
      <w:hyperlink r:id="rId11">
        <w:r>
          <w:rPr>
            <w:color w:val="0000FF"/>
            <w:u w:val="single"/>
          </w:rPr>
          <w:t>Product Management Learning Path</w:t>
        </w:r>
      </w:hyperlink>
    </w:p>
    <w:p>
      <w:pPr>
        <w:pStyle w:val="Heading2"/>
      </w:pPr>
      <w:r>
        <w:t>B. 技術ドキュメント</w:t>
      </w:r>
    </w:p>
    <w:p>
      <w:pPr>
        <w:pStyle w:val="ListBullet"/>
      </w:pPr>
      <w:r>
        <w:t xml:space="preserve">• </w:t>
      </w:r>
      <w:hyperlink r:id="rId26">
        <w:r>
          <w:rPr>
            <w:color w:val="0000FF"/>
            <w:u w:val="single"/>
          </w:rPr>
          <w:t>KPMG Workbench User Guide</w:t>
        </w:r>
      </w:hyperlink>
    </w:p>
    <w:p>
      <w:pPr>
        <w:pStyle w:val="ListBullet"/>
      </w:pPr>
      <w:r>
        <w:t xml:space="preserve">• </w:t>
      </w:r>
      <w:hyperlink r:id="rId23">
        <w:r>
          <w:rPr>
            <w:color w:val="0000FF"/>
            <w:u w:val="single"/>
          </w:rPr>
          <w:t>Design Systems for KPMG Workbench</w:t>
        </w:r>
      </w:hyperlink>
    </w:p>
    <w:p>
      <w:pPr>
        <w:pStyle w:val="ListBullet"/>
      </w:pPr>
      <w:r>
        <w:t xml:space="preserve">• </w:t>
      </w:r>
      <w:hyperlink r:id="rId24">
        <w:r>
          <w:rPr>
            <w:color w:val="0000FF"/>
            <w:u w:val="single"/>
          </w:rPr>
          <w:t>Software Development Lifecycle (SDLC)</w:t>
        </w:r>
      </w:hyperlink>
    </w:p>
    <w:p>
      <w:pPr>
        <w:pStyle w:val="ListBullet"/>
      </w:pPr>
      <w:r>
        <w:t xml:space="preserve">• </w:t>
      </w:r>
      <w:hyperlink r:id="rId25">
        <w:r>
          <w:rPr>
            <w:color w:val="0000FF"/>
            <w:u w:val="single"/>
          </w:rPr>
          <w:t>Secret Management Best Practices</w:t>
        </w:r>
      </w:hyperlink>
    </w:p>
    <w:p>
      <w:pPr>
        <w:pStyle w:val="Heading2"/>
      </w:pPr>
      <w:r>
        <w:t>C. 戦略資源</w:t>
      </w:r>
    </w:p>
    <w:p>
      <w:pPr>
        <w:pStyle w:val="ListBullet"/>
      </w:pPr>
      <w:r>
        <w:t xml:space="preserve">• </w:t>
      </w:r>
      <w:hyperlink r:id="rId31">
        <w:r>
          <w:rPr>
            <w:color w:val="0000FF"/>
            <w:u w:val="single"/>
          </w:rPr>
          <w:t>KPMG Global aIQ Hub</w:t>
        </w:r>
      </w:hyperlink>
    </w:p>
    <w:p>
      <w:pPr>
        <w:pStyle w:val="ListBullet"/>
      </w:pPr>
      <w:r>
        <w:t xml:space="preserve">• </w:t>
      </w:r>
      <w:hyperlink r:id="rId28">
        <w:r>
          <w:rPr>
            <w:color w:val="0000FF"/>
            <w:u w:val="single"/>
          </w:rPr>
          <w:t>Global AI Ninjas and Navigators</w:t>
        </w:r>
      </w:hyperlink>
    </w:p>
    <w:p>
      <w:pPr>
        <w:pStyle w:val="ListBullet"/>
      </w:pPr>
      <w:r>
        <w:t xml:space="preserve">• </w:t>
      </w:r>
      <w:hyperlink r:id="rId32">
        <w:r>
          <w:rPr>
            <w:color w:val="0000FF"/>
            <w:u w:val="single"/>
          </w:rPr>
          <w:t>Trusted AI Learning Path</w:t>
        </w:r>
      </w:hyperlink>
    </w:p>
    <w:p>
      <w:pPr>
        <w:pStyle w:val="Heading2"/>
      </w:pPr>
      <w:r>
        <w:t>D. ホワイトペーパーとインサイト</w:t>
      </w:r>
    </w:p>
    <w:p>
      <w:pPr>
        <w:pStyle w:val="ListBullet"/>
      </w:pPr>
      <w:r>
        <w:t xml:space="preserve">• </w:t>
      </w:r>
      <w:hyperlink r:id="rId27">
        <w:r>
          <w:rPr>
            <w:color w:val="0000FF"/>
            <w:u w:val="single"/>
          </w:rPr>
          <w:t>The Agentic AI Advantage</w:t>
        </w:r>
      </w:hyperlink>
    </w:p>
    <w:p>
      <w:pPr>
        <w:pStyle w:val="ListBullet"/>
      </w:pPr>
      <w:r>
        <w:t xml:space="preserve">• </w:t>
      </w:r>
      <w:hyperlink r:id="rId29">
        <w:r>
          <w:rPr>
            <w:color w:val="0000FF"/>
            <w:u w:val="single"/>
          </w:rPr>
          <w:t>AI Adoption in the Workplace</w:t>
        </w:r>
      </w:hyperlink>
    </w:p>
    <w:p>
      <w:pPr>
        <w:pStyle w:val="ListBullet"/>
      </w:pPr>
      <w:r>
        <w:t xml:space="preserve">• </w:t>
      </w:r>
      <w:hyperlink r:id="rId33">
        <w:r>
          <w:rPr>
            <w:color w:val="0000FF"/>
            <w:u w:val="single"/>
          </w:rPr>
          <w:t>KPMG Revolutionizes AI Delivery</w:t>
        </w:r>
      </w:hyperlink>
    </w:p>
    <w:p>
      <w:pPr>
        <w:pStyle w:val="Heading2"/>
      </w:pPr>
      <w:r>
        <w:t>E. 会議録画 (推奨)</w:t>
      </w:r>
    </w:p>
    <w:p>
      <w:pPr>
        <w:pStyle w:val="ListBullet"/>
      </w:pPr>
      <w:r>
        <w:t xml:space="preserve">• </w:t>
      </w:r>
      <w:hyperlink r:id="rId34">
        <w:r>
          <w:rPr>
            <w:color w:val="0000FF"/>
            <w:u w:val="single"/>
          </w:rPr>
          <w:t>Microsoft Keynote - Agentic AI Thinking</w:t>
        </w:r>
      </w:hyperlink>
    </w:p>
    <w:p>
      <w:pPr>
        <w:pStyle w:val="ListBullet"/>
      </w:pPr>
      <w:r>
        <w:t xml:space="preserve">• </w:t>
      </w:r>
      <w:hyperlink r:id="rId35">
        <w:r>
          <w:rPr>
            <w:color w:val="0000FF"/>
            <w:u w:val="single"/>
          </w:rPr>
          <w:t>KPMG Keynote - Workbench Champions</w:t>
        </w:r>
      </w:hyperlink>
    </w:p>
    <w:p>
      <w:pPr>
        <w:pStyle w:val="ListBullet"/>
      </w:pPr>
      <w:r>
        <w:t xml:space="preserve">• </w:t>
      </w:r>
      <w:hyperlink r:id="rId36">
        <w:r>
          <w:rPr>
            <w:color w:val="0000FF"/>
            <w:u w:val="single"/>
          </w:rPr>
          <w:t>Q&amp;A with Product Owners</w:t>
        </w:r>
      </w:hyperlink>
    </w:p>
    <w:p>
      <w:pPr>
        <w:pStyle w:val="Heading2"/>
      </w:pPr>
      <w:r>
        <w:t>F. 外部リソース</w:t>
      </w:r>
    </w:p>
    <w:p>
      <w:pPr>
        <w:pStyle w:val="ListBullet"/>
      </w:pPr>
      <w:r>
        <w:t xml:space="preserve">• </w:t>
      </w:r>
      <w:hyperlink r:id="rId30">
        <w:r>
          <w:rPr>
            <w:color w:val="0000FF"/>
            <w:u w:val="single"/>
          </w:rPr>
          <w:t>You Can with AI Podcast</w:t>
        </w:r>
      </w:hyperlink>
    </w:p>
    <w:p>
      <w:r>
        <w:br w:type="page"/>
      </w:r>
    </w:p>
    <w:p>
      <w:pPr>
        <w:pStyle w:val="Heading1"/>
      </w:pPr>
      <w:r>
        <w:t>付録: 評価タイムライン (推奨)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週次</w:t>
            </w:r>
          </w:p>
        </w:tc>
        <w:tc>
          <w:tcPr>
            <w:tcW w:type="dxa" w:w="2880"/>
          </w:tcPr>
          <w:p>
            <w:r>
              <w:t>タスク</w:t>
            </w:r>
          </w:p>
        </w:tc>
        <w:tc>
          <w:tcPr>
            <w:tcW w:type="dxa" w:w="2880"/>
          </w:tcPr>
          <w:p>
            <w:r>
              <w:t>成果物</w:t>
            </w:r>
          </w:p>
        </w:tc>
      </w:tr>
      <w:tr>
        <w:tc>
          <w:tcPr>
            <w:tcW w:type="dxa" w:w="2880"/>
          </w:tcPr>
          <w:p>
            <w:r>
              <w:t>W1</w:t>
            </w:r>
          </w:p>
        </w:tc>
        <w:tc>
          <w:tcPr>
            <w:tcW w:type="dxa" w:w="2880"/>
          </w:tcPr>
          <w:p>
            <w:r>
              <w:t>Prerequisites + Developer Learning Path完了</w:t>
            </w:r>
          </w:p>
        </w:tc>
        <w:tc>
          <w:tcPr>
            <w:tcW w:type="dxa" w:w="2880"/>
          </w:tcPr>
          <w:p>
            <w:r>
              <w:t>認証バッジ</w:t>
            </w:r>
          </w:p>
        </w:tc>
      </w:tr>
      <w:tr>
        <w:tc>
          <w:tcPr>
            <w:tcW w:type="dxa" w:w="2880"/>
          </w:tcPr>
          <w:p>
            <w:r>
              <w:t>W2</w:t>
            </w:r>
          </w:p>
        </w:tc>
        <w:tc>
          <w:tcPr>
            <w:tcW w:type="dxa" w:w="2880"/>
          </w:tcPr>
          <w:p>
            <w:r>
              <w:t>テストDemo 1開発 (例: RAG Chatbot)</w:t>
            </w:r>
          </w:p>
        </w:tc>
        <w:tc>
          <w:tcPr>
            <w:tcW w:type="dxa" w:w="2880"/>
          </w:tcPr>
          <w:p>
            <w:r>
              <w:t>技術能力評価データ</w:t>
            </w:r>
          </w:p>
        </w:tc>
      </w:tr>
      <w:tr>
        <w:tc>
          <w:tcPr>
            <w:tcW w:type="dxa" w:w="2880"/>
          </w:tcPr>
          <w:p>
            <w:r>
              <w:t>W3</w:t>
            </w:r>
          </w:p>
        </w:tc>
        <w:tc>
          <w:tcPr>
            <w:tcW w:type="dxa" w:w="2880"/>
          </w:tcPr>
          <w:p>
            <w:r>
              <w:t>テストDemo 2開発 (例: Audit Agent)</w:t>
            </w:r>
          </w:p>
        </w:tc>
        <w:tc>
          <w:tcPr>
            <w:tcW w:type="dxa" w:w="2880"/>
          </w:tcPr>
          <w:p>
            <w:r>
              <w:t>Agentic AI能力評価</w:t>
            </w:r>
          </w:p>
        </w:tc>
      </w:tr>
      <w:tr>
        <w:tc>
          <w:tcPr>
            <w:tcW w:type="dxa" w:w="2880"/>
          </w:tcPr>
          <w:p>
            <w:r>
              <w:t>W4</w:t>
            </w:r>
          </w:p>
        </w:tc>
        <w:tc>
          <w:tcPr>
            <w:tcW w:type="dxa" w:w="2880"/>
          </w:tcPr>
          <w:p>
            <w:r>
              <w:t>リスク分析、ROI計算、レポート作成</w:t>
            </w:r>
          </w:p>
        </w:tc>
        <w:tc>
          <w:tcPr>
            <w:tcW w:type="dxa" w:w="2880"/>
          </w:tcPr>
          <w:p>
            <w:r>
              <w:t>完全評価レポート + Executive Summary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eiryo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eiryo U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eiryo UI"/>
      <w:b/>
      <w:bCs/>
      <w:color w:val="0070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eiryo U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eiryo UI"/>
      <w:b/>
      <w:color w:val="0033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po-global.kpmg.com/sites/GO-OI-BUS-GTK-WB/SitePages/KPMG-Workbench-learning-development.aspx" TargetMode="External"/><Relationship Id="rId10" Type="http://schemas.openxmlformats.org/officeDocument/2006/relationships/hyperlink" Target="https://spo-global.kpmg.com/sites/GO-OI-BUS-GTK-WB/SitePages/KPMG-Workbench-learning-and-development-development-track.aspx" TargetMode="External"/><Relationship Id="rId11" Type="http://schemas.openxmlformats.org/officeDocument/2006/relationships/hyperlink" Target="https://spo-global.kpmg.com/sites/GO-OI-BUS-GTK-WB/SitePages/KPMG-Workbench-learning-and-development-product-management-track.aspx" TargetMode="External"/><Relationship Id="rId12" Type="http://schemas.openxmlformats.org/officeDocument/2006/relationships/hyperlink" Target="https://handbook.code.kpmg.com/KPMG-Code/GitHub/Organization%20onboarding/" TargetMode="External"/><Relationship Id="rId13" Type="http://schemas.openxmlformats.org/officeDocument/2006/relationships/hyperlink" Target="https://learn.microsoft.com/en-us/credentials/certifications/azure-fundamentals/?practice-assessment-type=certification" TargetMode="External"/><Relationship Id="rId14" Type="http://schemas.openxmlformats.org/officeDocument/2006/relationships/hyperlink" Target="https://learn.microsoft.com/en-us/credentials/certifications/azure-ai-fundamentals/?practice-assessment-type=certification" TargetMode="External"/><Relationship Id="rId15" Type="http://schemas.openxmlformats.org/officeDocument/2006/relationships/hyperlink" Target="https://learn.microsoft.com/en-us/collections/o1njfe825p602p" TargetMode="External"/><Relationship Id="rId16" Type="http://schemas.openxmlformats.org/officeDocument/2006/relationships/hyperlink" Target="https://learn.microsoft.com/en-us/collections/n5p4a5z7keznp5" TargetMode="External"/><Relationship Id="rId17" Type="http://schemas.openxmlformats.org/officeDocument/2006/relationships/hyperlink" Target="https://app.pluralsight.com/library/courses/artificial-intelligence-essentials-responsible-ai/table-of-contents" TargetMode="External"/><Relationship Id="rId18" Type="http://schemas.openxmlformats.org/officeDocument/2006/relationships/hyperlink" Target="https://www.scrum.org/assessments/professional-scrum-master-i-certification" TargetMode="External"/><Relationship Id="rId19" Type="http://schemas.openxmlformats.org/officeDocument/2006/relationships/hyperlink" Target="https://www.scrum.org/assessments/professional-scrum-product-owner-i-certification" TargetMode="External"/><Relationship Id="rId20" Type="http://schemas.openxmlformats.org/officeDocument/2006/relationships/hyperlink" Target="https://kpmgic.lms.hr.cloud.sap/learning/user/learning/program/viewProgramDetails.do?fromSF=Y&amp;programID=GX25_CFS_DDF_AI_BLDG_WB_D_PRO" TargetMode="External"/><Relationship Id="rId21" Type="http://schemas.openxmlformats.org/officeDocument/2006/relationships/hyperlink" Target="https://kpmgic.lms.hr.cloud.sap/learning/user/learning/program/viewProgramDetails.do?fromSF=Y&amp;programID=GX25_CFS_DDF_AI_BLDG_WB_PM_PRO" TargetMode="External"/><Relationship Id="rId22" Type="http://schemas.openxmlformats.org/officeDocument/2006/relationships/hyperlink" Target="https://kpmggoprod.service-now.com/sp?id=sc_cat_item&amp;sys_id=623c6518c314a61088532485e0013117&amp;sysparm_category=3cae446893230a10324c76847aba1033" TargetMode="External"/><Relationship Id="rId23" Type="http://schemas.openxmlformats.org/officeDocument/2006/relationships/hyperlink" Target="https://spo-global.kpmg.com/sites/GO-OI-BUS-GTK-WB/SitePages/Design-Systems-for-KPMG-Workbench.aspx" TargetMode="External"/><Relationship Id="rId24" Type="http://schemas.openxmlformats.org/officeDocument/2006/relationships/hyperlink" Target="https://docs.code.kpmg.com/GTK/Engineering-Ecosystem/Software-Development-Lifecycle-%28SDLC%29/sdlc/" TargetMode="External"/><Relationship Id="rId25" Type="http://schemas.openxmlformats.org/officeDocument/2006/relationships/hyperlink" Target="https://handbook.code.kpmg.com/digital-grc/secrets-management-best-practices/" TargetMode="External"/><Relationship Id="rId26" Type="http://schemas.openxmlformats.org/officeDocument/2006/relationships/hyperlink" Target="https://docs.code.kpmg.com/GTK/AI-Framework/KPMG-Workbench/" TargetMode="External"/><Relationship Id="rId27" Type="http://schemas.openxmlformats.org/officeDocument/2006/relationships/hyperlink" Target="https://kpmg.com/us/en/articles/2025/the-agentic-ai-advantage.html" TargetMode="External"/><Relationship Id="rId28" Type="http://schemas.openxmlformats.org/officeDocument/2006/relationships/hyperlink" Target="https://spo-global.kpmg.com/sites/GO-OI-BUS-GTK-AI/SitePages/Global-AI-Ninjas-Navigators.aspx" TargetMode="External"/><Relationship Id="rId29" Type="http://schemas.openxmlformats.org/officeDocument/2006/relationships/hyperlink" Target="https://kpmg.com/au/en/insights/artificial-intelligence-ai/workplace-ai-adoption-success-insights-stories.html" TargetMode="External"/><Relationship Id="rId30" Type="http://schemas.openxmlformats.org/officeDocument/2006/relationships/hyperlink" Target="https://kpmg.com/us/en/podcasts/you-can-with-ai.html" TargetMode="External"/><Relationship Id="rId31" Type="http://schemas.openxmlformats.org/officeDocument/2006/relationships/hyperlink" Target="https://spo-global.kpmg.com/sites/GO-OI-BUS-GTK-AI" TargetMode="External"/><Relationship Id="rId32" Type="http://schemas.openxmlformats.org/officeDocument/2006/relationships/hyperlink" Target="https://spo-global.kpmg.com/sites/go-oi-bus-People/SitePages/Trusted-AI.aspx" TargetMode="External"/><Relationship Id="rId33" Type="http://schemas.openxmlformats.org/officeDocument/2006/relationships/hyperlink" Target="https://spo-global.kpmg.com/sites/GO-OI-BUS-GTK-AI/SitePages/KPMG-revolutionizes-AI-delivery-with-a-first-of-its-kind-global-AI-platform.aspx" TargetMode="External"/><Relationship Id="rId34" Type="http://schemas.openxmlformats.org/officeDocument/2006/relationships/hyperlink" Target="https://spo-global.kpmg.com/:v:/r/sites/GO-OI-BUS-GTK-WB/KPMGWorkbenchDevCon/Microsoft%20Keynote%20recording%20-%20Agentic%20AI%20Thinking.mp4" TargetMode="External"/><Relationship Id="rId35" Type="http://schemas.openxmlformats.org/officeDocument/2006/relationships/hyperlink" Target="https://spo-global.kpmg.com/sites/GO-OI-BUS-GTK-WB/KPMGWorkbenchDevCon/KPMG%20Keynote%20recording%20-%20Workbench%20Champions.mp4" TargetMode="External"/><Relationship Id="rId36" Type="http://schemas.openxmlformats.org/officeDocument/2006/relationships/hyperlink" Target="https://spo-global.kpmg.com/:v:/r/sites/GO-OI-BUS-GTK-WB/KPMGWorkbenchDevCon/The%20Open%20Forum%20Live%20Q%26A%20with%20Workbench%20Product.mp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