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1C0F" w14:textId="67B38257" w:rsidR="00595F01" w:rsidRDefault="001F082E" w:rsidP="001F082E">
      <w:r>
        <w:rPr>
          <w:noProof/>
        </w:rPr>
        <w:drawing>
          <wp:inline distT="0" distB="0" distL="0" distR="0" wp14:anchorId="6C9C3AD0" wp14:editId="43169159">
            <wp:extent cx="1181100" cy="507394"/>
            <wp:effectExtent l="0" t="0" r="0" b="0"/>
            <wp:docPr id="5662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87304" name="Picture 5662873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825" cy="51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30"/>
        <w:jc w:val="center"/>
      </w:pPr>
      <w:r>
        <w:rPr>
          <w:b/>
          <w:bCs/>
          <w:color w:val="1A1A1A"/>
          <w:sz w:val="36"/>
          <w:szCs w:val="36"/>
        </w:rPr>
        <w:t xml:space="preserve">PAUTA DE REUNIÃO</w:t>
      </w:r>
    </w:p>
    <w:p>
      <w:pPr>
        <w:spacing w:after="220"/>
        <w:jc w:val="center"/>
      </w:pPr>
      <w:r>
        <w:rPr>
          <w:b/>
          <w:bCs/>
          <w:color w:val="EF7E06"/>
          <w:spacing w:val="60"/>
          <w:sz w:val="22"/>
          <w:szCs w:val="22"/>
        </w:rPr>
        <w:t xml:space="preserve">CONSELHO CONSULTIVO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3A3A3A"/>
                <w:sz w:val="19"/>
                <w:szCs w:val="19"/>
              </w:rPr>
              <w:t xml:space="preserve">Reunião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sz w:val="19"/>
                <w:szCs w:val="19"/>
              </w:rPr>
              <w:t xml:space="preserve">Reunião Ordinária do Conselho Consultivo</w:t>
            </w:r>
          </w:p>
        </w:tc>
      </w:tr>
      <w:tr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3A3A3A"/>
                <w:sz w:val="19"/>
                <w:szCs w:val="19"/>
              </w:rPr>
              <w:t xml:space="preserve">Data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sz w:val="19"/>
                <w:szCs w:val="19"/>
              </w:rPr>
              <w:t xml:space="preserve">22 / 07 / 2026</w:t>
            </w:r>
          </w:p>
        </w:tc>
      </w:tr>
      <w:tr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3A3A3A"/>
                <w:sz w:val="19"/>
                <w:szCs w:val="19"/>
              </w:rPr>
              <w:t xml:space="preserve">Horário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sz w:val="19"/>
                <w:szCs w:val="19"/>
              </w:rPr>
              <w:t xml:space="preserve">15h às 17h</w:t>
            </w:r>
          </w:p>
        </w:tc>
      </w:tr>
      <w:tr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3A3A3A"/>
                <w:sz w:val="19"/>
                <w:szCs w:val="19"/>
              </w:rPr>
              <w:t xml:space="preserve">Local / Formato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sz w:val="19"/>
                <w:szCs w:val="19"/>
              </w:rPr>
              <w:t xml:space="preserve">(    ) Presencial    (    ) Remoto</w:t>
            </w:r>
          </w:p>
        </w:tc>
      </w:tr>
      <w:tr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3A3A3A"/>
                <w:sz w:val="19"/>
                <w:szCs w:val="19"/>
              </w:rPr>
              <w:t xml:space="preserve">Secretariado por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sz w:val="19"/>
                <w:szCs w:val="19"/>
              </w:rPr>
              <w:t xml:space="preserve">Diego Nunes</w:t>
            </w:r>
          </w:p>
        </w:tc>
      </w:tr>
    </w:tbl>
    <w:p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 xml:space="preserve">Participantes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400"/>
        <w:gridCol w:w="1760"/>
      </w:tblGrid>
      <w:tr>
        <w:trPr>
          <w:trHeight w:val="220"/>
          <w:tblHeader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Participante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Cargo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Presença</w:t>
            </w:r>
          </w:p>
        </w:tc>
      </w:tr>
      <w:tr>
        <w:trPr>
          <w:trHeight w:val="441"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Marcus Lima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CEO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     )</w:t>
            </w:r>
          </w:p>
        </w:tc>
      </w:tr>
      <w:tr>
        <w:trPr>
          <w:trHeight w:val="441"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Vinicius Bastos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CTO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     )</w:t>
            </w:r>
          </w:p>
        </w:tc>
      </w:tr>
      <w:tr>
        <w:trPr>
          <w:trHeight w:val="441"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Renato Correa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CFO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     )</w:t>
            </w:r>
          </w:p>
        </w:tc>
      </w:tr>
      <w:tr>
        <w:trPr>
          <w:trHeight w:val="441"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Diego Nunes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Secretário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     )</w:t>
            </w:r>
          </w:p>
        </w:tc>
      </w:tr>
      <w:tr>
        <w:trPr>
          <w:trHeight w:val="441"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Menotti Franceschini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Conselheiro externo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     )</w:t>
            </w:r>
          </w:p>
        </w:tc>
      </w:tr>
      <w:tr>
        <w:trPr>
          <w:trHeight w:val="441"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Julio Oliveira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Conselheiro externo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     )</w:t>
            </w:r>
          </w:p>
        </w:tc>
      </w:tr>
      <w:tr>
        <w:trPr>
          <w:trHeight w:val="441"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Erick Sighn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S2 Investimentos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     )</w:t>
            </w:r>
          </w:p>
        </w:tc>
      </w:tr>
    </w:tbl>
    <w:p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 xml:space="preserve">1. Pendências da Reunião Anterior (17/06/2026)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Follow-up das ações definidas na última reunião do Conselho.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Agenda interna na Petrobras (Vini): </w:t>
      </w:r>
      <w:r>
        <w:t xml:space="preserve">reunião realizada em 01/07; escopo de continuidade de 3 anos (~R$ 8,8M) apresentado. Detalhe na seção de projetos.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Screening da S2 / Erick (Marcus): </w:t>
      </w:r>
      <w:r>
        <w:t xml:space="preserve">concluído — Contrato de Investimento e SCP assinados com a S2 em 08/07/2026. Detalhe na seção de captação.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Lead de facilities do assessor de Menotti (Menotti/Marcus): </w:t>
      </w:r>
      <w:r>
        <w:t xml:space="preserve">2 reuniões realizadas com Cristiane Rossini. Detalhe na seção de captação.</w:t>
      </w:r>
    </w:p>
    <w:p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 xml:space="preserve">2. Status dos Projetos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Integração Social (FINEP)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Integração WMS em andamento; ambiente de homologação do cliente indisponível — integração feita direto em produção.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Oportunidade: contrato de integração WMS/ERP (Senior + KPL) mesmo sem robô.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Ponto de atenção: </w:t>
      </w:r>
      <w:r>
        <w:t xml:space="preserve">gap improdutivo sem redirecionamento para o Kappabot; alerta de atraso comunicado 1 dia antes do vencimento. Novo prazo do Kappabot: 3ª semana de julho. Processo de alerta de atrasos a rediscutir.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Otimização de Rotas por IA — CPQD (FINEP)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Ritos e instrumentos alinhados; foco total em prestação de contas FINEP e relatórios para entrega em setembro.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HBR — Capacitação / Hardware (FINEP)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Design do capabote em evolução; decisões financeiras a deliberar (troca de motor, orçamento).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Prestação de contas técnica ~80%; conclusão do relatório técnico prevista para meados de julho (Diego na parte financeira em paralelo).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Meta Indústria (K.Twin)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Prazo apertado: projeto de 4 meses, já na metade. Estantes: 15 dias de entrega + 18 dias de montagem.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Contratação do Filipe sem resposta; Davi adiantando o gêmeo digital no Blender 3D.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ANP / STREAM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Desenvolvimento concluído; fase atual: integração do mecanismo de coleta e testes em campo.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Saldo do projeto: R$ 400k sem destinação planejada; possível prorrogação de agosto para outubro.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Estratégia preferida: acabamento do robô como plataforma para lançamento no evento IBP em setembro.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Continuidade Petrobras: escopo de 3 anos, ~R$ 8,8M (Ano 1: R$ 900k • Ano 2: R$ 2M+ • Ano 3: fase alto-mar). Referência do cliente: ~R$ 4M/ano só em aluguel de barco.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Prestação de contas com a IPP (Thaís) pendente; provisões trabalhistas em implantação nos projetos.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Deliberar: </w:t>
      </w:r>
      <w:r>
        <w:t xml:space="preserve">destinação do saldo de R$ 400k e canal de continuidade (aditivo ANP vs. contratação direta / novo edital).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FAPEAM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Retorno recebido: processo ainda em andamento, sem data definida.</w:t>
      </w:r>
    </w:p>
    <w:p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 xml:space="preserve">3. Pipeline Comercial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Funil Acta: </w:t>
      </w:r>
      <w:r>
        <w:t xml:space="preserve">R$ 3.874.071,18 em aberto.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Funil JV-S2: </w:t>
      </w:r>
      <w:r>
        <w:t xml:space="preserve">R$ 57.600.000,00 em aberto.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Ganhos Recentes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Capacitação HBR: R$ 100k.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Perdidos Recentes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AFIP: R$ 792.600 (mudança de prioridade do cliente para S1 2027).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Oportunidades em Andamento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Dikma: interesse confirmado; contraproposta de JV enviada (proposta original R$ 400k de consultoria 50/50; potencial ~R$ 200k no caixa). Retorno esperado até 15/07.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Elo Mobiliários: R$ 620k considerado caro; contraproposta em modelo de aluguel (R$ 5k/mês + setup R$ 20k).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LATAM: proposta enviada via RFP; visita técnica a realizar.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Emiv Themag: aguardando caixa para avançar; sugestão de carta de intenção do cliente para facilitar captação.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Renovaeco (robô solar): aguardando orçamento de fornecedor; reunião com empresa alemã realizada/a realizar.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Praia Dura (Grande Porte — Funil JV-S2)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18 soluções: R$ 57,6M de receita, lucro ~R$ 16M (margem ~28%); recorrente estimado ~R$ 7M/ano.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Erick levará a proposta aos incorporadores; segundo imóvel (Guarujá, VGV ~R$ 500M, estimativa ~R$ 10M) sinalizado.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Eventos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TIMLOG: convite recebido; custo de R$ 20k — decidir participação e robô a levar.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FarmTech: orçamento R$ 29.500, comissão de 10% para intermediária (~R$ 26k líquido).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Estratégia frente à Concorrência Chinesa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Mapeamento de fornecedores chineses para linha de baixo custo (2ª opção) — status; viagem à China em estudo.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Contratação Comercial (follow-up)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Decisão anterior do Conselho: sem contratação imediata; aguardar desfecho do deal Praia Dura/Erick.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Deliberar: </w:t>
      </w:r>
      <w:r>
        <w:t xml:space="preserve">manter espera ou reabrir o processo, à luz do pipeline atual.</w:t>
      </w:r>
    </w:p>
    <w:p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 xml:space="preserve">4. Captação e Estrutura Societária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S2 Investimentos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Contrato de Investimento e SCP assinados em 08/07/2026.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Adiantamento de caixa de giro junto ao Erick mediante pedido de compras — ainda sem definição.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HBR — Investimento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Em avaliação: proposta de JV na área da saúde.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Proposta inicial de Marcus (JV para novos produtos) não se encaixa na tese do fundo, que exige produto já existente, ainda que em estágio inicial.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Israel enviará uma série de perguntas para a Acta responder, para análise interna do fundo.</w:t>
      </w:r>
    </w:p>
    <w:p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Cristiane Rossini (Lead Facilities — Menotti)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2 reuniões realizadas: apresentação da Acta e sinergia de ações.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Interesse demonstrado em investir na Acta Robotics e desenvolver projeto conjunto de controle de acesso com IA para condomínios.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NDA enviado; pendente definir formato da parceria e valor pedido.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Sugestão atual: </w:t>
      </w:r>
      <w:r>
        <w:t xml:space="preserve">JV de produto com aporte de R$ 500k e divisão 50/50.</w:t>
      </w:r>
    </w:p>
    <w:p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Deliberar: </w:t>
      </w:r>
      <w:r>
        <w:t xml:space="preserve">validar formato da parceria e valor a propor.</w:t>
      </w:r>
    </w:p>
    <w:p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 xml:space="preserve">5. Parcerias Estratégicas e Novos Negócios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Bear Robotics: MNDA assinado; modelo de exclusividade por performance acordado; próxima etapa: pricing de container.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Simbe Robotics: e-mail de contato enviado.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Keenon: NDA assinado.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Jabil Robotics: e-mail enviado.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Droneportos do Brasil: minuta de MoU enviada; pendente revisão da Droneportos.</w:t>
      </w:r>
    </w:p>
    <w:p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 xml:space="preserve">6. Financeiro e Caixa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Junho e julho previstos apenas com custos básicos; único corte possível: Forge (~R$ 10k — Techoá).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Caixa: R$ 290k (ref. 08/07); fluxo de julho dependente da entrada do recurso da HBR (capacitação).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Regra de caixa de projetos: recursos de projeto intocáveis até encerramento e apuração de lucro.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Provisões de pessoal (férias, 13º, desligamento) em implantação nos projetos FINEP/ANP; relatório mensal de provisões a partir de julho.</w:t>
      </w:r>
    </w:p>
    <w:p>
      <w:pPr>
        <w:pStyle w:val="PargrafodaLista"/>
        <w:numPr>
          <w:ilvl w:val="0"/>
          <w:numId w:val="4"/>
        </w:numPr>
        <w:spacing w:after="30"/>
      </w:pPr>
      <w:r>
        <w:t xml:space="preserve">Modelo de frentes definidas: S2 (G&amp;A + CapEx AEX) • Projetos S2/Acta (montagem de caixa) • P&amp;D (sustento do time e C-Level) • HBR (frente em redefinição — ver seção 4).</w:t>
      </w:r>
    </w:p>
    <w:p>
      <w:pPr>
        <w:pageBreakBefore/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 xml:space="preserve">7. Próximos Passos</w:t>
      </w:r>
    </w:p>
    <w:p>
      <w:pPr>
        <w:spacing w:after="60"/>
      </w:pPr>
      <w:r>
        <w:rPr>
          <w:i/>
          <w:iCs/>
          <w:color w:val="6B6B6B"/>
          <w:sz w:val="19"/>
          <w:szCs w:val="19"/>
        </w:rPr>
        <w:t xml:space="preserve">Ações a definir na reunião, com responsáveis e prazos.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5244"/>
        <w:gridCol w:w="1954"/>
        <w:gridCol w:w="1723"/>
      </w:tblGrid>
      <w:tr>
        <w:trPr>
          <w:trHeight w:val="220"/>
          <w:tblHeader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sz="14" w:space="4" w:color="EF7E06"/>
        </w:pBdr>
        <w:spacing w:before="300" w:after="40"/>
      </w:pPr>
      <w:r>
        <w:rPr>
          <w:b/>
          <w:bCs/>
          <w:color w:val="1A1A1A"/>
          <w:sz w:val="24"/>
          <w:szCs w:val="24"/>
        </w:rPr>
        <w:t xml:space="preserve">Encerramento e Aprovação</w:t>
      </w:r>
    </w:p>
    <w:p>
      <w:pPr>
        <w:spacing w:before="120" w:after="200"/>
      </w:pPr>
      <w:r>
        <w:rPr>
          <w:sz w:val="19"/>
          <w:szCs w:val="19"/>
        </w:rPr>
        <w:t xml:space="preserve">Nada mais havendo a tratar, a reunião foi encerrada e a presente ata lavrada para registro e aprovação dos membros do Conselho Consultivo da Acta Robotics.</w:t>
      </w:r>
    </w:p>
    <w:p>
      <w:pPr>
        <w:spacing w:after="60"/>
      </w:pPr>
      <w:r>
        <w:rPr>
          <w:b/>
          <w:bCs/>
          <w:sz w:val="20"/>
          <w:szCs w:val="20"/>
        </w:rPr>
        <w:t>Marcus Lima</w:t>
      </w:r>
      <w:r>
        <w:rPr>
          <w:color w:val="6B6B6B"/>
          <w:sz w:val="19"/>
          <w:szCs w:val="19"/>
        </w:rPr>
        <w:t xml:space="preserve">   —   CEO</w:t>
      </w:r>
    </w:p>
    <w:p>
      <w:pPr>
        <w:spacing w:after="60"/>
      </w:pPr>
      <w:r>
        <w:rPr>
          <w:b/>
          <w:bCs/>
          <w:sz w:val="20"/>
          <w:szCs w:val="20"/>
        </w:rPr>
        <w:t>Vinicius Bastos</w:t>
      </w:r>
      <w:r>
        <w:rPr>
          <w:color w:val="6B6B6B"/>
          <w:sz w:val="19"/>
          <w:szCs w:val="19"/>
        </w:rPr>
        <w:t xml:space="preserve">   —   CTO</w:t>
      </w:r>
    </w:p>
    <w:p>
      <w:pPr>
        <w:spacing w:after="60"/>
      </w:pPr>
      <w:r>
        <w:rPr>
          <w:b/>
          <w:bCs/>
          <w:sz w:val="20"/>
          <w:szCs w:val="20"/>
        </w:rPr>
        <w:t>Renato Correa</w:t>
      </w:r>
      <w:r>
        <w:rPr>
          <w:color w:val="6B6B6B"/>
          <w:sz w:val="19"/>
          <w:szCs w:val="19"/>
        </w:rPr>
        <w:t xml:space="preserve">   —   CFO</w:t>
      </w:r>
    </w:p>
    <w:p>
      <w:pPr>
        <w:spacing w:after="60"/>
      </w:pPr>
      <w:r>
        <w:rPr>
          <w:b/>
          <w:bCs/>
          <w:sz w:val="20"/>
          <w:szCs w:val="20"/>
        </w:rPr>
        <w:t>Menotti Franceschini</w:t>
      </w:r>
      <w:r>
        <w:rPr>
          <w:color w:val="6B6B6B"/>
          <w:sz w:val="19"/>
          <w:szCs w:val="19"/>
        </w:rPr>
        <w:t xml:space="preserve">   —   Conselheiro externo</w:t>
      </w:r>
    </w:p>
    <w:p>
      <w:pPr>
        <w:spacing w:after="60"/>
      </w:pPr>
      <w:r>
        <w:rPr>
          <w:b/>
          <w:bCs/>
          <w:sz w:val="20"/>
          <w:szCs w:val="20"/>
        </w:rPr>
        <w:t>Julio Oliveira</w:t>
      </w:r>
      <w:r>
        <w:rPr>
          <w:color w:val="6B6B6B"/>
          <w:sz w:val="19"/>
          <w:szCs w:val="19"/>
        </w:rPr>
        <w:t xml:space="preserve">   —   Conselheiro externo</w:t>
      </w:r>
    </w:p>
    <w:p>
      <w:pPr>
        <w:spacing w:after="60"/>
      </w:pPr>
      <w:r>
        <w:rPr>
          <w:b/>
          <w:bCs/>
          <w:sz w:val="20"/>
          <w:szCs w:val="20"/>
        </w:rPr>
        <w:t>Erick Sighn</w:t>
      </w:r>
      <w:r>
        <w:rPr>
          <w:color w:val="6B6B6B"/>
          <w:sz w:val="19"/>
          <w:szCs w:val="19"/>
        </w:rPr>
        <w:t xml:space="preserve">   —   S2 Investimentos</w:t>
      </w:r>
    </w:p>
    <w:sectPr w:rsidR="00595F01"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5BDB3" w14:textId="77777777" w:rsidR="00FA72B6" w:rsidRDefault="00FA72B6">
      <w:r>
        <w:separator/>
      </w:r>
    </w:p>
  </w:endnote>
  <w:endnote w:type="continuationSeparator" w:id="0">
    <w:p w14:paraId="21B99C0D" w14:textId="77777777" w:rsidR="00FA72B6" w:rsidRDefault="00FA7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1CCD" w14:textId="3A9149DE" w:rsidR="00595F01" w:rsidRDefault="00516621">
    <w:pPr>
      <w:pBdr>
        <w:top w:val="single" w:sz="6" w:space="4" w:color="EF7E06"/>
      </w:pBdr>
      <w:tabs>
        <w:tab w:val="right" w:pos="9026"/>
      </w:tabs>
    </w:pPr>
    <w:r>
      <w:rPr>
        <w:color w:val="6B6B6B"/>
        <w:sz w:val="15"/>
        <w:szCs w:val="15"/>
      </w:rPr>
      <w:t xml:space="preserve">ACTA </w:t>
    </w:r>
    <w:proofErr w:type="gramStart"/>
    <w:r>
      <w:rPr>
        <w:color w:val="6B6B6B"/>
        <w:sz w:val="15"/>
        <w:szCs w:val="15"/>
      </w:rPr>
      <w:t>ROBOTICS  •</w:t>
    </w:r>
    <w:proofErr w:type="gramEnd"/>
    <w:r>
      <w:rPr>
        <w:color w:val="6B6B6B"/>
        <w:sz w:val="15"/>
        <w:szCs w:val="15"/>
      </w:rPr>
      <w:t xml:space="preserve">  Conselho </w:t>
    </w:r>
    <w:proofErr w:type="spellStart"/>
    <w:proofErr w:type="gramStart"/>
    <w:r>
      <w:rPr>
        <w:color w:val="6B6B6B"/>
        <w:sz w:val="15"/>
        <w:szCs w:val="15"/>
      </w:rPr>
      <w:t>Consultivo</w:t>
    </w:r>
    <w:proofErr w:type="spellEnd"/>
    <w:r>
      <w:rPr>
        <w:color w:val="6B6B6B"/>
        <w:sz w:val="15"/>
        <w:szCs w:val="15"/>
      </w:rPr>
      <w:t xml:space="preserve">  •</w:t>
    </w:r>
    <w:proofErr w:type="gramEnd"/>
    <w:r>
      <w:rPr>
        <w:color w:val="6B6B6B"/>
        <w:sz w:val="15"/>
        <w:szCs w:val="15"/>
      </w:rPr>
      <w:t xml:space="preserve">  </w:t>
    </w:r>
    <w:r w:rsidR="002A09AF">
      <w:rPr>
        <w:color w:val="6B6B6B"/>
        <w:sz w:val="15"/>
        <w:szCs w:val="15"/>
      </w:rPr>
      <w:t>22</w:t>
    </w:r>
    <w:r>
      <w:rPr>
        <w:color w:val="6B6B6B"/>
        <w:sz w:val="15"/>
        <w:szCs w:val="15"/>
      </w:rPr>
      <w:t>/07/</w:t>
    </w:r>
    <w:proofErr w:type="gramStart"/>
    <w:r>
      <w:rPr>
        <w:color w:val="6B6B6B"/>
        <w:sz w:val="15"/>
        <w:szCs w:val="15"/>
      </w:rPr>
      <w:t>2026  •</w:t>
    </w:r>
    <w:proofErr w:type="gramEnd"/>
    <w:r>
      <w:rPr>
        <w:color w:val="6B6B6B"/>
        <w:sz w:val="15"/>
        <w:szCs w:val="15"/>
      </w:rPr>
      <w:t xml:space="preserve">  Documento confidencial</w:t>
    </w:r>
    <w:r>
      <w:rPr>
        <w:color w:val="6B6B6B"/>
        <w:sz w:val="15"/>
        <w:szCs w:val="15"/>
      </w:rPr>
      <w:tab/>
      <w:t xml:space="preserve">Pág.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PAGE</w:instrText>
    </w:r>
    <w:r>
      <w:rPr>
        <w:color w:val="6B6B6B"/>
        <w:sz w:val="15"/>
        <w:szCs w:val="15"/>
      </w:rPr>
      <w:fldChar w:fldCharType="separate"/>
    </w:r>
    <w:r w:rsidR="00CD66AE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1ACE" w14:textId="77777777" w:rsidR="00FA72B6" w:rsidRDefault="00FA72B6">
      <w:r>
        <w:separator/>
      </w:r>
    </w:p>
  </w:footnote>
  <w:footnote w:type="continuationSeparator" w:id="0">
    <w:p w14:paraId="23464F27" w14:textId="77777777" w:rsidR="00FA72B6" w:rsidRDefault="00FA7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004"/>
    <w:multiLevelType w:val="hybridMultilevel"/>
    <w:tmpl w:val="AF3035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6206F"/>
    <w:multiLevelType w:val="hybridMultilevel"/>
    <w:tmpl w:val="DAC8B99E"/>
    <w:lvl w:ilvl="0" w:tplc="691E17E8">
      <w:start w:val="1"/>
      <w:numFmt w:val="bullet"/>
      <w:lvlText w:val="•"/>
      <w:lvlJc w:val="left"/>
      <w:pPr>
        <w:ind w:left="360" w:hanging="360"/>
      </w:pPr>
      <w:rPr>
        <w:color w:val="EF7E06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AC2FCF"/>
    <w:multiLevelType w:val="hybridMultilevel"/>
    <w:tmpl w:val="67BCFB04"/>
    <w:lvl w:ilvl="0" w:tplc="5B52EA20">
      <w:start w:val="1"/>
      <w:numFmt w:val="bullet"/>
      <w:lvlText w:val="●"/>
      <w:lvlJc w:val="left"/>
      <w:pPr>
        <w:ind w:left="720" w:hanging="360"/>
      </w:pPr>
    </w:lvl>
    <w:lvl w:ilvl="1" w:tplc="7444F6CE">
      <w:start w:val="1"/>
      <w:numFmt w:val="bullet"/>
      <w:lvlText w:val="○"/>
      <w:lvlJc w:val="left"/>
      <w:pPr>
        <w:ind w:left="1440" w:hanging="360"/>
      </w:pPr>
    </w:lvl>
    <w:lvl w:ilvl="2" w:tplc="DA382326">
      <w:start w:val="1"/>
      <w:numFmt w:val="bullet"/>
      <w:lvlText w:val="■"/>
      <w:lvlJc w:val="left"/>
      <w:pPr>
        <w:ind w:left="2160" w:hanging="360"/>
      </w:pPr>
    </w:lvl>
    <w:lvl w:ilvl="3" w:tplc="CF3A6186">
      <w:start w:val="1"/>
      <w:numFmt w:val="bullet"/>
      <w:lvlText w:val="●"/>
      <w:lvlJc w:val="left"/>
      <w:pPr>
        <w:ind w:left="2880" w:hanging="360"/>
      </w:pPr>
    </w:lvl>
    <w:lvl w:ilvl="4" w:tplc="BF861E72">
      <w:start w:val="1"/>
      <w:numFmt w:val="bullet"/>
      <w:lvlText w:val="○"/>
      <w:lvlJc w:val="left"/>
      <w:pPr>
        <w:ind w:left="3600" w:hanging="360"/>
      </w:pPr>
    </w:lvl>
    <w:lvl w:ilvl="5" w:tplc="72DCE016">
      <w:start w:val="1"/>
      <w:numFmt w:val="bullet"/>
      <w:lvlText w:val="■"/>
      <w:lvlJc w:val="left"/>
      <w:pPr>
        <w:ind w:left="4320" w:hanging="360"/>
      </w:pPr>
    </w:lvl>
    <w:lvl w:ilvl="6" w:tplc="4348A1BA">
      <w:start w:val="1"/>
      <w:numFmt w:val="bullet"/>
      <w:lvlText w:val="●"/>
      <w:lvlJc w:val="left"/>
      <w:pPr>
        <w:ind w:left="5040" w:hanging="360"/>
      </w:pPr>
    </w:lvl>
    <w:lvl w:ilvl="7" w:tplc="D082CA36">
      <w:start w:val="1"/>
      <w:numFmt w:val="bullet"/>
      <w:lvlText w:val="●"/>
      <w:lvlJc w:val="left"/>
      <w:pPr>
        <w:ind w:left="5760" w:hanging="360"/>
      </w:pPr>
    </w:lvl>
    <w:lvl w:ilvl="8" w:tplc="2EBA1F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46B3CA2"/>
    <w:multiLevelType w:val="hybridMultilevel"/>
    <w:tmpl w:val="7074A340"/>
    <w:lvl w:ilvl="0" w:tplc="FFFFFFFF">
      <w:start w:val="1"/>
      <w:numFmt w:val="bullet"/>
      <w:lvlText w:val="•"/>
      <w:lvlJc w:val="left"/>
      <w:pPr>
        <w:ind w:left="360" w:hanging="360"/>
      </w:pPr>
      <w:rPr>
        <w:color w:val="EF7E06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7C16DE"/>
    <w:multiLevelType w:val="hybridMultilevel"/>
    <w:tmpl w:val="9CDC1696"/>
    <w:lvl w:ilvl="0" w:tplc="FFFFFFFF">
      <w:start w:val="1"/>
      <w:numFmt w:val="bullet"/>
      <w:lvlText w:val="•"/>
      <w:lvlJc w:val="left"/>
      <w:pPr>
        <w:ind w:left="360" w:hanging="360"/>
      </w:pPr>
      <w:rPr>
        <w:color w:val="EF7E06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2B3580"/>
    <w:multiLevelType w:val="hybridMultilevel"/>
    <w:tmpl w:val="CE80A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A55F46"/>
    <w:multiLevelType w:val="hybridMultilevel"/>
    <w:tmpl w:val="A8F07F54"/>
    <w:lvl w:ilvl="0" w:tplc="2B327AC4">
      <w:start w:val="1"/>
      <w:numFmt w:val="bullet"/>
      <w:lvlText w:val="•"/>
      <w:lvlJc w:val="left"/>
      <w:pPr>
        <w:ind w:left="460" w:hanging="230"/>
      </w:pPr>
      <w:rPr>
        <w:color w:val="EF7E06"/>
      </w:rPr>
    </w:lvl>
    <w:lvl w:ilvl="1" w:tplc="536496BA">
      <w:start w:val="1"/>
      <w:numFmt w:val="bullet"/>
      <w:lvlText w:val="–"/>
      <w:lvlJc w:val="left"/>
      <w:pPr>
        <w:ind w:left="920" w:hanging="230"/>
      </w:pPr>
      <w:rPr>
        <w:color w:val="6B6B6B"/>
      </w:rPr>
    </w:lvl>
    <w:lvl w:ilvl="2" w:tplc="DD98CFAE">
      <w:numFmt w:val="decimal"/>
      <w:lvlText w:val=""/>
      <w:lvlJc w:val="left"/>
    </w:lvl>
    <w:lvl w:ilvl="3" w:tplc="04E07C06">
      <w:numFmt w:val="decimal"/>
      <w:lvlText w:val=""/>
      <w:lvlJc w:val="left"/>
    </w:lvl>
    <w:lvl w:ilvl="4" w:tplc="75F80CB0">
      <w:numFmt w:val="decimal"/>
      <w:lvlText w:val=""/>
      <w:lvlJc w:val="left"/>
    </w:lvl>
    <w:lvl w:ilvl="5" w:tplc="12CA2CA0">
      <w:numFmt w:val="decimal"/>
      <w:lvlText w:val=""/>
      <w:lvlJc w:val="left"/>
    </w:lvl>
    <w:lvl w:ilvl="6" w:tplc="3E409DD4">
      <w:numFmt w:val="decimal"/>
      <w:lvlText w:val=""/>
      <w:lvlJc w:val="left"/>
    </w:lvl>
    <w:lvl w:ilvl="7" w:tplc="3926B094">
      <w:numFmt w:val="decimal"/>
      <w:lvlText w:val=""/>
      <w:lvlJc w:val="left"/>
    </w:lvl>
    <w:lvl w:ilvl="8" w:tplc="C6182EE6">
      <w:numFmt w:val="decimal"/>
      <w:lvlText w:val=""/>
      <w:lvlJc w:val="left"/>
    </w:lvl>
  </w:abstractNum>
  <w:abstractNum w:abstractNumId="7" w15:restartNumberingAfterBreak="0">
    <w:nsid w:val="68060669"/>
    <w:multiLevelType w:val="hybridMultilevel"/>
    <w:tmpl w:val="44F4B4CC"/>
    <w:lvl w:ilvl="0" w:tplc="6F06BB1E">
      <w:start w:val="1"/>
      <w:numFmt w:val="bullet"/>
      <w:lvlText w:val="●"/>
      <w:lvlJc w:val="left"/>
      <w:pPr>
        <w:ind w:left="720" w:hanging="360"/>
      </w:pPr>
    </w:lvl>
    <w:lvl w:ilvl="1" w:tplc="1C70379A">
      <w:start w:val="1"/>
      <w:numFmt w:val="bullet"/>
      <w:lvlText w:val="○"/>
      <w:lvlJc w:val="left"/>
      <w:pPr>
        <w:ind w:left="1440" w:hanging="360"/>
      </w:pPr>
    </w:lvl>
    <w:lvl w:ilvl="2" w:tplc="6BD8DBB8">
      <w:start w:val="1"/>
      <w:numFmt w:val="bullet"/>
      <w:lvlText w:val="■"/>
      <w:lvlJc w:val="left"/>
      <w:pPr>
        <w:ind w:left="2160" w:hanging="360"/>
      </w:pPr>
    </w:lvl>
    <w:lvl w:ilvl="3" w:tplc="E60850FE">
      <w:start w:val="1"/>
      <w:numFmt w:val="bullet"/>
      <w:lvlText w:val="●"/>
      <w:lvlJc w:val="left"/>
      <w:pPr>
        <w:ind w:left="2880" w:hanging="360"/>
      </w:pPr>
    </w:lvl>
    <w:lvl w:ilvl="4" w:tplc="7F987A36">
      <w:start w:val="1"/>
      <w:numFmt w:val="bullet"/>
      <w:lvlText w:val="○"/>
      <w:lvlJc w:val="left"/>
      <w:pPr>
        <w:ind w:left="3600" w:hanging="360"/>
      </w:pPr>
    </w:lvl>
    <w:lvl w:ilvl="5" w:tplc="FECA4B58">
      <w:start w:val="1"/>
      <w:numFmt w:val="bullet"/>
      <w:lvlText w:val="■"/>
      <w:lvlJc w:val="left"/>
      <w:pPr>
        <w:ind w:left="4320" w:hanging="360"/>
      </w:pPr>
    </w:lvl>
    <w:lvl w:ilvl="6" w:tplc="D4FC4A1A">
      <w:start w:val="1"/>
      <w:numFmt w:val="bullet"/>
      <w:lvlText w:val="●"/>
      <w:lvlJc w:val="left"/>
      <w:pPr>
        <w:ind w:left="5040" w:hanging="360"/>
      </w:pPr>
    </w:lvl>
    <w:lvl w:ilvl="7" w:tplc="3FCE2A5A">
      <w:start w:val="1"/>
      <w:numFmt w:val="bullet"/>
      <w:lvlText w:val="●"/>
      <w:lvlJc w:val="left"/>
      <w:pPr>
        <w:ind w:left="5760" w:hanging="360"/>
      </w:pPr>
    </w:lvl>
    <w:lvl w:ilvl="8" w:tplc="1FF2F05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AD6642C"/>
    <w:multiLevelType w:val="hybridMultilevel"/>
    <w:tmpl w:val="70F6E704"/>
    <w:lvl w:ilvl="0" w:tplc="691E17E8">
      <w:start w:val="1"/>
      <w:numFmt w:val="bullet"/>
      <w:lvlText w:val="•"/>
      <w:lvlJc w:val="left"/>
      <w:pPr>
        <w:ind w:left="360" w:hanging="360"/>
      </w:pPr>
      <w:rPr>
        <w:rFonts w:hint="default"/>
        <w:color w:val="EF7E06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3B71CC"/>
    <w:multiLevelType w:val="hybridMultilevel"/>
    <w:tmpl w:val="00D89C4A"/>
    <w:lvl w:ilvl="0" w:tplc="691E17E8">
      <w:start w:val="1"/>
      <w:numFmt w:val="bullet"/>
      <w:lvlText w:val="•"/>
      <w:lvlJc w:val="left"/>
      <w:pPr>
        <w:ind w:left="460" w:hanging="230"/>
      </w:pPr>
      <w:rPr>
        <w:color w:val="EF7E06"/>
      </w:rPr>
    </w:lvl>
    <w:lvl w:ilvl="1" w:tplc="897CF240">
      <w:start w:val="1"/>
      <w:numFmt w:val="bullet"/>
      <w:lvlText w:val="–"/>
      <w:lvlJc w:val="left"/>
      <w:pPr>
        <w:ind w:left="920" w:hanging="230"/>
      </w:pPr>
      <w:rPr>
        <w:color w:val="6B6B6B"/>
      </w:rPr>
    </w:lvl>
    <w:lvl w:ilvl="2" w:tplc="29E6E61A">
      <w:numFmt w:val="decimal"/>
      <w:lvlText w:val=""/>
      <w:lvlJc w:val="left"/>
    </w:lvl>
    <w:lvl w:ilvl="3" w:tplc="2B6637EA">
      <w:numFmt w:val="decimal"/>
      <w:lvlText w:val=""/>
      <w:lvlJc w:val="left"/>
    </w:lvl>
    <w:lvl w:ilvl="4" w:tplc="867243DA">
      <w:numFmt w:val="decimal"/>
      <w:lvlText w:val=""/>
      <w:lvlJc w:val="left"/>
    </w:lvl>
    <w:lvl w:ilvl="5" w:tplc="747C220C">
      <w:numFmt w:val="decimal"/>
      <w:lvlText w:val=""/>
      <w:lvlJc w:val="left"/>
    </w:lvl>
    <w:lvl w:ilvl="6" w:tplc="718CA012">
      <w:numFmt w:val="decimal"/>
      <w:lvlText w:val=""/>
      <w:lvlJc w:val="left"/>
    </w:lvl>
    <w:lvl w:ilvl="7" w:tplc="810AC128">
      <w:numFmt w:val="decimal"/>
      <w:lvlText w:val=""/>
      <w:lvlJc w:val="left"/>
    </w:lvl>
    <w:lvl w:ilvl="8" w:tplc="CEA65A98">
      <w:numFmt w:val="decimal"/>
      <w:lvlText w:val=""/>
      <w:lvlJc w:val="left"/>
    </w:lvl>
  </w:abstractNum>
  <w:num w:numId="1" w16cid:durableId="298651181">
    <w:abstractNumId w:val="2"/>
    <w:lvlOverride w:ilvl="0">
      <w:startOverride w:val="1"/>
    </w:lvlOverride>
  </w:num>
  <w:num w:numId="2" w16cid:durableId="1788425185">
    <w:abstractNumId w:val="6"/>
    <w:lvlOverride w:ilvl="0">
      <w:startOverride w:val="1"/>
    </w:lvlOverride>
  </w:num>
  <w:num w:numId="3" w16cid:durableId="1148018410">
    <w:abstractNumId w:val="7"/>
    <w:lvlOverride w:ilvl="0">
      <w:startOverride w:val="1"/>
    </w:lvlOverride>
  </w:num>
  <w:num w:numId="4" w16cid:durableId="790823189">
    <w:abstractNumId w:val="9"/>
    <w:lvlOverride w:ilvl="0">
      <w:startOverride w:val="1"/>
    </w:lvlOverride>
  </w:num>
  <w:num w:numId="5" w16cid:durableId="1013453344">
    <w:abstractNumId w:val="0"/>
  </w:num>
  <w:num w:numId="6" w16cid:durableId="971711659">
    <w:abstractNumId w:val="5"/>
  </w:num>
  <w:num w:numId="7" w16cid:durableId="1735198085">
    <w:abstractNumId w:val="9"/>
  </w:num>
  <w:num w:numId="8" w16cid:durableId="1018973126">
    <w:abstractNumId w:val="8"/>
  </w:num>
  <w:num w:numId="9" w16cid:durableId="28381498">
    <w:abstractNumId w:val="1"/>
  </w:num>
  <w:num w:numId="10" w16cid:durableId="98188113">
    <w:abstractNumId w:val="4"/>
  </w:num>
  <w:num w:numId="11" w16cid:durableId="1302153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F01"/>
    <w:rsid w:val="000C46EB"/>
    <w:rsid w:val="00103097"/>
    <w:rsid w:val="001F082E"/>
    <w:rsid w:val="00204DAB"/>
    <w:rsid w:val="00256A22"/>
    <w:rsid w:val="002A09AF"/>
    <w:rsid w:val="002E5379"/>
    <w:rsid w:val="00304312"/>
    <w:rsid w:val="003C44A1"/>
    <w:rsid w:val="00400A1C"/>
    <w:rsid w:val="004A20CA"/>
    <w:rsid w:val="004C33B0"/>
    <w:rsid w:val="004F3A99"/>
    <w:rsid w:val="00516621"/>
    <w:rsid w:val="0052299E"/>
    <w:rsid w:val="00553A26"/>
    <w:rsid w:val="00595F01"/>
    <w:rsid w:val="005B15B9"/>
    <w:rsid w:val="005C455C"/>
    <w:rsid w:val="00676312"/>
    <w:rsid w:val="0069314F"/>
    <w:rsid w:val="007E4B16"/>
    <w:rsid w:val="00877EEF"/>
    <w:rsid w:val="00881C87"/>
    <w:rsid w:val="0088261C"/>
    <w:rsid w:val="008B10D1"/>
    <w:rsid w:val="008D3874"/>
    <w:rsid w:val="009603D5"/>
    <w:rsid w:val="00970FF1"/>
    <w:rsid w:val="009A2D0D"/>
    <w:rsid w:val="00AB75F6"/>
    <w:rsid w:val="00B52A31"/>
    <w:rsid w:val="00BB32EF"/>
    <w:rsid w:val="00BF143A"/>
    <w:rsid w:val="00C1630F"/>
    <w:rsid w:val="00C17FE9"/>
    <w:rsid w:val="00C21789"/>
    <w:rsid w:val="00C70051"/>
    <w:rsid w:val="00C73B8D"/>
    <w:rsid w:val="00CD66AE"/>
    <w:rsid w:val="00D6693B"/>
    <w:rsid w:val="00E20C60"/>
    <w:rsid w:val="00E81D5E"/>
    <w:rsid w:val="00EF1B5C"/>
    <w:rsid w:val="00EF5D9E"/>
    <w:rsid w:val="00FA72B6"/>
    <w:rsid w:val="00FB4014"/>
    <w:rsid w:val="00FC2CC0"/>
    <w:rsid w:val="00FE1527"/>
    <w:rsid w:val="00FF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1C0F"/>
  <w15:docId w15:val="{B51F95DF-39A9-41CB-AC37-F9861394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D66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D66AE"/>
  </w:style>
  <w:style w:type="paragraph" w:styleId="Rodap">
    <w:name w:val="footer"/>
    <w:basedOn w:val="Normal"/>
    <w:link w:val="RodapChar"/>
    <w:uiPriority w:val="99"/>
    <w:unhideWhenUsed/>
    <w:rsid w:val="00CD66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D6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1004</Words>
  <Characters>5605</Characters>
  <Application>Microsoft Office Word</Application>
  <DocSecurity>0</DocSecurity>
  <Lines>233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 — Staff C-Level — 01/07/2026</vt:lpstr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Staff C-Level — 01/07/2026</dc:title>
  <dc:creator>Acta Robotics</dc:creator>
  <cp:lastModifiedBy>Diego Nunes</cp:lastModifiedBy>
  <cp:revision>46</cp:revision>
  <dcterms:created xsi:type="dcterms:W3CDTF">2026-07-01T14:53:00Z</dcterms:created>
  <dcterms:modified xsi:type="dcterms:W3CDTF">2026-07-08T16:21:00Z</dcterms:modified>
</cp:coreProperties>
</file>