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Solving the carbonate-site mass balance with the measured Ca and Mg as competitors, and closing the constant capacitance electrostatic loop (C = 138 F m⁻²), gives point-by-point constants that are flat in pH for lithium, log K(&gt;CO₃Li⁰) = −2.31 (electrostatic) and −2.35 (non-electrostatic) over five usable points with an internal spread of 0.2 log units. Lithium is site-limited, however: the carbonate-site inventory can hold at most 3.2 % of the 20 mmol L⁻¹ present and the measured removal is 71 % of that ceiling, so at ±3 % analytical precision the propagated interval on the constant spans several log units and the value is an order of magnitude rather than a constant. Cobalt has two usable points (apparent log K = −2.18); its only well-measured point is supersaturated with sphaerocobaltite and is excluded. The constant taken from the aqueous–surface analogy of Van Cappellen et al. (1993) and Pokrovsky and Schott (2002), log K(&gt;CO₃Co⁺) = −0.79, over-predicts the observed cobalt uptake by a factor of 3.5 to 7.4, a discrepancy attributable to the borrowed constant, to a reactive area of 13 to 29 % of the BET area, or to incomplete equilibration, which the present design cannot separate.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0.006</w:t>
            </w:r>
          </w:p>
        </w:tc>
        <w:tc>
          <w:tcPr>
            <w:tcW w:type="dxa" w:w="1728"/>
          </w:tcPr>
          <w:p>
            <w:r>
              <w:rPr>
                <w:sz w:val="18"/>
              </w:rPr>
            </w:r>
          </w:p>
        </w:tc>
        <w:tc>
          <w:tcPr>
            <w:tcW w:type="dxa" w:w="1728"/>
          </w:tcPr>
          <w:p>
            <w:r>
              <w:rPr>
                <w:sz w:val="18"/>
              </w:rPr>
            </w:r>
          </w:p>
        </w:tc>
        <w:tc>
          <w:tcPr>
            <w:tcW w:type="dxa" w:w="1728"/>
          </w:tcPr>
          <w:p>
            <w:r>
              <w:rPr>
                <w:sz w:val="18"/>
              </w:rPr>
            </w:r>
            <w:r>
              <w:rPr>
                <w:sz w:val="18"/>
              </w:rPr>
              <w:t>138 F m⁻² at I = 0.684 M (Pokrovsky &amp; Schott, 2002; Belova et al., 2014)</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the notebook prints the complete Visual MINTEQ input for that point (components, totals, fixed pH and pCO₂, activity model) together with the values it produces, so that the hand-coded speciation can be compared line by line with an independent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−0.42</w:t>
            </w:r>
          </w:p>
        </w:tc>
        <w:tc>
          <w:tcPr>
            <w:tcW w:type="dxa" w:w="720"/>
          </w:tcPr>
          <w:p>
            <w:r>
              <w:rPr>
                <w:sz w:val="18"/>
              </w:rPr>
            </w:r>
            <w:r>
              <w:rPr>
                <w:sz w:val="18"/>
              </w:rPr>
              <w:t>−2.34</w:t>
            </w:r>
          </w:p>
        </w:tc>
        <w:tc>
          <w:tcPr>
            <w:tcW w:type="dxa" w:w="720"/>
          </w:tcPr>
          <w:p>
            <w:r>
              <w:rPr>
                <w:sz w:val="18"/>
              </w:rPr>
            </w:r>
            <w:r>
              <w:rPr>
                <w:sz w:val="18"/>
              </w:rPr>
              <w:t>−5.41 to −1.88</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−2.05</w:t>
            </w:r>
          </w:p>
        </w:tc>
        <w:tc>
          <w:tcPr>
            <w:tcW w:type="dxa" w:w="720"/>
          </w:tcPr>
          <w:p>
            <w:r>
              <w:rPr>
                <w:sz w:val="18"/>
              </w:rPr>
            </w:r>
            <w:r>
              <w:rPr>
                <w:sz w:val="18"/>
              </w:rPr>
              <w:t>−2.86 to −1.69</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−2.31 to −1.62</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−1.94</w:t>
            </w:r>
          </w:p>
        </w:tc>
        <w:tc>
          <w:tcPr>
            <w:tcW w:type="dxa" w:w="720"/>
          </w:tcPr>
          <w:p>
            <w:r>
              <w:rPr>
                <w:sz w:val="18"/>
              </w:rPr>
            </w:r>
            <w:r>
              <w:rPr>
                <w:sz w:val="18"/>
              </w:rPr>
              <w:t>−4.95 to −1.18</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−2.63</w:t>
            </w:r>
          </w:p>
        </w:tc>
        <w:tc>
          <w:tcPr>
            <w:tcW w:type="dxa" w:w="720"/>
          </w:tcPr>
          <w:p>
            <w:r>
              <w:rPr>
                <w:sz w:val="18"/>
              </w:rPr>
            </w:r>
            <w:r>
              <w:rPr>
                <w:sz w:val="18"/>
              </w:rPr>
              <w:t>−5.64 to −1.80</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−3.47</w:t>
            </w:r>
          </w:p>
        </w:tc>
        <w:tc>
          <w:tcPr>
            <w:tcW w:type="dxa" w:w="720"/>
          </w:tcPr>
          <w:p>
            <w:r>
              <w:rPr>
                <w:sz w:val="18"/>
              </w:rPr>
            </w:r>
            <w:r>
              <w:rPr>
                <w:sz w:val="18"/>
              </w:rPr>
              <w:t>−6.48 to −1.92</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w:t>
            </w:r>
          </w:p>
        </w:tc>
        <w:tc>
          <w:tcPr>
            <w:tcW w:type="dxa" w:w="720"/>
          </w:tcPr>
          <w:p>
            <w:r>
              <w:rPr>
                <w:sz w:val="18"/>
              </w:rPr>
            </w:r>
            <w:r>
              <w:rPr>
                <w:sz w:val="18"/>
              </w:rPr>
              <w:t>154</w:t>
            </w:r>
          </w:p>
        </w:tc>
        <w:tc>
          <w:tcPr>
            <w:tcW w:type="dxa" w:w="720"/>
          </w:tcPr>
          <w:p>
            <w:r>
              <w:rPr>
                <w:sz w:val="18"/>
              </w:rPr>
            </w:r>
            <w:r>
              <w:rPr>
                <w:sz w:val="18"/>
              </w:rPr>
              <w:t>−7.6</w:t>
            </w:r>
          </w:p>
        </w:tc>
        <w:tc>
          <w:tcPr>
            <w:tcW w:type="dxa" w:w="720"/>
          </w:tcPr>
          <w:p>
            <w:r>
              <w:rPr>
                <w:sz w:val="18"/>
              </w:rPr>
            </w:r>
            <w:r>
              <w:rPr>
                <w:sz w:val="18"/>
              </w:rPr>
              <w:t>−1.97</w:t>
            </w:r>
          </w:p>
        </w:tc>
        <w:tc>
          <w:tcPr>
            <w:tcW w:type="dxa" w:w="720"/>
          </w:tcPr>
          <w:p>
            <w:r>
              <w:rPr>
                <w:sz w:val="18"/>
              </w:rPr>
            </w:r>
            <w:r>
              <w:rPr>
                <w:sz w:val="18"/>
              </w:rPr>
              <w:t>−5.85 to +0.29</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w:t>
            </w:r>
          </w:p>
        </w:tc>
        <w:tc>
          <w:tcPr>
            <w:tcW w:type="dxa" w:w="720"/>
          </w:tcPr>
          <w:p>
            <w:r>
              <w:rPr>
                <w:sz w:val="18"/>
              </w:rPr>
            </w:r>
            <w:r>
              <w:rPr>
                <w:sz w:val="18"/>
              </w:rPr>
              <w:t>342</w:t>
            </w:r>
          </w:p>
        </w:tc>
        <w:tc>
          <w:tcPr>
            <w:tcW w:type="dxa" w:w="720"/>
          </w:tcPr>
          <w:p>
            <w:r>
              <w:rPr>
                <w:sz w:val="18"/>
              </w:rPr>
            </w:r>
            <w:r>
              <w:rPr>
                <w:sz w:val="18"/>
              </w:rPr>
              <w:t>−7.1</w:t>
            </w:r>
          </w:p>
        </w:tc>
        <w:tc>
          <w:tcPr>
            <w:tcW w:type="dxa" w:w="720"/>
          </w:tcPr>
          <w:p>
            <w:r>
              <w:rPr>
                <w:sz w:val="18"/>
              </w:rPr>
            </w:r>
            <w:r>
              <w:rPr>
                <w:sz w:val="18"/>
              </w:rPr>
              <w:t>−2.95</w:t>
            </w:r>
          </w:p>
        </w:tc>
        <w:tc>
          <w:tcPr>
            <w:tcW w:type="dxa" w:w="720"/>
          </w:tcPr>
          <w:p>
            <w:r>
              <w:rPr>
                <w:sz w:val="18"/>
              </w:rPr>
            </w:r>
            <w:r>
              <w:rPr>
                <w:sz w:val="18"/>
              </w:rPr>
              <w:t>−6.17 to +0.28</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w:t>
            </w:r>
          </w:p>
        </w:tc>
        <w:tc>
          <w:tcPr>
            <w:tcW w:type="dxa" w:w="720"/>
          </w:tcPr>
          <w:p>
            <w:r>
              <w:rPr>
                <w:sz w:val="18"/>
              </w:rPr>
            </w:r>
            <w:r>
              <w:rPr>
                <w:sz w:val="18"/>
              </w:rPr>
              <w:t>183</w:t>
            </w:r>
          </w:p>
        </w:tc>
        <w:tc>
          <w:tcPr>
            <w:tcW w:type="dxa" w:w="720"/>
          </w:tcPr>
          <w:p>
            <w:r>
              <w:rPr>
                <w:sz w:val="18"/>
              </w:rPr>
            </w:r>
            <w:r>
              <w:rPr>
                <w:sz w:val="18"/>
              </w:rPr>
              <w:t>−6.4</w:t>
            </w:r>
          </w:p>
        </w:tc>
        <w:tc>
          <w:tcPr>
            <w:tcW w:type="dxa" w:w="720"/>
          </w:tcPr>
          <w:p>
            <w:r>
              <w:rPr>
                <w:sz w:val="18"/>
              </w:rPr>
            </w:r>
            <w:r>
              <w:rPr>
                <w:sz w:val="18"/>
              </w:rPr>
              <w:t>−2.37</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6.9</w:t>
            </w:r>
          </w:p>
        </w:tc>
        <w:tc>
          <w:tcPr>
            <w:tcW w:type="dxa" w:w="720"/>
          </w:tcPr>
          <w:p>
            <w:r>
              <w:rPr>
                <w:sz w:val="18"/>
              </w:rPr>
            </w:r>
            <w:r>
              <w:rPr>
                <w:sz w:val="18"/>
              </w:rPr>
              <w:t>269</w:t>
            </w:r>
          </w:p>
        </w:tc>
        <w:tc>
          <w:tcPr>
            <w:tcW w:type="dxa" w:w="720"/>
          </w:tcPr>
          <w:p>
            <w:r>
              <w:rPr>
                <w:sz w:val="18"/>
              </w:rPr>
            </w:r>
            <w:r>
              <w:rPr>
                <w:sz w:val="18"/>
              </w:rPr>
              <w:t>−14.4</w:t>
            </w:r>
          </w:p>
        </w:tc>
        <w:tc>
          <w:tcPr>
            <w:tcW w:type="dxa" w:w="720"/>
          </w:tcPr>
          <w:p>
            <w:r>
              <w:rPr>
                <w:sz w:val="18"/>
              </w:rPr>
            </w:r>
            <w:r>
              <w:rPr>
                <w:sz w:val="18"/>
              </w:rPr>
              <w:t>−2.23</w:t>
            </w:r>
          </w:p>
        </w:tc>
        <w:tc>
          <w:tcPr>
            <w:tcW w:type="dxa" w:w="720"/>
          </w:tcPr>
          <w:p>
            <w:r>
              <w:rPr>
                <w:sz w:val="18"/>
              </w:rPr>
            </w:r>
            <w:r>
              <w:rPr>
                <w:sz w:val="18"/>
              </w:rPr>
              <w:t>−5.53 to +0.79</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w:t>
            </w:r>
          </w:p>
        </w:tc>
        <w:tc>
          <w:tcPr>
            <w:tcW w:type="dxa" w:w="720"/>
          </w:tcPr>
          <w:p>
            <w:r>
              <w:rPr>
                <w:sz w:val="18"/>
              </w:rPr>
            </w:r>
            <w:r>
              <w:rPr>
                <w:sz w:val="18"/>
              </w:rPr>
              <w:t>235</w:t>
            </w:r>
          </w:p>
        </w:tc>
        <w:tc>
          <w:tcPr>
            <w:tcW w:type="dxa" w:w="720"/>
          </w:tcPr>
          <w:p>
            <w:r>
              <w:rPr>
                <w:sz w:val="18"/>
              </w:rPr>
            </w:r>
            <w:r>
              <w:rPr>
                <w:sz w:val="18"/>
              </w:rPr>
              <w:t>−11.5</w:t>
            </w:r>
          </w:p>
        </w:tc>
        <w:tc>
          <w:tcPr>
            <w:tcW w:type="dxa" w:w="720"/>
          </w:tcPr>
          <w:p>
            <w:r>
              <w:rPr>
                <w:sz w:val="18"/>
              </w:rPr>
            </w:r>
            <w:r>
              <w:rPr>
                <w:sz w:val="18"/>
              </w:rPr>
              <w:t>−2.51</w:t>
            </w:r>
          </w:p>
        </w:tc>
        <w:tc>
          <w:tcPr>
            <w:tcW w:type="dxa" w:w="720"/>
          </w:tcPr>
          <w:p>
            <w:r>
              <w:rPr>
                <w:sz w:val="18"/>
              </w:rPr>
            </w:r>
            <w:r>
              <w:rPr>
                <w:sz w:val="18"/>
              </w:rPr>
              <w:t>−5.88 to +0.40</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9.0</w:t>
            </w:r>
          </w:p>
        </w:tc>
        <w:tc>
          <w:tcPr>
            <w:tcW w:type="dxa" w:w="720"/>
          </w:tcPr>
          <w:p>
            <w:r>
              <w:rPr>
                <w:sz w:val="18"/>
              </w:rPr>
            </w:r>
            <w:r>
              <w:rPr>
                <w:sz w:val="18"/>
              </w:rPr>
              <w:t>205</w:t>
            </w:r>
          </w:p>
        </w:tc>
        <w:tc>
          <w:tcPr>
            <w:tcW w:type="dxa" w:w="720"/>
          </w:tcPr>
          <w:p>
            <w:r>
              <w:rPr>
                <w:sz w:val="18"/>
              </w:rPr>
            </w:r>
            <w:r>
              <w:rPr>
                <w:sz w:val="18"/>
              </w:rPr>
              <w:t>−8.8</w:t>
            </w:r>
          </w:p>
        </w:tc>
        <w:tc>
          <w:tcPr>
            <w:tcW w:type="dxa" w:w="720"/>
          </w:tcPr>
          <w:p>
            <w:r>
              <w:rPr>
                <w:sz w:val="18"/>
              </w:rPr>
            </w:r>
            <w:r>
              <w:rPr>
                <w:sz w:val="18"/>
              </w:rPr>
              <w:t>−2.37</w:t>
            </w:r>
          </w:p>
        </w:tc>
        <w:tc>
          <w:tcPr>
            <w:tcW w:type="dxa" w:w="720"/>
          </w:tcPr>
          <w:p>
            <w:r>
              <w:rPr>
                <w:sz w:val="18"/>
              </w:rPr>
            </w:r>
            <w:r>
              <w:rPr>
                <w:sz w:val="18"/>
              </w:rPr>
              <w:t>−5.83 to +0.39</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sz w:val="18"/>
              </w:rPr>
              <w:t>−2.31</w:t>
            </w:r>
          </w:p>
        </w:tc>
        <w:tc>
          <w:tcPr>
            <w:tcW w:type="dxa" w:w="1234"/>
          </w:tcPr>
          <w:p>
            <w:r>
              <w:rPr>
                <w:sz w:val="18"/>
              </w:rPr>
            </w:r>
            <w:r>
              <w:rPr>
                <w:sz w:val="18"/>
              </w:rPr>
              <w:t>−2.35</w:t>
            </w:r>
          </w:p>
        </w:tc>
        <w:tc>
          <w:tcPr>
            <w:tcW w:type="dxa" w:w="1234"/>
          </w:tcPr>
          <w:p>
            <w:r>
              <w:rPr>
                <w:sz w:val="18"/>
              </w:rPr>
            </w:r>
            <w:r>
              <w:rPr>
                <w:sz w:val="18"/>
              </w:rPr>
              <w:t>0.21</w:t>
            </w:r>
          </w:p>
        </w:tc>
        <w:tc>
          <w:tcPr>
            <w:tcW w:type="dxa" w:w="1234"/>
          </w:tcPr>
          <w:p>
            <w:r>
              <w:rPr>
                <w:sz w:val="18"/>
              </w:rPr>
            </w:r>
            <w:r>
              <w:rPr>
                <w:sz w:val="18"/>
              </w:rPr>
              <w:t>≈ −5.4 to +0.8</w:t>
            </w:r>
          </w:p>
        </w:tc>
        <w:tc>
          <w:tcPr>
            <w:tcW w:type="dxa" w:w="1234"/>
          </w:tcPr>
          <w:p>
            <w:r>
              <w:rPr>
                <w:sz w:val="18"/>
              </w:rPr>
            </w:r>
            <w:r>
              <w:rPr>
                <w:sz w:val="18"/>
              </w:rPr>
              <w:t>fitted; site-limited; order of magnitude only</w:t>
            </w:r>
          </w:p>
        </w:tc>
      </w:tr>
      <w:tr>
        <w:tc>
          <w:tcPr>
            <w:tcW w:type="dxa" w:w="1234"/>
          </w:tcPr>
          <w:p>
            <w:r>
              <w:rPr>
                <w:sz w:val="18"/>
              </w:rPr>
            </w:r>
            <w:r>
              <w:rPr>
                <w:sz w:val="18"/>
              </w:rPr>
              <w:t>&gt;CO₃H⁰ + Co²⁺ ⇌ &gt;CO₃Co⁺ + H⁺ (apparent)</w:t>
            </w:r>
          </w:p>
        </w:tc>
        <w:tc>
          <w:tcPr>
            <w:tcW w:type="dxa" w:w="1234"/>
          </w:tcPr>
          <w:p>
            <w:r>
              <w:rPr>
                <w:sz w:val="18"/>
              </w:rPr>
            </w:r>
            <w:r>
              <w:rPr>
                <w:sz w:val="18"/>
              </w:rPr>
              <w:t>2</w:t>
            </w:r>
          </w:p>
        </w:tc>
        <w:tc>
          <w:tcPr>
            <w:tcW w:type="dxa" w:w="1234"/>
          </w:tcPr>
          <w:p>
            <w:r>
              <w:rPr>
                <w:sz w:val="18"/>
              </w:rPr>
            </w:r>
            <w:r>
              <w:rPr>
                <w:sz w:val="18"/>
              </w:rPr>
              <w:t>−2.18</w:t>
            </w:r>
          </w:p>
        </w:tc>
        <w:tc>
          <w:tcPr>
            <w:tcW w:type="dxa" w:w="1234"/>
          </w:tcPr>
          <w:p>
            <w:r>
              <w:rPr>
                <w:sz w:val="18"/>
              </w:rPr>
            </w:r>
            <w:r>
              <w:rPr>
                <w:sz w:val="18"/>
              </w:rPr>
              <w:t>−2.24</w:t>
            </w:r>
          </w:p>
        </w:tc>
        <w:tc>
          <w:tcPr>
            <w:tcW w:type="dxa" w:w="1234"/>
          </w:tcPr>
          <w:p>
            <w:r>
              <w:rPr>
                <w:sz w:val="18"/>
              </w:rPr>
            </w:r>
            <w:r>
              <w:rPr>
                <w:sz w:val="18"/>
              </w:rPr>
              <w:t>0.21</w:t>
            </w:r>
          </w:p>
        </w:tc>
        <w:tc>
          <w:tcPr>
            <w:tcW w:type="dxa" w:w="1234"/>
          </w:tcPr>
          <w:p>
            <w:r>
              <w:rPr>
                <w:sz w:val="18"/>
              </w:rPr>
            </w:r>
            <w:r>
              <w:rPr>
                <w:sz w:val="18"/>
              </w:rPr>
              <w:t>≈ −3.4 to −1.0</w:t>
            </w:r>
          </w:p>
        </w:tc>
        <w:tc>
          <w:tcPr>
            <w:tcW w:type="dxa" w:w="1234"/>
          </w:tcPr>
          <w:p>
            <w:r>
              <w:rPr>
                <w:sz w:val="18"/>
              </w:rPr>
            </w:r>
            <w:r>
              <w:rPr>
                <w:sz w:val="18"/>
              </w:rPr>
              <w:t>apparent; not an intrinsic constant</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(slope 0.00 per pH unit across the equilibrium points) and internally consistent to 0.2 log units across five samples, and the electrostatic and non-electrostatic values agree to 0.04 log units, as expected at C = 138 F m⁻². That consistency is not accuracy: because the surface is near saturation with lithium, the inversion of Eq. 13 is insensitive, and propagating the ±3 % analytical error gives an interval of several log units. At ±1 % analytical precision the propagated half-width would fall to about 1.7 log units, but the site limitation remains; an isotherm at lower lithium concentration is what constrains the constant. Cobalt has two usable points, both pre-equilibrium and undersaturated, giving an apparent value of −2.18 that is reported only as such.</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and cannot be separated with two pH values and one concentration: (a) the borrowed constant, the usable points giving an apparent value 1.4 log units weaker than the analogy; (b) a reactive area of 13 to 29 % of the BET area, the same adjustment Belova et al. (2014) explored; (c) incomplete equilibration, since removal is still rising at day 6 (Figure 1), so the day-6 coverage is a lower bound. The saturation index of sphaerocobaltite crosses zero between day 4 and day 6 in the pH 6 batch, marking where precipitation would begin to add to sorption.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sensitivity is, however, small: swapping Ca and Mg in the cobalt pH 6 day-6 point leaves the point-by-point constant unchanged at −1.89, because the two competitor constants (−1.8 and −2.0) are nearly equal and both species are minor at these concentrations. If the raw run confirms the values, the pattern is real incongruent dissolution and should be reported as such.</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 log units across five samples is a statement about the samples, not about the constant, and the propagated interval of several log units is the honest width.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which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Calcium and magnesium competition does not resolve it: the two competitor constants are nearly equal and the swap test of §3.6 moves the constant by less than 0.01. The present design cannot separate these three; an isotherm at fixed pH does.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For the present low-uptake data set, lithium behaves as a sorbing ion with a pH-independent constant, log K(&gt;CO₃Li⁰) ≈ −2.3 (electrostatic and non-electrostatic agree to 0.04), but it is site-limited: the surface holds at most 3.2 % of the lithium present and is 71 % full, so the propagated interval spans several log units and the value is an order of magnitude, conditional on the borrowed site parameters. The reported 8.5 % lithium recovery on fine dolomite is 2.4 times the sorption ceiling, so the earlier attribution of lithium recovery to sorption needs to be revisited for those runs.</w:t>
      </w:r>
    </w:p>
    <w:p>
      <w:pPr>
        <w:pStyle w:val="ListNumber"/>
      </w:pPr>
      <w:r>
        <w:t>Cobalt has two usable points; its best-measured point is supersaturated with sphaerocobaltite and is excluded. The apparent value from the usable points (−2.18) is reported only as such.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The published surface concentration of 0.046 to 0.049 m² L⁻¹ should be corrected to ≈ 50 m² L⁻¹ (m² mL⁻¹ in the original).</w:t>
      </w:r>
    </w:p>
    <w:p>
      <w:pPr>
        <w:pStyle w:val="ListNumber"/>
      </w:pPr>
      <w:r>
        <w:t>The hand-coded speciation is set up for line-by-line comparison with Visual MINTEQ at one point, and the activity-model floor at this ionic strength is 0.10 log units.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but its interval is wide because the surface is near saturation.</w:t>
      </w:r>
    </w:p>
    <w:p>
      <w:pPr>
        <w:jc w:val="center"/>
      </w:pPr>
      <w:r>
        <w:drawing>
          <wp:inline xmlns:a="http://schemas.openxmlformats.org/drawingml/2006/main" xmlns:pic="http://schemas.openxmlformats.org/drawingml/2006/picture">
            <wp:extent cx="5669280" cy="2382153"/>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2382153"/>
                    </a:xfrm>
                    <a:prstGeom prst="rect"/>
                  </pic:spPr>
                </pic:pic>
              </a:graphicData>
            </a:graphic>
          </wp:inline>
        </w:drawing>
      </w:r>
    </w:p>
    <w:p>
      <w:r>
        <w:rPr>
          <w:b/>
        </w:rPr>
        <w:t>Figure 7.</w:t>
      </w:r>
      <w:r>
        <w:t xml:space="preserve"> Cobalt: (a) measured removal (solid) against the sorption predicted with the analogy constant log K = −0.79 (dashed), for the two batches; (b) saturation index of sphaerocobaltite at the same points, with the supersaturated region shaded. The prediction lies above the measurement at every point (Table 7).</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