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Neither constant proves determinable, and the two fail for different reasons, which is itself the result. For lithium the point-by-point constant is flat in pH (slope +0.02 per pH unit over five usable points spanning pH 4.3 to 8.3, internal spread 0.21), but lithium was dosed above the surface's capacity: the carbonate-site inventory can hold at most 3.2 % of the 20 mmol L⁻¹ present and the measured 2.3 % removal already fills 71 % of the surface, so the mass-action inversion is insensitive and the interval propagated from ±3 % analytical precision runs from −5.9 to +0.8. No central value is reported for lithium. Cobalt sits comfortably inside the monolayer bound (removal is 16 % of its site ceiling of 46.7 %), but its two usable points are both pre-equilibrium (day 2 and day 4 of the pH 6 batch); every day-6 point is excluded, one for sphaerocobaltite supersaturation (SI = +0.93) and three for being within analytical noise. The resulting apparent log K = −2.18 ± 1.18 is a kinetic snapshot rather than an equilibrium constant, and the two usable points span only 0.08 pH units, too narrow for the flat-line diagnostic. The constant taken from the aqueous–surface analogy of Van Cappellen et al. (1993) and Pokrovsky and Schott (2002), log K(&gt;CO₃Co⁺) = −0.79, over-predicts the observed cobalt uptake by a factor of 3.5 to 7.4, so precipitation is not required to explain the removal measured in this low-uptake data set; the sorption prediction itself is too high. Ca/Mg competition and precipitation are both ruled out as causes by the data, leaving the borrowed constant, a reactive area of 13 to 29 % of BET (a three- to eight-fold reduction, against the 1.4-fold reduction Belova et al. explored), or incomplete equilibration, which the present design cannot separate.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−8.48 for calcite (Plummer &amp; Busenberg, 1982), −17.09 for ordered dolomite (Parkhurst &amp; Appelo, 2013), −9.98 for sphaerocobaltite CoCO₃ (Smith &amp; Martell, 2004) and ≈ −2.5 for zabuyelite Li₂CO₃.</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calcite and magnesite columns are given for provenance.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0.006</w:t>
            </w:r>
          </w:p>
        </w:tc>
        <w:tc>
          <w:tcPr>
            <w:tcW w:type="dxa" w:w="1728"/>
          </w:tcPr>
          <w:p>
            <w:r>
              <w:rPr>
                <w:sz w:val="18"/>
              </w:rPr>
            </w:r>
          </w:p>
        </w:tc>
        <w:tc>
          <w:tcPr>
            <w:tcW w:type="dxa" w:w="1728"/>
          </w:tcPr>
          <w:p>
            <w:r>
              <w:rPr>
                <w:sz w:val="18"/>
              </w:rPr>
            </w:r>
          </w:p>
        </w:tc>
        <w:tc>
          <w:tcPr>
            <w:tcW w:type="dxa" w:w="1728"/>
          </w:tcPr>
          <w:p>
            <w:r>
              <w:rPr>
                <w:sz w:val="18"/>
              </w:rPr>
            </w:r>
            <w:r>
              <w:rPr>
                <w:sz w:val="18"/>
              </w:rPr>
              <w:t>138 F m⁻² at I = 0.684 M (Pokrovsky &amp; Schott, 2002; Belova et al., 2014)</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 A point was used in the fit only if it passed both tests and its relative coverage error was below 300 %; every exclusion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the notebook prints the complete Visual MINTEQ input for that point (components, totals, fixed pH and pCO₂, activity model) together with the values it produces, so that the hand-coded speciation can be compared line by line with an independent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carbonate-site density by a factor of 1.7 to 2.4 (2.9 to 4.1 relative to the calcite value of Belova et al., 2014)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Calcite approaches saturation in the lithium pH 6 batch at day 6 (SI = −0.08); dolomite remains undersaturated at all points (SI ≤ −1.6); Li₂CO₃ is far undersaturated (SI ≤ −6.4).</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−0.42</w:t>
            </w:r>
          </w:p>
        </w:tc>
        <w:tc>
          <w:tcPr>
            <w:tcW w:type="dxa" w:w="720"/>
          </w:tcPr>
          <w:p>
            <w:r>
              <w:rPr>
                <w:sz w:val="18"/>
              </w:rPr>
            </w:r>
            <w:r>
              <w:rPr>
                <w:sz w:val="18"/>
              </w:rPr>
              <w:t>−2.34</w:t>
            </w:r>
          </w:p>
        </w:tc>
        <w:tc>
          <w:tcPr>
            <w:tcW w:type="dxa" w:w="720"/>
          </w:tcPr>
          <w:p>
            <w:r>
              <w:rPr>
                <w:sz w:val="18"/>
              </w:rPr>
            </w:r>
            <w:r>
              <w:rPr>
                <w:sz w:val="18"/>
              </w:rPr>
              <w:t>−5.41 to −1.88</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−2.05</w:t>
            </w:r>
          </w:p>
        </w:tc>
        <w:tc>
          <w:tcPr>
            <w:tcW w:type="dxa" w:w="720"/>
          </w:tcPr>
          <w:p>
            <w:r>
              <w:rPr>
                <w:sz w:val="18"/>
              </w:rPr>
            </w:r>
            <w:r>
              <w:rPr>
                <w:sz w:val="18"/>
              </w:rPr>
              <w:t>−2.86 to −1.69</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−2.31 to −1.62</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−1.94</w:t>
            </w:r>
          </w:p>
        </w:tc>
        <w:tc>
          <w:tcPr>
            <w:tcW w:type="dxa" w:w="720"/>
          </w:tcPr>
          <w:p>
            <w:r>
              <w:rPr>
                <w:sz w:val="18"/>
              </w:rPr>
            </w:r>
            <w:r>
              <w:rPr>
                <w:sz w:val="18"/>
              </w:rPr>
              <w:t>−4.95 to −1.18</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−2.63</w:t>
            </w:r>
          </w:p>
        </w:tc>
        <w:tc>
          <w:tcPr>
            <w:tcW w:type="dxa" w:w="720"/>
          </w:tcPr>
          <w:p>
            <w:r>
              <w:rPr>
                <w:sz w:val="18"/>
              </w:rPr>
            </w:r>
            <w:r>
              <w:rPr>
                <w:sz w:val="18"/>
              </w:rPr>
              <w:t>−5.64 to −1.80</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−3.47</w:t>
            </w:r>
          </w:p>
        </w:tc>
        <w:tc>
          <w:tcPr>
            <w:tcW w:type="dxa" w:w="720"/>
          </w:tcPr>
          <w:p>
            <w:r>
              <w:rPr>
                <w:sz w:val="18"/>
              </w:rPr>
            </w:r>
            <w:r>
              <w:rPr>
                <w:sz w:val="18"/>
              </w:rPr>
              <w:t>−6.48 to −1.92</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w:t>
            </w:r>
          </w:p>
        </w:tc>
        <w:tc>
          <w:tcPr>
            <w:tcW w:type="dxa" w:w="720"/>
          </w:tcPr>
          <w:p>
            <w:r>
              <w:rPr>
                <w:sz w:val="18"/>
              </w:rPr>
            </w:r>
            <w:r>
              <w:rPr>
                <w:sz w:val="18"/>
              </w:rPr>
              <w:t>154</w:t>
            </w:r>
          </w:p>
        </w:tc>
        <w:tc>
          <w:tcPr>
            <w:tcW w:type="dxa" w:w="720"/>
          </w:tcPr>
          <w:p>
            <w:r>
              <w:rPr>
                <w:sz w:val="18"/>
              </w:rPr>
            </w:r>
            <w:r>
              <w:rPr>
                <w:sz w:val="18"/>
              </w:rPr>
              <w:t>−7.6</w:t>
            </w:r>
          </w:p>
        </w:tc>
        <w:tc>
          <w:tcPr>
            <w:tcW w:type="dxa" w:w="720"/>
          </w:tcPr>
          <w:p>
            <w:r>
              <w:rPr>
                <w:sz w:val="18"/>
              </w:rPr>
            </w:r>
            <w:r>
              <w:rPr>
                <w:sz w:val="18"/>
              </w:rPr>
              <w:t>−1.97</w:t>
            </w:r>
          </w:p>
        </w:tc>
        <w:tc>
          <w:tcPr>
            <w:tcW w:type="dxa" w:w="720"/>
          </w:tcPr>
          <w:p>
            <w:r>
              <w:rPr>
                <w:sz w:val="18"/>
              </w:rPr>
            </w:r>
            <w:r>
              <w:rPr>
                <w:sz w:val="18"/>
              </w:rPr>
              <w:t>−5.85 to +0.29</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w:t>
            </w:r>
          </w:p>
        </w:tc>
        <w:tc>
          <w:tcPr>
            <w:tcW w:type="dxa" w:w="720"/>
          </w:tcPr>
          <w:p>
            <w:r>
              <w:rPr>
                <w:sz w:val="18"/>
              </w:rPr>
            </w:r>
            <w:r>
              <w:rPr>
                <w:sz w:val="18"/>
              </w:rPr>
              <w:t>342</w:t>
            </w:r>
          </w:p>
        </w:tc>
        <w:tc>
          <w:tcPr>
            <w:tcW w:type="dxa" w:w="720"/>
          </w:tcPr>
          <w:p>
            <w:r>
              <w:rPr>
                <w:sz w:val="18"/>
              </w:rPr>
            </w:r>
            <w:r>
              <w:rPr>
                <w:sz w:val="18"/>
              </w:rPr>
              <w:t>−7.1</w:t>
            </w:r>
          </w:p>
        </w:tc>
        <w:tc>
          <w:tcPr>
            <w:tcW w:type="dxa" w:w="720"/>
          </w:tcPr>
          <w:p>
            <w:r>
              <w:rPr>
                <w:sz w:val="18"/>
              </w:rPr>
            </w:r>
            <w:r>
              <w:rPr>
                <w:sz w:val="18"/>
              </w:rPr>
              <w:t>−2.95</w:t>
            </w:r>
          </w:p>
        </w:tc>
        <w:tc>
          <w:tcPr>
            <w:tcW w:type="dxa" w:w="720"/>
          </w:tcPr>
          <w:p>
            <w:r>
              <w:rPr>
                <w:sz w:val="18"/>
              </w:rPr>
            </w:r>
            <w:r>
              <w:rPr>
                <w:sz w:val="18"/>
              </w:rPr>
              <w:t>−6.17 to +0.28</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w:t>
            </w:r>
          </w:p>
        </w:tc>
        <w:tc>
          <w:tcPr>
            <w:tcW w:type="dxa" w:w="720"/>
          </w:tcPr>
          <w:p>
            <w:r>
              <w:rPr>
                <w:sz w:val="18"/>
              </w:rPr>
            </w:r>
            <w:r>
              <w:rPr>
                <w:sz w:val="18"/>
              </w:rPr>
              <w:t>183</w:t>
            </w:r>
          </w:p>
        </w:tc>
        <w:tc>
          <w:tcPr>
            <w:tcW w:type="dxa" w:w="720"/>
          </w:tcPr>
          <w:p>
            <w:r>
              <w:rPr>
                <w:sz w:val="18"/>
              </w:rPr>
            </w:r>
            <w:r>
              <w:rPr>
                <w:sz w:val="18"/>
              </w:rPr>
              <w:t>−6.4</w:t>
            </w:r>
          </w:p>
        </w:tc>
        <w:tc>
          <w:tcPr>
            <w:tcW w:type="dxa" w:w="720"/>
          </w:tcPr>
          <w:p>
            <w:r>
              <w:rPr>
                <w:sz w:val="18"/>
              </w:rPr>
            </w:r>
            <w:r>
              <w:rPr>
                <w:sz w:val="18"/>
              </w:rPr>
              <w:t>−2.37</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6.9</w:t>
            </w:r>
          </w:p>
        </w:tc>
        <w:tc>
          <w:tcPr>
            <w:tcW w:type="dxa" w:w="720"/>
          </w:tcPr>
          <w:p>
            <w:r>
              <w:rPr>
                <w:sz w:val="18"/>
              </w:rPr>
            </w:r>
            <w:r>
              <w:rPr>
                <w:sz w:val="18"/>
              </w:rPr>
              <w:t>269</w:t>
            </w:r>
          </w:p>
        </w:tc>
        <w:tc>
          <w:tcPr>
            <w:tcW w:type="dxa" w:w="720"/>
          </w:tcPr>
          <w:p>
            <w:r>
              <w:rPr>
                <w:sz w:val="18"/>
              </w:rPr>
            </w:r>
            <w:r>
              <w:rPr>
                <w:sz w:val="18"/>
              </w:rPr>
              <w:t>−14.4</w:t>
            </w:r>
          </w:p>
        </w:tc>
        <w:tc>
          <w:tcPr>
            <w:tcW w:type="dxa" w:w="720"/>
          </w:tcPr>
          <w:p>
            <w:r>
              <w:rPr>
                <w:sz w:val="18"/>
              </w:rPr>
            </w:r>
            <w:r>
              <w:rPr>
                <w:sz w:val="18"/>
              </w:rPr>
              <w:t>−2.23</w:t>
            </w:r>
          </w:p>
        </w:tc>
        <w:tc>
          <w:tcPr>
            <w:tcW w:type="dxa" w:w="720"/>
          </w:tcPr>
          <w:p>
            <w:r>
              <w:rPr>
                <w:sz w:val="18"/>
              </w:rPr>
            </w:r>
            <w:r>
              <w:rPr>
                <w:sz w:val="18"/>
              </w:rPr>
              <w:t>−5.53 to +0.79</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w:t>
            </w:r>
          </w:p>
        </w:tc>
        <w:tc>
          <w:tcPr>
            <w:tcW w:type="dxa" w:w="720"/>
          </w:tcPr>
          <w:p>
            <w:r>
              <w:rPr>
                <w:sz w:val="18"/>
              </w:rPr>
            </w:r>
            <w:r>
              <w:rPr>
                <w:sz w:val="18"/>
              </w:rPr>
              <w:t>235</w:t>
            </w:r>
          </w:p>
        </w:tc>
        <w:tc>
          <w:tcPr>
            <w:tcW w:type="dxa" w:w="720"/>
          </w:tcPr>
          <w:p>
            <w:r>
              <w:rPr>
                <w:sz w:val="18"/>
              </w:rPr>
            </w:r>
            <w:r>
              <w:rPr>
                <w:sz w:val="18"/>
              </w:rPr>
              <w:t>−11.5</w:t>
            </w:r>
          </w:p>
        </w:tc>
        <w:tc>
          <w:tcPr>
            <w:tcW w:type="dxa" w:w="720"/>
          </w:tcPr>
          <w:p>
            <w:r>
              <w:rPr>
                <w:sz w:val="18"/>
              </w:rPr>
            </w:r>
            <w:r>
              <w:rPr>
                <w:sz w:val="18"/>
              </w:rPr>
              <w:t>−2.51</w:t>
            </w:r>
          </w:p>
        </w:tc>
        <w:tc>
          <w:tcPr>
            <w:tcW w:type="dxa" w:w="720"/>
          </w:tcPr>
          <w:p>
            <w:r>
              <w:rPr>
                <w:sz w:val="18"/>
              </w:rPr>
            </w:r>
            <w:r>
              <w:rPr>
                <w:sz w:val="18"/>
              </w:rPr>
              <w:t>−5.88 to +0.40</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9.0</w:t>
            </w:r>
          </w:p>
        </w:tc>
        <w:tc>
          <w:tcPr>
            <w:tcW w:type="dxa" w:w="720"/>
          </w:tcPr>
          <w:p>
            <w:r>
              <w:rPr>
                <w:sz w:val="18"/>
              </w:rPr>
            </w:r>
            <w:r>
              <w:rPr>
                <w:sz w:val="18"/>
              </w:rPr>
              <w:t>205</w:t>
            </w:r>
          </w:p>
        </w:tc>
        <w:tc>
          <w:tcPr>
            <w:tcW w:type="dxa" w:w="720"/>
          </w:tcPr>
          <w:p>
            <w:r>
              <w:rPr>
                <w:sz w:val="18"/>
              </w:rPr>
            </w:r>
            <w:r>
              <w:rPr>
                <w:sz w:val="18"/>
              </w:rPr>
              <w:t>−8.8</w:t>
            </w:r>
          </w:p>
        </w:tc>
        <w:tc>
          <w:tcPr>
            <w:tcW w:type="dxa" w:w="720"/>
          </w:tcPr>
          <w:p>
            <w:r>
              <w:rPr>
                <w:sz w:val="18"/>
              </w:rPr>
            </w:r>
            <w:r>
              <w:rPr>
                <w:sz w:val="18"/>
              </w:rPr>
              <w:t>−2.37</w:t>
            </w:r>
          </w:p>
        </w:tc>
        <w:tc>
          <w:tcPr>
            <w:tcW w:type="dxa" w:w="720"/>
          </w:tcPr>
          <w:p>
            <w:r>
              <w:rPr>
                <w:sz w:val="18"/>
              </w:rPr>
            </w:r>
            <w:r>
              <w:rPr>
                <w:sz w:val="18"/>
              </w:rPr>
              <w:t>−5.83 to +0.39</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b/>
                <w:sz w:val="18"/>
              </w:rPr>
              <w:t>not determined</w:t>
            </w:r>
            <w:r>
              <w:rPr>
                <w:sz w:val="18"/>
              </w:rPr>
              <w:t xml:space="preserve"> (fit returns −2.31)</w:t>
            </w:r>
          </w:p>
        </w:tc>
        <w:tc>
          <w:tcPr>
            <w:tcW w:type="dxa" w:w="1234"/>
          </w:tcPr>
          <w:p>
            <w:r>
              <w:rPr>
                <w:sz w:val="18"/>
              </w:rPr>
            </w:r>
            <w:r>
              <w:rPr>
                <w:sz w:val="18"/>
              </w:rPr>
              <w:t>(−2.35)</w:t>
            </w:r>
          </w:p>
        </w:tc>
        <w:tc>
          <w:tcPr>
            <w:tcW w:type="dxa" w:w="1234"/>
          </w:tcPr>
          <w:p>
            <w:r>
              <w:rPr>
                <w:sz w:val="18"/>
              </w:rPr>
            </w:r>
            <w:r>
              <w:rPr>
                <w:sz w:val="18"/>
              </w:rPr>
              <w:t>0.21</w:t>
            </w:r>
          </w:p>
        </w:tc>
        <w:tc>
          <w:tcPr>
            <w:tcW w:type="dxa" w:w="1234"/>
          </w:tcPr>
          <w:p>
            <w:r>
              <w:rPr>
                <w:sz w:val="18"/>
              </w:rPr>
            </w:r>
            <w:r>
              <w:rPr>
                <w:sz w:val="18"/>
              </w:rPr>
              <w:t>−5.9 to +0.8</w:t>
            </w:r>
          </w:p>
        </w:tc>
        <w:tc>
          <w:tcPr>
            <w:tcW w:type="dxa" w:w="1234"/>
          </w:tcPr>
          <w:p>
            <w:r>
              <w:rPr>
                <w:sz w:val="18"/>
              </w:rPr>
            </w:r>
            <w:r>
              <w:rPr>
                <w:sz w:val="18"/>
              </w:rPr>
              <w:t>site-limited: surface 71 % full, inversion insensitive; no central value reported</w:t>
            </w:r>
          </w:p>
        </w:tc>
      </w:tr>
      <w:tr>
        <w:tc>
          <w:tcPr>
            <w:tcW w:type="dxa" w:w="1234"/>
          </w:tcPr>
          <w:p>
            <w:r>
              <w:rPr>
                <w:sz w:val="18"/>
              </w:rPr>
            </w:r>
            <w:r>
              <w:rPr>
                <w:sz w:val="18"/>
              </w:rPr>
              <w:t>&gt;CO₃H⁰ + Co²⁺ ⇌ &gt;CO₃Co⁺ + H⁺ (apparent)</w:t>
            </w:r>
          </w:p>
        </w:tc>
        <w:tc>
          <w:tcPr>
            <w:tcW w:type="dxa" w:w="1234"/>
          </w:tcPr>
          <w:p>
            <w:r>
              <w:rPr>
                <w:sz w:val="18"/>
              </w:rPr>
            </w:r>
            <w:r>
              <w:rPr>
                <w:sz w:val="18"/>
              </w:rPr>
              <w:t>2</w:t>
            </w:r>
          </w:p>
        </w:tc>
        <w:tc>
          <w:tcPr>
            <w:tcW w:type="dxa" w:w="1234"/>
          </w:tcPr>
          <w:p>
            <w:r>
              <w:rPr>
                <w:sz w:val="18"/>
              </w:rPr>
            </w:r>
            <w:r>
              <w:rPr>
                <w:sz w:val="18"/>
              </w:rPr>
              <w:t>−2.18 ± 1.18</w:t>
            </w:r>
          </w:p>
        </w:tc>
        <w:tc>
          <w:tcPr>
            <w:tcW w:type="dxa" w:w="1234"/>
          </w:tcPr>
          <w:p>
            <w:r>
              <w:rPr>
                <w:sz w:val="18"/>
              </w:rPr>
            </w:r>
            <w:r>
              <w:rPr>
                <w:sz w:val="18"/>
              </w:rPr>
              <w:t>−2.24</w:t>
            </w:r>
          </w:p>
        </w:tc>
        <w:tc>
          <w:tcPr>
            <w:tcW w:type="dxa" w:w="1234"/>
          </w:tcPr>
          <w:p>
            <w:r>
              <w:rPr>
                <w:sz w:val="18"/>
              </w:rPr>
            </w:r>
            <w:r>
              <w:rPr>
                <w:sz w:val="18"/>
              </w:rPr>
              <w:t>0.21</w:t>
            </w:r>
          </w:p>
        </w:tc>
        <w:tc>
          <w:tcPr>
            <w:tcW w:type="dxa" w:w="1234"/>
          </w:tcPr>
          <w:p>
            <w:r>
              <w:rPr>
                <w:sz w:val="18"/>
              </w:rPr>
            </w:r>
            <w:r>
              <w:rPr>
                <w:sz w:val="18"/>
              </w:rPr>
              <w:t>−5.4 to −1.7</w:t>
            </w:r>
          </w:p>
        </w:tc>
        <w:tc>
          <w:tcPr>
            <w:tcW w:type="dxa" w:w="1234"/>
          </w:tcPr>
          <w:p>
            <w:r>
              <w:rPr>
                <w:sz w:val="18"/>
              </w:rPr>
            </w:r>
            <w:r>
              <w:rPr>
                <w:sz w:val="18"/>
              </w:rPr>
              <w:t>both points pre-equilibrium (pH 6 batch, days 2 and 4): a kinetic snapshot, not an equilibrium constant</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with a slope of +0.02 per pH unit over the five usable points, which span pH 4.26 to 8.26; the electrostatic and non-electrostatic values agree to 0.04 log units, as expected at C = 138 F m⁻². That consistency is not accuracy. Because the surface is near saturation with lithium the inversion of Eq. 13 is insensitive, and propagating the ±3 % analytical error gives an interval from −5.9 to +0.8, nearly seven orders of magnitude, so no central value is reported. At ±1 % analytical precision the propagated half-width would fall to about 1.7 log units, but the site limitation remains; an isotherm at lower lithium concentration is what would constrain the constant.</w:t>
      </w:r>
    </w:p>
    <w:p>
      <w:r>
        <w:t>Cobalt has two usable points, and both are day 2 and day 4 of the pH 6 batch. Every day-6 point is excluded: the pH 6 point for sphaerocobaltite supersaturation, the three pH 2 points for being within analytical noise. The apparent value of −2.18 ± 1.18 therefore describes a system that had not finished reacting, and is a kinetic snapshot rather than an equilibrium constant. The flat-line diagnostic cannot be applied to cobalt at all: the two usable points lie at pH 7.40 and 7.48, and a slope over a baseline of 0.08 pH units carries no information.</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and cannot be separated with two pH values and one concentration: (a) the borrowed constant, the usable points giving an apparent value 1.4 log units weaker than the analogy; (b) a reactive area of 13 to 29 % of the BET area, which is a three- to eight-fold reduction, in the same direction as the adjustment Belova et al. (2014) explored but far larger than their 1.4-fold case; (c) incomplete equilibration, since removal is still rising at day 6 (Figure 1), so the day-6 coverage is a lower bound. The saturation index of sphaerocobaltite crosses zero between day 4 and day 6 in the pH 6 batch, marking where precipitation would begin to add to sorption.</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constants are, however, untouched by it: swapping Ca and Mg in the cobalt pH 6 day-6 point leaves the point-by-point value unchanged at −1.89 to two decimal places. The reason is worth stating because it is reassuring rather than suspicious. The two competitor constants differ by only 0.2 log units, so exchanging the two cations conserves the total competitor occupancy of the carbonate site and the site balance barely registers the change. The ICP anomaly therefore needs checking against the raw run for the dissolution story, since congruent dissolution of dolomite should give a molar Ca/Mg ratio near unity, but it does not threaten Table 6.</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0.21 log units across five samples is a statement about the samples, not about the constant, and the propagated interval from −5.9 to +0.8 is the honest width. A central value is therefore not reported: a number carrying an interval that wide would be quoted without it the moment it appeared in a table.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which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Two explanations that would normally be offered are ruled out by the data themselves. Calcium and magnesium competition does not resolve it, because the two competitor constants are nearly equal and the swap test of §3.6 moves the constant by less than 0.01. Nor does precipitation, because the model predicts more sorption than the removal actually measured, so there is no excess removal to attribute to a second mechanism. The reactive-area explanation is quantitatively demanding: 13 to 29 % of BET is a three- to eight-fold reduction, where the case Belova et al. (2014) explored was a 1.4-fold reduction. Same direction, very different magnitude, and that gap is itself informative. The present design cannot separate the three; an isotherm at fixed pH does.</w:t>
      </w:r>
    </w:p>
    <w:p>
      <w:r>
        <w:t>The two metals fail for different reasons, and the contrast is a clean result. Cobalt's site ceiling is 46.7 % of the added metal and the measured removal is 7.6 %, so cobalt sits comfortably inside the monolayer bound; its limits are analytical noise and incomplete equilibration, both addressed by longer runs and better precision. Lithium's ceiling is 3.2 % and the removal is 2.3 %, so the experiment was run above the surface's capacity; the fix there is a lower lithium concentration, not a longer run. Each metal points to a different experiment.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 xml:space="preserve">Lithium behaves as a sorbing ion with a pH-independent constant, but </w:t>
      </w:r>
      <w:r>
        <w:rPr>
          <w:b/>
        </w:rPr>
        <w:t>log K(&gt;CO₃Li⁰) is not determined</w:t>
      </w:r>
      <w:r>
        <w:t xml:space="preserve"> by these data. The surface holds at most 3.2 % of the lithium present and is 71 % full at the measured removal, so the inversion is insensitive and the propagated interval runs from −5.9 to +0.8. The reported 8.5 % lithium recovery on fine dolomite is 2.4 times the sorption ceiling, so the earlier attribution of lithium recovery to sorption needs to be revisited for those runs.</w:t>
      </w:r>
    </w:p>
    <w:p>
      <w:pPr>
        <w:pStyle w:val="ListNumber"/>
      </w:pPr>
      <w:r>
        <w:t>Cobalt has two usable points, both of them pre-equilibrium (day 2 and day 4 of the pH 6 batch); every day-6 point is excluded, one for supersaturation and three for analytical noise. The apparent value of −2.18 ± 1.18 is therefore a kinetic snapshot, not an equilibrium constant, and the two points span only 0.08 pH units, too narrow for the flat-line diagnostic.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Neither constant is pinned down, and the two failures are distinct: cobalt is limited by analytical noise and incomplete equilibration inside the monolayer bound, lithium by an experiment run above the surface's capacity. Each points to a different fix in the next experiment.</w:t>
      </w:r>
    </w:p>
    <w:p>
      <w:pPr>
        <w:pStyle w:val="ListNumber"/>
      </w:pPr>
      <w:r>
        <w:t>The published surface concentration of 0.046 to 0.049 m² L⁻¹ should be corrected to ≈ 50 m² L⁻¹ (m² mL⁻¹ in the original).</w:t>
      </w:r>
    </w:p>
    <w:p>
      <w:pPr>
        <w:pStyle w:val="ListNumber"/>
      </w:pPr>
      <w:r>
        <w:t>The hand-coded speciation is set up for line-by-line comparison with Visual MINTEQ at one point, and the activity-model floor at this ionic strength is 0.10 log units, so the activity model is not what limits the result: the data are.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82153"/>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82153"/>
                    </a:xfrm>
                    <a:prstGeom prst="rect"/>
                  </pic:spPr>
                </pic:pic>
              </a:graphicData>
            </a:graphic>
          </wp:inline>
        </w:drawing>
      </w:r>
    </w:p>
    <w:p>
      <w:r>
        <w:rPr>
          <w:b/>
        </w:rPr>
        <w:t>Figure 1.</w:t>
      </w:r>
      <w:r>
        <w:t xml:space="preserve"> Kinetics of Li⁺ and Co²⁺ uptake by dolomite (60 g L⁻¹, 40 g L⁻¹ NaCl, 25 °C). (a) Removal as a percentage of the initial concentration; (b) surface coverage Γ from Eq. 12, with the carbonate-site density of 14 µmol m⁻² shown. Filled symbols, batches with initial pH 6; open symbols, initial pH 2. Cobalt removal in the pH 6 batch is still rising at day 6; lithium reaches 64 to 72 % of the site density by day 2.</w:t>
      </w:r>
    </w:p>
    <w:p>
      <w:pPr>
        <w:jc w:val="center"/>
      </w:pPr>
      <w:r>
        <w:drawing>
          <wp:inline xmlns:a="http://schemas.openxmlformats.org/drawingml/2006/main" xmlns:pic="http://schemas.openxmlformats.org/drawingml/2006/picture">
            <wp:extent cx="5669280" cy="2443025"/>
            <wp:docPr id="2" name="Picture 2"/>
            <wp:cNvGraphicFramePr>
              <a:graphicFrameLocks noChangeAspect="1"/>
            </wp:cNvGraphicFramePr>
            <a:graphic>
              <a:graphicData uri="http://schemas.openxmlformats.org/drawingml/2006/picture">
                <pic:pic>
                  <pic:nvPicPr>
                    <pic:cNvPr id="0" name="Fig2_adsorption_edges.png"/>
                    <pic:cNvPicPr/>
                  </pic:nvPicPr>
                  <pic:blipFill>
                    <a:blip r:embed="rId10"/>
                    <a:stretch>
                      <a:fillRect/>
                    </a:stretch>
                  </pic:blipFill>
                  <pic:spPr>
                    <a:xfrm>
                      <a:off x="0" y="0"/>
                      <a:ext cx="5669280" cy="2443025"/>
                    </a:xfrm>
                    <a:prstGeom prst="rect"/>
                  </pic:spPr>
                </pic:pic>
              </a:graphicData>
            </a:graphic>
          </wp:inline>
        </w:drawing>
      </w:r>
    </w:p>
    <w:p>
      <w:r>
        <w:rPr>
          <w:b/>
        </w:rPr>
        <w:t>Figure 2.</w:t>
      </w:r>
      <w:r>
        <w:t xml:space="preserve"> Adsorption edges. (a) Cobalt and (b) lithium removal against pH. Filled symbols are the day-6 points, open symbols the day-2 and day-4 samples plotted at their measured pH. Model curves are the forward prediction with the apparent constant of Table 6 and each batch's day-6 Ca and Mg (solid, pH 6 batch chemistry; dashed, pH 2 batch chemistry). The dotted line in (b) is the site ceiling: the removal if every carbonate site held lithium.</w:t>
      </w:r>
    </w:p>
    <w:p>
      <w:pPr>
        <w:jc w:val="center"/>
      </w:pPr>
      <w:r>
        <w:drawing>
          <wp:inline xmlns:a="http://schemas.openxmlformats.org/drawingml/2006/main" xmlns:pic="http://schemas.openxmlformats.org/drawingml/2006/picture">
            <wp:extent cx="5669280" cy="2443025"/>
            <wp:docPr id="3" name="Picture 3"/>
            <wp:cNvGraphicFramePr>
              <a:graphicFrameLocks noChangeAspect="1"/>
            </wp:cNvGraphicFramePr>
            <a:graphic>
              <a:graphicData uri="http://schemas.openxmlformats.org/drawingml/2006/picture">
                <pic:pic>
                  <pic:nvPicPr>
                    <pic:cNvPr id="0" name="Fig3_4_isotherms.png"/>
                    <pic:cNvPicPr/>
                  </pic:nvPicPr>
                  <pic:blipFill>
                    <a:blip r:embed="rId11"/>
                    <a:stretch>
                      <a:fillRect/>
                    </a:stretch>
                  </pic:blipFill>
                  <pic:spPr>
                    <a:xfrm>
                      <a:off x="0" y="0"/>
                      <a:ext cx="5669280" cy="2443025"/>
                    </a:xfrm>
                    <a:prstGeom prst="rect"/>
                  </pic:spPr>
                </pic:pic>
              </a:graphicData>
            </a:graphic>
          </wp:inline>
        </w:drawing>
      </w:r>
    </w:p>
    <w:p>
      <w:r>
        <w:rPr>
          <w:b/>
        </w:rPr>
        <w:t>Figures 3 and 4.</w:t>
      </w:r>
      <w:r>
        <w:t xml:space="preserve"> Isotherms, log Γ against log C_eq, for (a) cobalt and (b) lithium. Lines are the forward model at the day-6 pH of each batch with the initial concentration varied; symbols are the single measured point of each batch. The unit-slope region is low-coverage adsorption; the flattening toward the dotted line is site saturation. Lithium sits on the saturation shoulder.</w:t>
      </w:r>
    </w:p>
    <w:p>
      <w:pPr>
        <w:jc w:val="center"/>
      </w:pPr>
      <w:r>
        <w:drawing>
          <wp:inline xmlns:a="http://schemas.openxmlformats.org/drawingml/2006/main" xmlns:pic="http://schemas.openxmlformats.org/drawingml/2006/picture">
            <wp:extent cx="5669280" cy="3580292"/>
            <wp:docPr id="4" name="Picture 4"/>
            <wp:cNvGraphicFramePr>
              <a:graphicFrameLocks noChangeAspect="1"/>
            </wp:cNvGraphicFramePr>
            <a:graphic>
              <a:graphicData uri="http://schemas.openxmlformats.org/drawingml/2006/picture">
                <pic:pic>
                  <pic:nvPicPr>
                    <pic:cNvPr id="0" name="Fig5_Kd_vs_pH.png"/>
                    <pic:cNvPicPr/>
                  </pic:nvPicPr>
                  <pic:blipFill>
                    <a:blip r:embed="rId12"/>
                    <a:stretch>
                      <a:fillRect/>
                    </a:stretch>
                  </pic:blipFill>
                  <pic:spPr>
                    <a:xfrm>
                      <a:off x="0" y="0"/>
                      <a:ext cx="5669280" cy="3580292"/>
                    </a:xfrm>
                    <a:prstGeom prst="rect"/>
                  </pic:spPr>
                </pic:pic>
              </a:graphicData>
            </a:graphic>
          </wp:inline>
        </w:drawing>
      </w:r>
    </w:p>
    <w:p>
      <w:r>
        <w:rPr>
          <w:b/>
        </w:rPr>
        <w:t>Figure 5.</w:t>
      </w:r>
      <w:r>
        <w:t xml:space="preserve"> Distribution coefficient, log K_d against pH, with the model curves at the pH 6 batch chemistry. The cobalt pH 2 batch points are within analytical noise and are marked as excluded.</w:t>
      </w:r>
    </w:p>
    <w:p>
      <w:pPr>
        <w:jc w:val="center"/>
      </w:pPr>
      <w:r>
        <w:drawing>
          <wp:inline xmlns:a="http://schemas.openxmlformats.org/drawingml/2006/main" xmlns:pic="http://schemas.openxmlformats.org/drawingml/2006/picture">
            <wp:extent cx="5669280" cy="2495781"/>
            <wp:docPr id="5" name="Picture 5"/>
            <wp:cNvGraphicFramePr>
              <a:graphicFrameLocks noChangeAspect="1"/>
            </wp:cNvGraphicFramePr>
            <a:graphic>
              <a:graphicData uri="http://schemas.openxmlformats.org/drawingml/2006/picture">
                <pic:pic>
                  <pic:nvPicPr>
                    <pic:cNvPr id="0" name="Fig6_logK_diagnostic.png"/>
                    <pic:cNvPicPr/>
                  </pic:nvPicPr>
                  <pic:blipFill>
                    <a:blip r:embed="rId13"/>
                    <a:stretch>
                      <a:fillRect/>
                    </a:stretch>
                  </pic:blipFill>
                  <pic:spPr>
                    <a:xfrm>
                      <a:off x="0" y="0"/>
                      <a:ext cx="5669280" cy="2495781"/>
                    </a:xfrm>
                    <a:prstGeom prst="rect"/>
                  </pic:spPr>
                </pic:pic>
              </a:graphicData>
            </a:graphic>
          </wp:inline>
        </w:drawing>
      </w:r>
    </w:p>
    <w:p>
      <w:r>
        <w:rPr>
          <w:b/>
        </w:rPr>
        <w:t>Figure 6.</w:t>
      </w:r>
      <w:r>
        <w:t xml:space="preserve"> The flat-line diagnostic: point-by-point log K on the carbonate site against (a) measured pH and (b) surface coverage. Filled symbols are the usable points with the interval obtained by recomputing log K at Γ ∓ σ_Γ (±3 % ICP precision); crosses are the points excluded for being within noise or above sphaerocobaltite saturation. Dashed lines are the weighted fits of Table 6; the dotted line is Pokrovsky et al.'s &gt;CO₃Ca⁺ constant. Lithium is flat in pH (slope +0.02 per pH unit) but its interval is wide because the surface is near saturation. Cobalt's two usable points lie 0.08 pH units apart, so no slope is computed for it.</w:t>
      </w:r>
    </w:p>
    <w:p>
      <w:pPr>
        <w:jc w:val="center"/>
      </w:pPr>
      <w:r>
        <w:drawing>
          <wp:inline xmlns:a="http://schemas.openxmlformats.org/drawingml/2006/main" xmlns:pic="http://schemas.openxmlformats.org/drawingml/2006/picture">
            <wp:extent cx="5669280" cy="2382153"/>
            <wp:docPr id="6" name="Picture 6"/>
            <wp:cNvGraphicFramePr>
              <a:graphicFrameLocks noChangeAspect="1"/>
            </wp:cNvGraphicFramePr>
            <a:graphic>
              <a:graphicData uri="http://schemas.openxmlformats.org/drawingml/2006/picture">
                <pic:pic>
                  <pic:nvPicPr>
                    <pic:cNvPr id="0" name="Fig8_Co_sorption_vs_removal_SI.png"/>
                    <pic:cNvPicPr/>
                  </pic:nvPicPr>
                  <pic:blipFill>
                    <a:blip r:embed="rId14"/>
                    <a:stretch>
                      <a:fillRect/>
                    </a:stretch>
                  </pic:blipFill>
                  <pic:spPr>
                    <a:xfrm>
                      <a:off x="0" y="0"/>
                      <a:ext cx="5669280" cy="2382153"/>
                    </a:xfrm>
                    <a:prstGeom prst="rect"/>
                  </pic:spPr>
                </pic:pic>
              </a:graphicData>
            </a:graphic>
          </wp:inline>
        </w:drawing>
      </w:r>
    </w:p>
    <w:p>
      <w:r>
        <w:rPr>
          <w:b/>
        </w:rPr>
        <w:t>Figure 7.</w:t>
      </w:r>
      <w:r>
        <w:t xml:space="preserve"> Cobalt: (a) measured removal (solid) against the sorption predicted with the analogy constant log K = −0.79 (dashed), for the two batches; (b) saturation index of sphaerocobaltite at the same points, with the supersaturated region shaded. The prediction lies above the measurement at every point (Table 7).</w:t>
      </w:r>
    </w:p>
    <w:p>
      <w:pPr>
        <w:jc w:val="center"/>
      </w:pPr>
      <w:r>
        <w:drawing>
          <wp:inline xmlns:a="http://schemas.openxmlformats.org/drawingml/2006/main" xmlns:pic="http://schemas.openxmlformats.org/drawingml/2006/picture">
            <wp:extent cx="5669280" cy="3373140"/>
            <wp:docPr id="7" name="Picture 7"/>
            <wp:cNvGraphicFramePr>
              <a:graphicFrameLocks noChangeAspect="1"/>
            </wp:cNvGraphicFramePr>
            <a:graphic>
              <a:graphicData uri="http://schemas.openxmlformats.org/drawingml/2006/picture">
                <pic:pic>
                  <pic:nvPicPr>
                    <pic:cNvPr id="0" name="FigS1_surface_speciation.png"/>
                    <pic:cNvPicPr/>
                  </pic:nvPicPr>
                  <pic:blipFill>
                    <a:blip r:embed="rId15"/>
                    <a:stretch>
                      <a:fillRect/>
                    </a:stretch>
                  </pic:blipFill>
                  <pic:spPr>
                    <a:xfrm>
                      <a:off x="0" y="0"/>
                      <a:ext cx="5669280" cy="3373140"/>
                    </a:xfrm>
                    <a:prstGeom prst="rect"/>
                  </pic:spPr>
                </pic:pic>
              </a:graphicData>
            </a:graphic>
          </wp:inline>
        </w:drawing>
      </w:r>
    </w:p>
    <w:p>
      <w:r>
        <w:rPr>
          <w:b/>
        </w:rPr>
        <w:t>Figure S1.</w:t>
      </w:r>
      <w:r>
        <w:t xml:space="preserve"> Fractional occupancy of the carbonate site against pH at the cobalt pH 6 batch chemistry, showing the &gt;CO₃H⁰ to &gt;CO₃⁻ transition, the &gt;CO₃Mg⁺ competition and the &gt;CO₃Co⁺ complex.</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