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a reduced reactive area and sodium competition are all time-invariant scalings and would hold the ratio flat; a closing ratio is the signature of a system still approaching equilibrium. This does not exclude the other three, it only shows that none of them can be the whole explanation: any of them could still contribute a constant factor beneath the kinetics, and at 0.684 M sodium competition is the most likely to be doing so.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Incomplete equilibration in this sense covers two mechanisms that the time trend cannot separate, a slow approach to sorption equilibrium and recrystallization incorporating the cobalt into new lattice, and the extended run is designed to distinguish them (§3.5).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−17.09 for ordered dolomite (Parkhurst &amp; Appelo, 2013), −9.98 for sphaerocobaltite CoCO₃ (Smith &amp; Martell, 2004) and ≈ −2.5 for zabuyelite Li₂CO₃. The solid is dolomite, so calcite is not a starting phase of this system and is excluded from the reported tables and figures. Whether it could form is a separate question, since incongruent dolomite dissolution releases both calcium and carbonate, so the index was computed (log K_sp = −8.48; Plummer &amp; Busenberg, 1982) and is reported in §3.2 rather than assumed away.</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Only the two dolomite columns are used; the calcite and magnesite columns are reproduced solely as a transcription record, since the dolomite values were read from the same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 xml:space="preserve">Two tests precede any fitting. The capacity test compares Γ with the crystallographic site density: Γ/N_s &gt; 1 is not reachable by adsorption. The saturation test requires SI &lt; 0 for the metal carbonate at the point being fitted (Belova et al., 2014). Points were then graded on precision. Because Γ is the difference of two concentrations each measured to ±3 %, its relative error σ_Γ/Γ is the quantity that decides whether a point carries information about the constant. Two bars are used and both are stated: a point is </w:t>
      </w:r>
      <w:r>
        <w:rPr>
          <w:b/>
        </w:rPr>
        <w:t>fit-grade</w:t>
      </w:r>
      <w:r>
        <w:t xml:space="preserve"> if σ_Γ/Γ &lt; 30 %, meaning uptake is at least about three times the uncertainty in measuring it, and </w:t>
      </w:r>
      <w:r>
        <w:rPr>
          <w:b/>
        </w:rPr>
        <w:t>indicative</w:t>
      </w:r>
      <w:r>
        <w:t xml:space="preserve"> if σ_Γ/Γ &lt; 200 %; beyond that it is excluded. </w:t>
      </w:r>
      <w:r>
        <w:rPr>
          <w:b/>
        </w:rPr>
        <w:t>No point in this data set is fit-grade.</w:t>
      </w:r>
      <w:r>
        <w:t xml:space="preserve"> The smallest relative error anywhere is 54 % (cobalt, pH 6 batch, day 6), and the two points that enter the cobalt arithmetic carry 129 % and 81 %. Every exclusion and every downgrade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formation constants used here were supplied to PHREEQC explicitly, and so were those for the calcium, magnesium and sodium complexes, since `phreeqc.dat` carries its own values for those and the calcium and magnesium activities feed the site balance directly. The thermodynamic data are therefore identical across every species that matters here, and the comparison isolates what remains: PHREEQC brings the WATEQ extended Debye–Hückel form with ion-size parameters rather than Davies, together with its own tableau and Newton solver. Every quantity the constants are computed from agrees to within the activity-model floor established above: 0.06 log units in the free-metal activity, 0.01 in the carbonate activity, 0.07 in the free calcium activity, 0.00 in the free magnesium activity and 0.07 in the saturation index of sphaerocobaltite. Two differences remain and are expected. Reported ionic strengths differ by 0.038 because PHREEQC works in molality on a kilogram-of-water basis and because the two activity models leave different fractions of the sodium chloride associated at this concentration. Free-ion fractions differ by up to nine percentage points because the WATEQ form distributes the same total metal differently between the free ion and its chloride pairs; the fraction is a reporting quantity, while the constants are inverted from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dolomite carbonate-site density by a factor of 1.7 to 2.4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Dolomite remains undersaturated at all points (SI ≤ −1.6) and Li₂CO₃ is far undersaturated (SI ≤ −6.4).</w:t>
      </w:r>
    </w:p>
    <w:p>
      <w:r>
        <w:t>Calcite deserves a separate statement, because the solid used here is dolomite and calcite is therefore not a starting phase, but incongruent dissolution releases both calcium and carbonate and the index does not behave uniformly across the batches. Every cobalt point is undersaturated by 2.7 log units or more (−8.29 to −2.74), so calcite plays no part in the cobalt result and the bound of §3.4 is untouched by it. The lithium pH 6 batch is different: the index climbs −1.42, −0.71, −0.08 over days 2, 4 and 6, reaching saturation rather than moving away from it, and −0.08 lies inside the 0.10 log unit activity-model floor established in §2.9, so the model cannot resolve whether calcite is saturated at that point. Secondary calcite therefore cannot be excluded for that batch on this evidence. It would consume calcium rather than lithium, so it neither creates nor destroys lithium uptake, and the lithium constant is undetermined here for independent reasons; but it is the plausible solubility ceiling that the anomalous calcium of that batch (49.9 mg L⁻¹ against 0.87 mg L⁻¹ magnesium, §3.6) was approaching, and XRD on the recovered solid would settle it. Calcite is otherwise excluded from the reported tables and figures.</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0 fit-grade (2 indicative)</w:t>
            </w:r>
          </w:p>
        </w:tc>
        <w:tc>
          <w:tcPr>
            <w:tcW w:type="dxa" w:w="1234"/>
          </w:tcPr>
          <w:p>
            <w:r>
              <w:rPr>
                <w:sz w:val="18"/>
              </w:rPr>
            </w:r>
            <w:r>
              <w:rPr>
                <w:b/>
                <w:sz w:val="18"/>
              </w:rPr>
              <w:t>not determined</w:t>
            </w:r>
            <w:r>
              <w:rPr>
                <w:sz w:val="18"/>
              </w:rPr>
              <w:t xml:space="preserve"> (fit returns −2.20)</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−5.4 to −1.7</w:t>
            </w:r>
          </w:p>
        </w:tc>
        <w:tc>
          <w:tcPr>
            <w:tcW w:type="dxa" w:w="1234"/>
          </w:tcPr>
          <w:p>
            <w:r>
              <w:rPr>
                <w:sz w:val="18"/>
              </w:rPr>
            </w:r>
            <w:r>
              <w:rPr>
                <w:sz w:val="18"/>
              </w:rPr>
              <w:t>no point clears σ_Γ/Γ &lt; 30 %; best is 54 %. Both indicative points are also pre-equilibrium, a second and independent limitation</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no fit-grade point. Its best point, pH 6 day 6, carries a relative coverage error of 54 %, and that point is independently excluded for sphaerocobaltite supersaturation; the two points that enter the arithmetic, day 2 and day 4 of the pH 6 batch, carry 129 % and 81 %. </w:t>
      </w:r>
      <w:r>
        <w:rPr>
          <w:b/>
        </w:rPr>
        <w:t>log K(&gt;CO₃Co⁺) is therefore not determined by these data.</w:t>
      </w:r>
      <w:r>
        <w:t xml:space="preserve"> The weighted fit over the two indicative points returns −2.20 (CCM) and −2.24 (NEM) with a propagated interval of −5.4 to −1.7, and that number is reported here so the pattern can be read, not as a measurement. Two further limitations act on top of the precision one and are independent of it. Both indicative points are pre-equilibrium: removal is still rising at the last sampling (Figure 1), and log K increases monotonically with coverage, as scaling the day-4 uptake from 0.5 to 3 times confirms (log K −2.43, −2.23, −2.07, −1.84, −1.65, −1.34), so even with adequate precision the value would be a lower bound rather than a central one. And the three pH 2 points sit at 0.7 % removal, below the threshold at which the inversion becomes biased as well as imprecise: a Monte Carlo recovery test on synthetic data generated from a known constant returns +0.55 log units of bias at that uptake, because Γ is then dominated by noise that cannot go negative and the recovered constant is pushed upward (§3.7).</w:t>
      </w:r>
    </w:p>
    <w:p>
      <w:r>
        <w:t>Because the constant is not determined, the analogy value of −0.79 is not excluded by these data; it lies inside the propagated interval of −5.4 to −1.7 and above the indicative value, which is consistent with the time-trend result of §3.5 that the system is still approaching equilibrium. Nothing in this data set can distinguish −0.79 from −2.2, and the extended run of §3.5 is what would.</w:t>
      </w:r>
    </w:p>
    <w:p>
      <w:r>
        <w:t>The flat-line diagnostic cannot be applied to cobalt at all: the two usable points lie at pH 7.40 and 7.48, and a slope over a baseline of 0.08 pH units carries no information.</w:t>
      </w:r>
    </w:p>
    <w:p>
      <w:r>
        <w:t>Two conventions in Table 6 follow Belova et al. (2014) and are worth stating. First, the non-electrostatic value is given alongside the electrostatic one because they argue that the non-electrostatic constant is a thermodynamic quantity while the constant-capacitance value is conditional on the electrostatic model; here the two differ by 0.04 log units, so nothing turns on the choice, but the thermodynamic value is the one to carry forward. Second, the quantity the literature actually compares is not the formation constant but the exchange constant,</w:t>
      </w:r>
    </w:p>
    <w:p>
      <w:pPr>
        <w:jc w:val="center"/>
      </w:pPr>
      <w:r>
        <w:t>log K_ex = log K(&gt;CO₃Me) − log K(&gt;CO₃Ca)  (16)</w:t>
      </w:r>
    </w:p>
    <w:p>
      <w:r>
        <w:t xml:space="preserve">which cancels the site-density convention and therefore transfers between studies that assumed different densities, as the formation constant does not. With log K(&gt;CO₃Ca⁺) = −1.8 on dolomite, the cobalt bound gives </w:t>
      </w:r>
      <w:r>
        <w:rPr>
          <w:b/>
        </w:rPr>
        <w:t>log K_ex ≥ −0.44</w:t>
      </w:r>
      <w:r>
        <w:t xml:space="preserve"> on the non-electrostatic value and ≥ −0.40 on the constant-capacitance one. The nearest published comparisons are on calcite, since no measured exchange constant exists for a divalent trace metal on dolomite: Belova et al. (2014) report log K_ex = +0.58 for nickel and Zachara et al. (1991) +0.51 for the same system. These are analogues for a missing dolomite value, not statements about the solid used here. The cobalt bound sits about one log unit below both, which is what the incomplete-equilibration reading predicts and is a more informative comparison than the aqueous analogy alone, since it is a like-for-like comparison of measured exchange constants rather than of a measured value against an estimated one.</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 and (d) competition from sodium, which the present tableau does not contain. The last is the only candidate with published support on this mineral in this electrolyte. Brady et al. (1999) measured metal sorption on dolomite in NaCl solutions and found calcium and magnesium uptake diminished at 0.5 M NaCl, which they attributed to Na⁺ associating with the dolomite surface and to calcium and magnesium sorbing as hydrated, outer-sphere species. The brine here is 0.684 M, above their case, and the model carries no &gt;CO₃Na⁰ species, so any sodium occupancy of the carbonate site is absent from the site balance and the model over-predicts by that amount. It also challenges the inner-sphere assumption the model inherits from Goldberg (1985).</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w:t>
      </w:r>
    </w:p>
    <w:p>
      <w:r>
        <w:t>Two further design points follow from published practice, and the second is what makes the run interpretable. Belova et al. (2014) equilibrated the mineral with the solution for about a week, filtered at 0.2 µm and used the filtrate without storage, so that only the metal was added to an already-equilibrated suspension. In the batches analysed here the dolomite and the metal went in together and dissolution ran alongside uptake, which is the common origin of the pH drift, the calcium and magnesium pattern that does not look congruent, and the carbonate accumulation the pH target above is designed to work around. Pre-equilibration removes the cause rather than managing the symptom and should be adopted.</w:t>
      </w:r>
    </w:p>
    <w:p>
      <w:r>
        <w:t>The second point addresses an ambiguity in the time-trend argument itself. A ratio that closes is the signature of continued uptake after the fast step, but two mechanisms produce that: a slow approach to sorption equilibrium, or recrystallization of the carbonate surface that incorporates the trace cation into newly formed lattice. Belova et al. (2014) observed exactly this two-stage shape on calcite, attributed the slow stage to incorporation, and capped their experiments at 24 hours deliberately in order to stay inside the adsorption regime. Both mechanisms are time-dependent, so the flat-versus-closing test cannot separate them, and neither can XRD, because incorporation into an existing lattice produces no new phase. If incorporation is what is happening, a month-long run converges on the prediction for the wrong reason and the number extracted is not a sorption constant.</w:t>
      </w:r>
    </w:p>
    <w:p>
      <w:r>
        <w:t>A desorption step separates them. The solid is filtered at day 28, resuspended in fresh metal-free brine at the same pH, and the cobalt returning to solution is measured. Substantial reversibility means the cobalt was held as a surface complex and the converging ratio means what it appears to mean; poor reversibility means incorporation, and the constant is then not extractable from a long run at all, which would make the 24-hour cap of Belova et al. (2014) the correct design instead. Cobalt is the favourable case for this test: Zachara et al. (1991) found the strongly hydrated divalent cations, zinc, cobalt and nickel, to be the most desorbable on calcite, and read this as evidence that they remain hydrated in a surface complex until recrystallization takes them in. The step costs one filtration and one further ICP analysis, and it converts an ambiguous convergence into a decisive one, which no amount of additional sampling can do.</w:t>
      </w:r>
    </w:p>
    <w:p>
      <w:r>
        <w:t>Either outcome is informative, and the whole design costs one bottle, five samplings and one desorption step. XRD on the final solid remains worthwhile as a confirmation that nothing precipitated, but with the run held below saturation it is no longer what carries the interpretation, and it is not the check on incorporation.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r>
        <w:t>Two limitations have direct precedent in that work and should be stated rather than passed over. No solid-free blanks were run here, so wall losses could not be subtracted; blanks at every condition are part of the standard procedure, and their absence matters most where measured removal is small, which is every point in this data set. More consequentially, the central finding of Belova et al. (2014) was that trace surface impurities, clay and polysaccharide at well under one percent by mass, raised the fitted nickel constant by roughly 0.7 log units relative to the pure mineral. The source study reports the composition of the dolomite used here twice, with different numbers: 98 % dolomite in the methods, against 94 % dolomite with 4 % quartz and 2 % ankerite by XRD. That discrepancy should be reconciled before the constant is quoted, because on Belova's evidence a few percent of non-dolomite surface is enough to move the result by more than the gap being argued about in §3.5. The defensible framing is that any constant reported here belongs to the Arbuckle powder as used, not to dolomite as a mineral, and a measured value for the non-dolomite fraction would be needed to say otherwise.</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test. It becomes decisive only with a desorption step at the end, because a closing ratio is equally the signature of surface recrystallization incorporating the cobalt into new lattice, the slow stage that led Belova et al. (2014) to cap their own runs at 24 hours, and no amount of extra sampling or XRD can tell the two apart. Pre-equilibrating the solid with the brine before the metal is added, as they did, removes the drift that made the six-day data ambiguous in the first place.</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 and the two reported compositions of the solid, 98 % dolomite in the methods against 94 % dolomite with 4 % quartz and 2 % ankerite by XRD, should be reconciled. The latter is not bookkeeping: Belova et al. (2014) found that impurities well under one percent by mass shifted the fitted constant by about 0.7 log units, so a few percent of non-dolomite surface is enough to move the result by more than the discrepancy under discussion in §3.5. Until it is settled, any constant reported here belongs to the Arbuckle powder as used rather than to dolomite as a mineral.</w:t>
      </w:r>
    </w:p>
    <w:p>
      <w:r>
        <w:t>7a. The quantity that transfers between studies is the exchange constant, log K_ex = log K(&gt;CO₃Me) − log K(&gt;CO₃Ca), which cancels the site-density convention. The cobalt bound corresponds to log K_ex ≥ −0.44, about one log unit below the +0.58 of Belova et al. (2014) and the +0.51 of Zachara et al. (1991) for nickel on calcite, which is the direction incomplete equilibration predicts.</w:t>
      </w:r>
    </w:p>
    <w:p>
      <w:pPr>
        <w:pStyle w:val="ListNumber"/>
      </w:pPr>
      <w:r>
        <w:t>The hand-coded speciation was verified against PHREEQC version 3 at three equilibrium points, with the formation constants for the metals and for the calcium, magnesium and sodium complexes all supplied so that only the activity model and the solver differ; the two agree to 0.06 log units in free-metal activity, 0.07 in free calcium activity and 0.07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24694"/>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24694"/>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386631"/>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386631"/>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386631"/>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386631"/>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27684"/>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27684"/>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40309"/>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40309"/>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593512"/>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593512"/>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18739"/>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18739"/>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Brady, P. V., Papenguth, H. W., &amp; Kelly, J. W. (1999). Metal sorption to dolomite surfaces. </w:t>
      </w:r>
      <w:r>
        <w:rPr>
          <w:i/>
        </w:rPr>
        <w:t>Applied Geochemistry, 14</w:t>
      </w:r>
      <w:r>
        <w:t>(5), 569–579. https://doi.org/10.1016/S0883-2927(98)00085-7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p>
      <w:r>
        <w:t xml:space="preserve">Zachara, J. M., Cowan, C. E., &amp; Resch, C. T. (1991). Sorption of divalent metals on calcite. </w:t>
      </w:r>
      <w:r>
        <w:rPr>
          <w:i/>
        </w:rPr>
        <w:t>Geochimica et Cosmochimica Acta, 55</w:t>
      </w:r>
      <w:r>
        <w:t>(6), 1549–1562. https://doi.org/10.1016/0016-7037(91)90126-Q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