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Solving the carbonate-site mass balance with the measured Ca and Mg as competitors, and closing the constant capacitance electrostatic loop (C = 138 F m⁻²), gives point-by-point constants that are flat in pH for lithium, log K(&gt;CO₃Li⁰) = −2.31 (electrostatic) and −2.35 (non-electrostatic) over five usable points with an internal spread of 0.2 log units. Lithium is site-limited, however: the carbonate-site inventory can hold at most 3.2 % of the 20 mmol L⁻¹ present and the measured removal is 71 % of that ceiling, so at ±3 % analytical precision the propagated interval on the constant spans several log units and the value is an order of magnitude rather than a constant. Cobalt has two usable points (apparent log K = −2.18); its only well-measured point is supersaturated with sphaerocobaltite and is excluded. The constant taken from the aqueous–surface analogy of Van Cappellen et al. (1993) and Pokrovsky and Schott (2002), log K(&gt;CO₃Co⁺) = −0.79, over-predicts the observed cobalt uptake by a factor of 3.5 to 7.4, a discrepancy attributable to the borrowed constant, to a reactive area of 13 to 29 % of the BET area, or to incomplete equilibration, which the present design cannot separate.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sz w:val="18"/>
              </w:rPr>
              <w:t>−2.31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 −5.4 to +0.8</w:t>
            </w:r>
          </w:p>
        </w:tc>
        <w:tc>
          <w:tcPr>
            <w:tcW w:type="dxa" w:w="1234"/>
          </w:tcPr>
          <w:p>
            <w:r>
              <w:rPr>
                <w:sz w:val="18"/>
              </w:rPr>
            </w:r>
            <w:r>
              <w:rPr>
                <w:sz w:val="18"/>
              </w:rPr>
              <w:t>fitted; site-limited; order of magnitude only</w:t>
            </w:r>
          </w:p>
        </w:tc>
      </w:tr>
      <w:tr>
        <w:tc>
          <w:tcPr>
            <w:tcW w:type="dxa" w:w="1234"/>
          </w:tcPr>
          <w:p>
            <w:r>
              <w:rPr>
                <w:sz w:val="18"/>
              </w:rPr>
            </w:r>
            <w:r>
              <w:rPr>
                <w:sz w:val="18"/>
              </w:rPr>
              <w:t>&gt;CO₃H⁰ + Co²⁺ ⇌ &gt;CO₃Co⁺ + H⁺ (apparent)</w:t>
            </w:r>
          </w:p>
        </w:tc>
        <w:tc>
          <w:tcPr>
            <w:tcW w:type="dxa" w:w="1234"/>
          </w:tcPr>
          <w:p>
            <w:r>
              <w:rPr>
                <w:sz w:val="18"/>
              </w:rPr>
            </w:r>
            <w:r>
              <w:rPr>
                <w:sz w:val="18"/>
              </w:rPr>
              <w:t>2</w:t>
            </w:r>
          </w:p>
        </w:tc>
        <w:tc>
          <w:tcPr>
            <w:tcW w:type="dxa" w:w="1234"/>
          </w:tcPr>
          <w:p>
            <w:r>
              <w:rPr>
                <w:sz w:val="18"/>
              </w:rPr>
            </w:r>
            <w:r>
              <w:rPr>
                <w:sz w:val="18"/>
              </w:rPr>
              <w:t>−2.18</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 −3.4 to −1.0</w:t>
            </w:r>
          </w:p>
        </w:tc>
        <w:tc>
          <w:tcPr>
            <w:tcW w:type="dxa" w:w="1234"/>
          </w:tcPr>
          <w:p>
            <w:r>
              <w:rPr>
                <w:sz w:val="18"/>
              </w:rPr>
            </w:r>
            <w:r>
              <w:rPr>
                <w:sz w:val="18"/>
              </w:rPr>
              <w:t>apparent; not an intrinsic constant</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(slope 0.00 per pH unit across the equilibrium points) and internally consistent to 0.2 log units across five samples, and the electrostatic and non-electrostatic values agree to 0.04 log units, as expected at C = 138 F m⁻². That consistency is not accuracy: because the surface is near saturation with lithium, the inversion of Eq. 13 is insensitive, and propagating the ±3 % analytical error gives an interval of several log units. At ±1 % analytical precision the propagated half-width would fall to about 1.7 log units, but the site limitation remains; an isotherm at lower lithium concentration is what constrains the constant. Cobalt has two usable points, both pre-equilibrium and undersaturated, giving an apparent value of −2.18 that is reported only as such.</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and cannot be separated with two pH values and one concentration: (a) the borrowed constant, the usable points giving an apparent value 1.4 log units weaker than the analogy; (b) a reactive area of 13 to 29 % of the BET area, the same adjustment Belova et al. (2014) explored; (c) incomplete equilibration, since removal is still rising at day 6 (Figure 1), so the day-6 coverage is a lower bound. The saturation index of sphaerocobaltite crosses zero between day 4 and day 6 in the pH 6 batch, marking where precipitation would begin to add to sorption.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sensitivity is, however, small: swapping Ca and Mg in the cobalt pH 6 day-6 point leaves the point-by-point constant unchanged at −1.89, because the two competitor constants (−1.8 and −2.0) are nearly equal and both species are minor at these concentrations. If the raw run confirms the values, the pattern is real incongruent dissolution and should be reported as such.</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 log units across five samples is a statement about the samples, not about the constant, and the propagated interval of several log units is the honest width.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which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Calcium and magnesium competition does not resolve it: the two competitor constants are nearly equal and the swap test of §3.6 moves the constant by less than 0.01. The present design cannot separate these three; an isotherm at fixed pH does.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For the present low-uptake data set, lithium behaves as a sorbing ion with a pH-independent constant, log K(&gt;CO₃Li⁰) ≈ −2.3 (electrostatic and non-electrostatic agree to 0.04), but it is site-limited: the surface holds at most 3.2 % of the lithium present and is 71 % full, so the propagated interval spans several log units and the value is an order of magnitude, conditional on the borrowed site parameters. The reported 8.5 % lithium recovery on fine dolomite is 2.4 times the sorption ceiling, so the earlier attribution of lithium recovery to sorption needs to be revisited for those runs.</w:t>
      </w:r>
    </w:p>
    <w:p>
      <w:pPr>
        <w:pStyle w:val="ListNumber"/>
      </w:pPr>
      <w:r>
        <w:t>Cobalt has two usable points; its best-measured point is supersaturated with sphaerocobaltite and is excluded. The apparent value from the usable points (−2.18) is reported only as such.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