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 xml:space="preserve">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Neither constant proves determinable, and the two fail for different reasons, which is itself the result. For lithium the point-by-point constant is flat in pH (slope +0.02 per pH unit over five usable points spanning pH 4.3 to 8.3, internal spread 0.20), but lithium was dosed above the surface's capacity: the carbonate-site inventory can hold at most 3.2 % of the 20 mmol L⁻¹ present and the measured 2.3 % removal already fills 71 % of the surface, so the mass-action inversion is insensitive and the interval propagated from ±3 % analytical precision runs from −5.9 to +0.8. No central value is reported for lithium. Cobalt sits comfortably inside the monolayer bound (removal is 16 % of its site ceiling of 46.7 %), but its two usable points are both pre-equilibrium (day 2 and day 4 of the pH 6 batch); every day-6 point is excluded, one for sphaerocobaltite supersaturation (SI = +0.93) and three for being within analytical noise. Because uptake is still rising at the last sampling and log K increases monotonically with coverage, the measured coverage bounds the equilibrium coverage from below and the constant is therefore reported as a bound, </w:t>
      </w:r>
      <w:r>
        <w:rPr>
          <w:b/>
        </w:rPr>
        <w:t>log K(&gt;CO₃Co⁺) ≥ −2.20</w:t>
      </w:r>
      <w:r>
        <w:t>, rather than as a central value; the ±1.16 is the random component from analytical precision alone and carries no information about the systematic offset from incomplete reaction. The two usable points span only 0.08 pH units, too narrow for the flat-line diagnostic. The constant taken from the aqueous–surface analogy of Van Cappellen et al. (1993) and Pokrovsky and Schott (2002), log K(&gt;CO₃Co⁺) = −0.79, over-predicts the observed cobalt uptake by a factor of 3.5 to 7.4, so precipitation is not required to explain the removal measured in this low-uptake data set; the sorption prediction itself is too high. Ca/Mg competition and precipitation are both ruled out as causes by the data, leaving the borrowed constant, a reactive area of 13 to 29 % of BET (a three- to eight-fold reduction, against the 1.4-fold reduction Belova et al. explored), or incomplete equilibration. The time trend discriminates among these: the predicted sorption is flat to 11 % of its mean across the six days while the measured removal grows 2.3-fold, so the ratio closes monotonically from 7.4 to 3.5. A wrong constant, a reduced reactive area and sodium competition are all time-invariant scalings and would hold the ratio flat; a closing ratio is the signature of a system still approaching equilibrium. This does not exclude the other three, it only shows that none of them can be the whole explanation: any of them could still contribute a constant factor beneath the kinetics, and at 0.684 M sodium competition is the most likely to be doing so. The time axis is confounded with pH, which rises from 7.40 to 8.09 over the same interval, but the model closes that: its prediction is computed at each point's own measured pH assuming equilibrium, so the prediction is the pH effect with time removed, and it rises only 10 % against the 135 % rise measured. pH therefore accounts for at most 8 % of the observed increase. Crude extrapolation places the meeting point at two to three weeks, so the six-day experiment may simply have stopped too early. Incomplete equilibration in this sense covers two mechanisms that the time trend cannot separate, a slow approach to sorption equilibrium and recrystallization incorporating the cobalt into new lattice, and the extended run is designed to distinguish them (§3.5). Because the analogy value of −0.79 lies above the lower bound, it is not excluded by these data, and a single month-long batch held at fixed pH would settle whether the gap closes; the pH must be held near 7.18 rather than at the drifted value of 8.09, because at 8.09 the run sits above sphaerocobaltite saturation throughout and a closing ratio could equally mean precipitation, and alkalinity must be measured at each sampling because continued dolomite dissolution raises the saturation index in a way a fixed-pCO₂ calculation cannot see.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−17.09 for ordered dolomite (Parkhurst &amp; Appelo, 2013), −9.98 for sphaerocobaltite CoCO₃ (Smith &amp; Martell, 2004) and ≈ −2.5 for zabuyelite Li₂CO₃. The solid is dolomite, so calcite is not a starting phase of this system and is excluded from the reported tables and figures. Whether it could form is a separate question, since incongruent dolomite dissolution releases both calcium and carbonate, so the index was computed (log K_sp = −8.48; Plummer &amp; Busenberg, 1982) and is reported in §3.2 rather than assumed away.</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Only the two dolomite columns are used; the calcite and magnesite columns are reproduced solely as a transcription record, since the dolomite values were read from the same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0.004</w:t>
            </w:r>
          </w:p>
        </w:tc>
        <w:tc>
          <w:tcPr>
            <w:tcW w:type="dxa" w:w="1728"/>
          </w:tcPr>
          <w:p>
            <w:r>
              <w:rPr>
                <w:sz w:val="18"/>
              </w:rPr>
            </w:r>
          </w:p>
        </w:tc>
        <w:tc>
          <w:tcPr>
            <w:tcW w:type="dxa" w:w="1728"/>
          </w:tcPr>
          <w:p>
            <w:r>
              <w:rPr>
                <w:sz w:val="18"/>
              </w:rPr>
            </w:r>
          </w:p>
        </w:tc>
        <w:tc>
          <w:tcPr>
            <w:tcW w:type="dxa" w:w="1728"/>
          </w:tcPr>
          <w:p>
            <w:r>
              <w:rPr>
                <w:sz w:val="18"/>
              </w:rPr>
            </w:r>
            <w:r>
              <w:rPr>
                <w:sz w:val="18"/>
              </w:rPr>
              <w:t>207 F m⁻² at I = 0.684 M (Pokrovsky et al., 1999a, §3.3)</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Two tests precede any fitting. The capacity test compares Γ with the crystallographic site density: Γ/N_s &gt; 1 is not reachable by adsorption. The saturation test requires SI &lt; 0 for the metal carbonate at the point being fitted (Belova et al., 2014). A point was used in the fit only if it passed both tests and its relative coverage error was below 300 %; every exclusion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and more directly, the same three equilibrium points were solved independently by PHREEQC version 3 (Parkhurst &amp; Appelo, 2013) through its Python bindings. Cobalt and lithium are absent from the shipped databases, so the formation constants used here were supplied to PHREEQC explicitly, and so were those for the calcium, magnesium and sodium complexes, since `phreeqc.dat` carries its own values for those and the calcium and magnesium activities feed the site balance directly. The thermodynamic data are therefore identical across every species that matters here, and the comparison isolates what remains: PHREEQC brings the WATEQ extended Debye–Hückel form with ion-size parameters rather than Davies, together with its own tableau and Newton solver. Every quantity the constants are computed from agrees to within the activity-model floor established above: 0.06 log units in the free-metal activity, 0.01 in the carbonate activity, 0.07 in the free calcium activity, 0.00 in the free magnesium activity and 0.07 in the saturation index of sphaerocobaltite. Two differences remain and are expected. Reported ionic strengths differ by 0.038 because PHREEQC works in molality on a kilogram-of-water basis and because the two activity models leave different fractions of the sodium chloride associated at this concentration. Free-ion fractions differ by up to nine percentage points because the WATEQ form distributes the same total metal differently between the free ion and its chloride pairs; the fraction is a reporting quantity, while the constants are inverted from the activity, and the activities agree. The equivalent Visual MINTEQ input is also printed for anyone repeating the check in that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dolomite carbonate-site density by a factor of 1.7 to 2.4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Dolomite remains undersaturated at all points (SI ≤ −1.6) and Li₂CO₃ is far undersaturated (SI ≤ −6.4).</w:t>
      </w:r>
    </w:p>
    <w:p>
      <w:r>
        <w:t>Calcite deserves a separate statement, because the solid used here is dolomite and calcite is therefore not a starting phase, but incongruent dissolution releases both calcium and carbonate and the index does not behave uniformly across the batches. Every cobalt point is undersaturated by 2.7 log units or more (−8.29 to −2.74), so calcite plays no part in the cobalt result and the bound of §3.4 is untouched by it. The lithium pH 6 batch is different: the index climbs −1.42, −0.71, −0.08 over days 2, 4 and 6, reaching saturation rather than moving away from it, and −0.08 lies inside the 0.10 log unit activity-model floor established in §2.9, so the model cannot resolve whether calcite is saturated at that point. Secondary calcite therefore cannot be excluded for that batch on this evidence. It would consume calcium rather than lithium, so it neither creates nor destroys lithium uptake, and the lithium constant is undetermined here for independent reasons; but it is the plausible solubility ceiling that the anomalous calcium of that batch (49.9 mg L⁻¹ against 0.87 mg L⁻¹ magnesium, §3.6) was approaching, and XRD on the recovered solid would settle it. Calcite is otherwise excluded from the reported tables and figures.</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−0.41</w:t>
            </w:r>
          </w:p>
        </w:tc>
        <w:tc>
          <w:tcPr>
            <w:tcW w:type="dxa" w:w="720"/>
          </w:tcPr>
          <w:p>
            <w:r>
              <w:rPr>
                <w:sz w:val="18"/>
              </w:rPr>
            </w:r>
            <w:r>
              <w:rPr>
                <w:sz w:val="18"/>
              </w:rPr>
              <w:t>−2.35</w:t>
            </w:r>
          </w:p>
        </w:tc>
        <w:tc>
          <w:tcPr>
            <w:tcW w:type="dxa" w:w="720"/>
          </w:tcPr>
          <w:p>
            <w:r>
              <w:rPr>
                <w:sz w:val="18"/>
              </w:rPr>
            </w:r>
            <w:r>
              <w:rPr>
                <w:sz w:val="18"/>
              </w:rPr>
              <w:t>−5.41 to −1.91</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−2.07</w:t>
            </w:r>
          </w:p>
        </w:tc>
        <w:tc>
          <w:tcPr>
            <w:tcW w:type="dxa" w:w="720"/>
          </w:tcPr>
          <w:p>
            <w:r>
              <w:rPr>
                <w:sz w:val="18"/>
              </w:rPr>
            </w:r>
            <w:r>
              <w:rPr>
                <w:sz w:val="18"/>
              </w:rPr>
              <w:t>−2.87 to −1.73</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−2.30 to −1.63</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−1.99</w:t>
            </w:r>
          </w:p>
        </w:tc>
        <w:tc>
          <w:tcPr>
            <w:tcW w:type="dxa" w:w="720"/>
          </w:tcPr>
          <w:p>
            <w:r>
              <w:rPr>
                <w:sz w:val="18"/>
              </w:rPr>
            </w:r>
            <w:r>
              <w:rPr>
                <w:sz w:val="18"/>
              </w:rPr>
              <w:t>−5.00 to −1.24</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−2.67</w:t>
            </w:r>
          </w:p>
        </w:tc>
        <w:tc>
          <w:tcPr>
            <w:tcW w:type="dxa" w:w="720"/>
          </w:tcPr>
          <w:p>
            <w:r>
              <w:rPr>
                <w:sz w:val="18"/>
              </w:rPr>
            </w:r>
            <w:r>
              <w:rPr>
                <w:sz w:val="18"/>
              </w:rPr>
              <w:t>−5.68 to −1.85</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−3.51</w:t>
            </w:r>
          </w:p>
        </w:tc>
        <w:tc>
          <w:tcPr>
            <w:tcW w:type="dxa" w:w="720"/>
          </w:tcPr>
          <w:p>
            <w:r>
              <w:rPr>
                <w:sz w:val="18"/>
              </w:rPr>
            </w:r>
            <w:r>
              <w:rPr>
                <w:sz w:val="18"/>
              </w:rPr>
              <w:t>−6.51 to −1.96</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11.90</w:t>
            </w:r>
          </w:p>
        </w:tc>
        <w:tc>
          <w:tcPr>
            <w:tcW w:type="dxa" w:w="720"/>
          </w:tcPr>
          <w:p>
            <w:r>
              <w:rPr>
                <w:sz w:val="18"/>
              </w:rPr>
            </w:r>
            <w:r>
              <w:rPr>
                <w:sz w:val="18"/>
              </w:rPr>
              <w:t>154</w:t>
            </w:r>
          </w:p>
        </w:tc>
        <w:tc>
          <w:tcPr>
            <w:tcW w:type="dxa" w:w="720"/>
          </w:tcPr>
          <w:p>
            <w:r>
              <w:rPr>
                <w:sz w:val="18"/>
              </w:rPr>
            </w:r>
            <w:r>
              <w:rPr>
                <w:sz w:val="18"/>
              </w:rPr>
              <w:t>−7.62</w:t>
            </w:r>
          </w:p>
        </w:tc>
        <w:tc>
          <w:tcPr>
            <w:tcW w:type="dxa" w:w="720"/>
          </w:tcPr>
          <w:p>
            <w:r>
              <w:rPr>
                <w:sz w:val="18"/>
              </w:rPr>
            </w:r>
            <w:r>
              <w:rPr>
                <w:sz w:val="18"/>
              </w:rPr>
              <w:t>−1.99</w:t>
            </w:r>
          </w:p>
        </w:tc>
        <w:tc>
          <w:tcPr>
            <w:tcW w:type="dxa" w:w="720"/>
          </w:tcPr>
          <w:p>
            <w:r>
              <w:rPr>
                <w:sz w:val="18"/>
              </w:rPr>
            </w:r>
            <w:r>
              <w:rPr>
                <w:sz w:val="18"/>
              </w:rPr>
              <w:t>−5.86 to +0.25</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5.40</w:t>
            </w:r>
          </w:p>
        </w:tc>
        <w:tc>
          <w:tcPr>
            <w:tcW w:type="dxa" w:w="720"/>
          </w:tcPr>
          <w:p>
            <w:r>
              <w:rPr>
                <w:sz w:val="18"/>
              </w:rPr>
            </w:r>
            <w:r>
              <w:rPr>
                <w:sz w:val="18"/>
              </w:rPr>
              <w:t>342</w:t>
            </w:r>
          </w:p>
        </w:tc>
        <w:tc>
          <w:tcPr>
            <w:tcW w:type="dxa" w:w="720"/>
          </w:tcPr>
          <w:p>
            <w:r>
              <w:rPr>
                <w:sz w:val="18"/>
              </w:rPr>
            </w:r>
            <w:r>
              <w:rPr>
                <w:sz w:val="18"/>
              </w:rPr>
              <w:t>−7.06</w:t>
            </w:r>
          </w:p>
        </w:tc>
        <w:tc>
          <w:tcPr>
            <w:tcW w:type="dxa" w:w="720"/>
          </w:tcPr>
          <w:p>
            <w:r>
              <w:rPr>
                <w:sz w:val="18"/>
              </w:rPr>
            </w:r>
            <w:r>
              <w:rPr>
                <w:sz w:val="18"/>
              </w:rPr>
              <w:t>−2.95</w:t>
            </w:r>
          </w:p>
        </w:tc>
        <w:tc>
          <w:tcPr>
            <w:tcW w:type="dxa" w:w="720"/>
          </w:tcPr>
          <w:p>
            <w:r>
              <w:rPr>
                <w:sz w:val="18"/>
              </w:rPr>
            </w:r>
            <w:r>
              <w:rPr>
                <w:sz w:val="18"/>
              </w:rPr>
              <w:t>−6.17 to +0.26</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10.00</w:t>
            </w:r>
          </w:p>
        </w:tc>
        <w:tc>
          <w:tcPr>
            <w:tcW w:type="dxa" w:w="720"/>
          </w:tcPr>
          <w:p>
            <w:r>
              <w:rPr>
                <w:sz w:val="18"/>
              </w:rPr>
            </w:r>
            <w:r>
              <w:rPr>
                <w:sz w:val="18"/>
              </w:rPr>
              <w:t>183</w:t>
            </w:r>
          </w:p>
        </w:tc>
        <w:tc>
          <w:tcPr>
            <w:tcW w:type="dxa" w:w="720"/>
          </w:tcPr>
          <w:p>
            <w:r>
              <w:rPr>
                <w:sz w:val="18"/>
              </w:rPr>
            </w:r>
            <w:r>
              <w:rPr>
                <w:sz w:val="18"/>
              </w:rPr>
              <w:t>−6.40</w:t>
            </w:r>
          </w:p>
        </w:tc>
        <w:tc>
          <w:tcPr>
            <w:tcW w:type="dxa" w:w="720"/>
          </w:tcPr>
          <w:p>
            <w:r>
              <w:rPr>
                <w:sz w:val="18"/>
              </w:rPr>
            </w:r>
            <w:r>
              <w:rPr>
                <w:sz w:val="18"/>
              </w:rPr>
              <w:t>−2.38</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6.85</w:t>
            </w:r>
          </w:p>
        </w:tc>
        <w:tc>
          <w:tcPr>
            <w:tcW w:type="dxa" w:w="720"/>
          </w:tcPr>
          <w:p>
            <w:r>
              <w:rPr>
                <w:sz w:val="18"/>
              </w:rPr>
            </w:r>
            <w:r>
              <w:rPr>
                <w:sz w:val="18"/>
              </w:rPr>
              <w:t>269</w:t>
            </w:r>
          </w:p>
        </w:tc>
        <w:tc>
          <w:tcPr>
            <w:tcW w:type="dxa" w:w="720"/>
          </w:tcPr>
          <w:p>
            <w:r>
              <w:rPr>
                <w:sz w:val="18"/>
              </w:rPr>
            </w:r>
            <w:r>
              <w:rPr>
                <w:sz w:val="18"/>
              </w:rPr>
              <w:t>−14.40</w:t>
            </w:r>
          </w:p>
        </w:tc>
        <w:tc>
          <w:tcPr>
            <w:tcW w:type="dxa" w:w="720"/>
          </w:tcPr>
          <w:p>
            <w:r>
              <w:rPr>
                <w:sz w:val="18"/>
              </w:rPr>
            </w:r>
            <w:r>
              <w:rPr>
                <w:sz w:val="18"/>
              </w:rPr>
              <w:t>−2.24</w:t>
            </w:r>
          </w:p>
        </w:tc>
        <w:tc>
          <w:tcPr>
            <w:tcW w:type="dxa" w:w="720"/>
          </w:tcPr>
          <w:p>
            <w:r>
              <w:rPr>
                <w:sz w:val="18"/>
              </w:rPr>
            </w:r>
            <w:r>
              <w:rPr>
                <w:sz w:val="18"/>
              </w:rPr>
              <w:t>−5.53 to +0.78</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7.82</w:t>
            </w:r>
          </w:p>
        </w:tc>
        <w:tc>
          <w:tcPr>
            <w:tcW w:type="dxa" w:w="720"/>
          </w:tcPr>
          <w:p>
            <w:r>
              <w:rPr>
                <w:sz w:val="18"/>
              </w:rPr>
            </w:r>
            <w:r>
              <w:rPr>
                <w:sz w:val="18"/>
              </w:rPr>
              <w:t>235</w:t>
            </w:r>
          </w:p>
        </w:tc>
        <w:tc>
          <w:tcPr>
            <w:tcW w:type="dxa" w:w="720"/>
          </w:tcPr>
          <w:p>
            <w:r>
              <w:rPr>
                <w:sz w:val="18"/>
              </w:rPr>
            </w:r>
            <w:r>
              <w:rPr>
                <w:sz w:val="18"/>
              </w:rPr>
              <w:t>−11.50</w:t>
            </w:r>
          </w:p>
        </w:tc>
        <w:tc>
          <w:tcPr>
            <w:tcW w:type="dxa" w:w="720"/>
          </w:tcPr>
          <w:p>
            <w:r>
              <w:rPr>
                <w:sz w:val="18"/>
              </w:rPr>
            </w:r>
            <w:r>
              <w:rPr>
                <w:sz w:val="18"/>
              </w:rPr>
              <w:t>−2.52</w:t>
            </w:r>
          </w:p>
        </w:tc>
        <w:tc>
          <w:tcPr>
            <w:tcW w:type="dxa" w:w="720"/>
          </w:tcPr>
          <w:p>
            <w:r>
              <w:rPr>
                <w:sz w:val="18"/>
              </w:rPr>
            </w:r>
            <w:r>
              <w:rPr>
                <w:sz w:val="18"/>
              </w:rPr>
              <w:t>−5.88 to +0.38</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8.97</w:t>
            </w:r>
          </w:p>
        </w:tc>
        <w:tc>
          <w:tcPr>
            <w:tcW w:type="dxa" w:w="720"/>
          </w:tcPr>
          <w:p>
            <w:r>
              <w:rPr>
                <w:sz w:val="18"/>
              </w:rPr>
            </w:r>
            <w:r>
              <w:rPr>
                <w:sz w:val="18"/>
              </w:rPr>
              <w:t>205</w:t>
            </w:r>
          </w:p>
        </w:tc>
        <w:tc>
          <w:tcPr>
            <w:tcW w:type="dxa" w:w="720"/>
          </w:tcPr>
          <w:p>
            <w:r>
              <w:rPr>
                <w:sz w:val="18"/>
              </w:rPr>
            </w:r>
            <w:r>
              <w:rPr>
                <w:sz w:val="18"/>
              </w:rPr>
              <w:t>−8.82</w:t>
            </w:r>
          </w:p>
        </w:tc>
        <w:tc>
          <w:tcPr>
            <w:tcW w:type="dxa" w:w="720"/>
          </w:tcPr>
          <w:p>
            <w:r>
              <w:rPr>
                <w:sz w:val="18"/>
              </w:rPr>
            </w:r>
            <w:r>
              <w:rPr>
                <w:sz w:val="18"/>
              </w:rPr>
              <w:t>−2.39</w:t>
            </w:r>
          </w:p>
        </w:tc>
        <w:tc>
          <w:tcPr>
            <w:tcW w:type="dxa" w:w="720"/>
          </w:tcPr>
          <w:p>
            <w:r>
              <w:rPr>
                <w:sz w:val="18"/>
              </w:rPr>
            </w:r>
            <w:r>
              <w:rPr>
                <w:sz w:val="18"/>
              </w:rPr>
              <w:t>−5.84 to +0.36</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 A central value is quoted only where the uncertainty is below 1.5 log units, a factor of about 30 either way; above that the interval is reported instead, because a central value carrying a wider interval than that is quoted without it. The threshold is a judgment call and is stated rather than left implicit. Cobalt is reported as a one-sided bound for the reason given in §3.4, so the ±1.16, a factor of 15 either way, is the random component only.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b/>
                <w:sz w:val="18"/>
              </w:rPr>
              <w:t>not determined</w:t>
            </w:r>
            <w:r>
              <w:rPr>
                <w:sz w:val="18"/>
              </w:rPr>
              <w:t xml:space="preserve"> (fit returns −2.33)</w:t>
            </w:r>
          </w:p>
        </w:tc>
        <w:tc>
          <w:tcPr>
            <w:tcW w:type="dxa" w:w="1234"/>
          </w:tcPr>
          <w:p>
            <w:r>
              <w:rPr>
                <w:sz w:val="18"/>
              </w:rPr>
            </w:r>
            <w:r>
              <w:rPr>
                <w:sz w:val="18"/>
              </w:rPr>
              <w:t>(−2.35)</w:t>
            </w:r>
          </w:p>
        </w:tc>
        <w:tc>
          <w:tcPr>
            <w:tcW w:type="dxa" w:w="1234"/>
          </w:tcPr>
          <w:p>
            <w:r>
              <w:rPr>
                <w:sz w:val="18"/>
              </w:rPr>
            </w:r>
            <w:r>
              <w:rPr>
                <w:sz w:val="18"/>
              </w:rPr>
              <w:t>0.20</w:t>
            </w:r>
          </w:p>
        </w:tc>
        <w:tc>
          <w:tcPr>
            <w:tcW w:type="dxa" w:w="1234"/>
          </w:tcPr>
          <w:p>
            <w:r>
              <w:rPr>
                <w:sz w:val="18"/>
              </w:rPr>
            </w:r>
            <w:r>
              <w:rPr>
                <w:sz w:val="18"/>
              </w:rPr>
              <w:t>−5.9 to +0.8</w:t>
            </w:r>
          </w:p>
        </w:tc>
        <w:tc>
          <w:tcPr>
            <w:tcW w:type="dxa" w:w="1234"/>
          </w:tcPr>
          <w:p>
            <w:r>
              <w:rPr>
                <w:sz w:val="18"/>
              </w:rPr>
            </w:r>
            <w:r>
              <w:rPr>
                <w:sz w:val="18"/>
              </w:rPr>
              <w:t>site-limited: surface 71 % full, inversion insensitive; no central value reported</w:t>
            </w:r>
          </w:p>
        </w:tc>
      </w:tr>
      <w:tr>
        <w:tc>
          <w:tcPr>
            <w:tcW w:type="dxa" w:w="1234"/>
          </w:tcPr>
          <w:p>
            <w:r>
              <w:rPr>
                <w:sz w:val="18"/>
              </w:rPr>
            </w:r>
            <w:r>
              <w:rPr>
                <w:sz w:val="18"/>
              </w:rPr>
              <w:t>&gt;CO₃H⁰ + Co²⁺ ⇌ &gt;CO₃Co⁺ + H⁺</w:t>
            </w:r>
          </w:p>
        </w:tc>
        <w:tc>
          <w:tcPr>
            <w:tcW w:type="dxa" w:w="1234"/>
          </w:tcPr>
          <w:p>
            <w:r>
              <w:rPr>
                <w:sz w:val="18"/>
              </w:rPr>
            </w:r>
            <w:r>
              <w:rPr>
                <w:sz w:val="18"/>
              </w:rPr>
              <w:t>2</w:t>
            </w:r>
          </w:p>
        </w:tc>
        <w:tc>
          <w:tcPr>
            <w:tcW w:type="dxa" w:w="1234"/>
          </w:tcPr>
          <w:p>
            <w:r>
              <w:rPr>
                <w:sz w:val="18"/>
              </w:rPr>
            </w:r>
            <w:r>
              <w:rPr>
                <w:b/>
                <w:sz w:val="18"/>
              </w:rPr>
              <w:t>≥ −2.20</w:t>
            </w:r>
            <w:r>
              <w:rPr>
                <w:sz w:val="18"/>
              </w:rPr>
              <w:t xml:space="preserve"> (lower bound)</w:t>
            </w:r>
          </w:p>
        </w:tc>
        <w:tc>
          <w:tcPr>
            <w:tcW w:type="dxa" w:w="1234"/>
          </w:tcPr>
          <w:p>
            <w:r>
              <w:rPr>
                <w:sz w:val="18"/>
              </w:rPr>
            </w:r>
            <w:r>
              <w:rPr>
                <w:sz w:val="18"/>
              </w:rPr>
              <w:t>(−2.24)</w:t>
            </w:r>
          </w:p>
        </w:tc>
        <w:tc>
          <w:tcPr>
            <w:tcW w:type="dxa" w:w="1234"/>
          </w:tcPr>
          <w:p>
            <w:r>
              <w:rPr>
                <w:sz w:val="18"/>
              </w:rPr>
            </w:r>
            <w:r>
              <w:rPr>
                <w:sz w:val="18"/>
              </w:rPr>
              <w:t>0.20</w:t>
            </w:r>
          </w:p>
        </w:tc>
        <w:tc>
          <w:tcPr>
            <w:tcW w:type="dxa" w:w="1234"/>
          </w:tcPr>
          <w:p>
            <w:r>
              <w:rPr>
                <w:sz w:val="18"/>
              </w:rPr>
            </w:r>
            <w:r>
              <w:rPr>
                <w:sz w:val="18"/>
              </w:rPr>
              <w:t>±1.16 random only</w:t>
            </w:r>
          </w:p>
        </w:tc>
        <w:tc>
          <w:tcPr>
            <w:tcW w:type="dxa" w:w="1234"/>
          </w:tcPr>
          <w:p>
            <w:r>
              <w:rPr>
                <w:sz w:val="18"/>
              </w:rPr>
            </w:r>
            <w:r>
              <w:rPr>
                <w:sz w:val="18"/>
              </w:rPr>
              <w:t>both points pre-equilibrium (pH 6 batch, days 2 and 4) and uptake still rising at day 6; log K increases monotonically with coverage, so the fitted value bounds the constant from below</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with a slope of +0.02 per pH unit over the five usable points, which span pH 4.26 to 8.26; the electrostatic and non-electrostatic values agree to 0.04 log units, as expected at C = 207 F m⁻². That consistency is not accuracy. Because the surface is near saturation with lithium the inversion of Eq. 13 is insensitive, and propagating the ±3 % analytical error gives an interval from −5.9 to +0.8, nearly seven orders of magnitude, so no central value is reported. At ±1 % analytical precision the propagated half-width would fall to about 1.7 log units, but the site limitation remains; an isotherm at lower lithium concentration is what would constrain the constant.</w:t>
      </w:r>
    </w:p>
    <w:p>
      <w:r>
        <w:t xml:space="preserve">Cobalt has two usable points, and both are day 2 and day 4 of the pH 6 batch. Every day-6 point is excluded: the pH 6 point for sphaerocobaltite supersaturation, the three pH 2 points for being within analytical noise. The value therefore describes a system that had not finished reacting, and the direction of that bias is known. Removal is still rising at the last sampling (Figure 1), so the measured coverage is a lower bound on the equilibrium coverage; and log K rises monotonically with coverage, as scaling the day-4 uptake from 0.5 to 3 times confirms (log K −2.43, −2.23, −2.07, −1.84, −1.65, −1.34). A lower bound on coverage is therefore a lower bound on the constant, and cobalt is reported as </w:t>
      </w:r>
      <w:r>
        <w:rPr>
          <w:b/>
        </w:rPr>
        <w:t>log K ≥ −2.20</w:t>
      </w:r>
      <w:r>
        <w:t xml:space="preserve"> rather than as a central value with symmetric error bars. The ±1.16 is the random component propagated from ±3 % analytical precision and says nothing about the systematic offset from incomplete reaction.</w:t>
      </w:r>
    </w:p>
    <w:p>
      <w:r>
        <w:t>This matters for consistency with §3.5. A two-sided interval of −3.36 to −1.00 would exclude the analogy value of −0.79 and so contradict the conclusion, reached independently from the time trend, that the system is still approaching equilibrium and the analogy constant may be right. Read as a lower bound the two sections agree: the data place the constant at or above −2.20, the analogy predicts −0.79, which lies above that bound and is not excluded, and the extended run tests whether the gap closes.</w:t>
      </w:r>
    </w:p>
    <w:p>
      <w:r>
        <w:t>The flat-line diagnostic cannot be applied to cobalt at all: the two usable points lie at pH 7.40 and 7.48, and a slope over a baseline of 0.08 pH units carries no information.</w:t>
      </w:r>
    </w:p>
    <w:p>
      <w:r>
        <w:t>Two conventions in Table 6 follow Belova et al. (2014) and are worth stating. First, the non-electrostatic value is given alongside the electrostatic one because they argue that the non-electrostatic constant is a thermodynamic quantity while the constant-capacitance value is conditional on the electrostatic model; here the two differ by 0.04 log units, so nothing turns on the choice, but the thermodynamic value is the one to carry forward. Second, the quantity the literature actually compares is not the formation constant but the exchange constant,</w:t>
      </w:r>
    </w:p>
    <w:p>
      <w:pPr>
        <w:jc w:val="center"/>
      </w:pPr>
      <w:r>
        <w:t>log K_ex = log K(&gt;CO₃Me) − log K(&gt;CO₃Ca)  (16)</w:t>
      </w:r>
    </w:p>
    <w:p>
      <w:r>
        <w:t xml:space="preserve">which cancels the site-density convention and therefore transfers between studies that assumed different densities, as the formation constant does not. With log K(&gt;CO₃Ca⁺) = −1.8 on dolomite, the cobalt bound gives </w:t>
      </w:r>
      <w:r>
        <w:rPr>
          <w:b/>
        </w:rPr>
        <w:t>log K_ex ≥ −0.44</w:t>
      </w:r>
      <w:r>
        <w:t xml:space="preserve"> on the non-electrostatic value and ≥ −0.40 on the constant-capacitance one. The nearest published comparisons are on calcite, since no measured exchange constant exists for a divalent trace metal on dolomite: Belova et al. (2014) report log K_ex = +0.58 for nickel and Zachara et al. (1991) +0.51 for the same system. These are analogues for a missing dolomite value, not statements about the solid used here. The cobalt bound sits about one log unit below both, which is what the incomplete-equilibration reading predicts and is a more informative comparison than the aqueous analogy alone, since it is a like-for-like comparison of measured exchange constants rather than of a measured value against an estimated one.</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 the borrowed constant, the usable points giving an apparent value 1.4 log units weaker than the analogy; (b) a reactive area of 13 to 29 % of the BET area, which is a three- to eight-fold reduction, in the same direction as the adjustment Belova et al. (2014) explored but far larger than their 1.4-fold case; (c) incomplete equilibration, since removal is still rising at day 6; and (d) competition from sodium, which the present tableau does not contain. The last is the only candidate with published support on this mineral in this electrolyte. Brady et al. (1999) measured metal sorption on dolomite in NaCl solutions and found calcium and magnesium uptake diminished at 0.5 M NaCl, which they attributed to Na⁺ associating with the dolomite surface and to calcium and magnesium sorbing as hydrated, outer-sphere species. The brine here is 0.684 M, above their case, and the model carries no &gt;CO₃Na⁰ species, so any sodium occupancy of the carbonate site is absent from the site balance and the model over-predicts by that amount. It also challenges the inner-sphere assumption the model inherits from Goldberg (1985).</w:t>
      </w:r>
    </w:p>
    <w:p>
      <w:r>
        <w:t>These three are not equally plausible, and the time trend separates them (Figure 7c). Candidates (a) and (b) are time-invariant scalings: a constant that is too strong, or a reactive area below BET, depresses the measured coverage by the same factor at every sampling and would hold the ratio flat. Candidate (c) does not: if the system is still approaching equilibrium, the measured coverage climbs while the prediction stays put, and the ratio closes. In the pH 6 batch the predicted sorption is flat to 11 % of its mean (0.329, 0.326, 0.363 mmol L⁻¹) while the measured removal grows 2.3-fold (0.044, 0.070, 0.104 mmol L⁻¹), so the ratio falls monotonically: 7.44, 4.69, 3.50. That is the signature of (c). Two deliberately crude extrapolations, since three points cannot define a kinetic law, place the meeting point at day 22 by linear growth of the measured coverage and day 12 by log-linear decay of the ratio: weeks rather than days. The measured curve is still slightly accelerating rather than levelling off, which no simple approach-to-equilibrium law does, so both figures are indicative only.</w:t>
      </w:r>
    </w:p>
    <w:p>
      <w:r>
        <w:t>The time axis is confounded with pH, which runs 7.40, 7.48, 8.09 across the same three samplings, so the rise could in principle be the affinity increasing as the solution buffers upward rather than an approach to equilibrium. The model closes that gap rather than merely flagging it. The predicted sorption is computed at each point's own measured pH assuming equilibrium, so the prediction is the pH effect with time removed: it rises 10 % from day 2 to day 6, against the 135 % rise measured. pH therefore accounts for at most 8 % of the observed increase, and unless the model's pH sensitivity is wrong by an order of magnitude it cannot produce the rise. Candidate (c) survives the confound. The pH 2 batch ratio runs the other way (9.4, 23, 148) because its measured removal collapses into analytical noise; those points are excluded on that basis and carry no trend.</w:t>
      </w:r>
    </w:p>
    <w:p>
      <w:r>
        <w:t xml:space="preserve">This converts the list into a testable prediction. Extending one cobalt batch to a month would settle it, with three design points that follow from the analysis above. First, the pH must be held fixed, by buffer or periodic adjustment, because a run that lets it drift reproduces the same time-versus-pH ambiguity at longer timescale and forfeits the clean time axis. Second, it must be held </w:t>
      </w:r>
      <w:r>
        <w:rPr>
          <w:b/>
        </w:rPr>
        <w:t>low</w:t>
      </w:r>
      <w:r>
        <w:t>. Fixing the pH at the day-6 value of 8.09 would keep the bottle above sphaerocobaltite saturation for the entire month (SI = +0.93 at the day-6 residual cobalt, +0.97 at the full dose), and the ratio would then converge for either of two reasons, sorption reaching equilibrium or precipitate accumulating, which a solution-phase measurement cannot separate because the ratio is computed from solution concentrations alone. At the full 80.5 mg L⁻¹ dose the saturation index reaches zero at pH 7.60. Cobalt leaving solution lowers the index as the run proceeds, but it is not the only term that moves: dolomite continues to dissolve for a month and the carbonate it releases pushes the index back up, which the present calculation cannot see because it fixes carbonate from atmospheric pCO₂ (Eq. 5). Over six days that accumulation was modest; over thirty days it may outrun the cobalt depletion, and periodic pH titration on a mineral that buffers upward adds drift between adjustments. A target of pH 7.18, with a working window of 7.15 to 7.20, is therefore preferred to 7.35. It gives SI = −0.84 at the dose and −0.87 at day-6 depletion, so dissolved inorganic carbon would have to rise 6.9-fold before saturation is reached, against 3.2-fold at pH 7.35. The margin costs almost nothing in signal: the forward model predicts 23.5 % sorption at pH 7.35 and 23.4 % at pH 7.18, because the cobalt adsorption edge on this surface lies above pH 7.6 (Figure 2a) and below it the predicted coverage is nearly independent of pH, calcium and magnesium competition weakening with falling pH in step with the carbonate site's own deprotonation. The saturation index should also be recomputed at every sampling from measured alkalinity or dissolved inorganic carbon rather than from assumed atmospheric equilibrium, so that any approach to saturation is observed rather than assumed and appears in the same data set that carries the kinetics. The signal survives the lower target: the day-2 point sat at pH 7.40 with SI = −0.41 and gave 3.2 % removal, well above the ±3 % analytical precision. Lowering the cobalt dose would also drop the index, but a tenfold reduction pushes removal into the same analytical noise that already cost the pH 2 batch three points, so the pH route is preferred. Third, sampling at days 7, 10, 14, 21 and 28, rather than strictly weekly, brackets the day-12 extrapolation instead of stepping over it, with alkalinity taken alongside each aliquot. If the ratio converges on unity, the analogy constant of −0.79 was right and the six-day experiment stopped too early, which both validates the borrowed constant and dates the kinetics; if it plateaus near three, equilibrium has been reached and the residual gap belongs to the constant or the reactive area, which the isotherm and pH-edge design then separates.</w:t>
      </w:r>
    </w:p>
    <w:p>
      <w:r>
        <w:t>Two further design points follow from published practice, and the second is what makes the run interpretable. Belova et al. (2014) equilibrated the mineral with the solution for about a week, filtered at 0.2 µm and used the filtrate without storage, so that only the metal was added to an already-equilibrated suspension. In the batches analysed here the dolomite and the metal went in together and dissolution ran alongside uptake, which is the common origin of the pH drift, the calcium and magnesium pattern that does not look congruent, and the carbonate accumulation the pH target above is designed to work around. Pre-equilibration removes the cause rather than managing the symptom and should be adopted.</w:t>
      </w:r>
    </w:p>
    <w:p>
      <w:r>
        <w:t>The second point addresses an ambiguity in the time-trend argument itself. A ratio that closes is the signature of continued uptake after the fast step, but two mechanisms produce that: a slow approach to sorption equilibrium, or recrystallization of the carbonate surface that incorporates the trace cation into newly formed lattice. Belova et al. (2014) observed exactly this two-stage shape on calcite, attributed the slow stage to incorporation, and capped their experiments at 24 hours deliberately in order to stay inside the adsorption regime. Both mechanisms are time-dependent, so the flat-versus-closing test cannot separate them, and neither can XRD, because incorporation into an existing lattice produces no new phase. If incorporation is what is happening, a month-long run converges on the prediction for the wrong reason and the number extracted is not a sorption constant.</w:t>
      </w:r>
    </w:p>
    <w:p>
      <w:r>
        <w:t>A desorption step separates them. The solid is filtered at day 28, resuspended in fresh metal-free brine at the same pH, and the cobalt returning to solution is measured. Substantial reversibility means the cobalt was held as a surface complex and the converging ratio means what it appears to mean; poor reversibility means incorporation, and the constant is then not extractable from a long run at all, which would make the 24-hour cap of Belova et al. (2014) the correct design instead. Cobalt is the favourable case for this test: Zachara et al. (1991) found the strongly hydrated divalent cations, zinc, cobalt and nickel, to be the most desorbable on calcite, and read this as evidence that they remain hydrated in a surface complex until recrystallization takes them in. The step costs one filtration and one further ICP analysis, and it converts an ambiguous convergence into a decisive one, which no amount of additional sampling can do.</w:t>
      </w:r>
    </w:p>
    <w:p>
      <w:r>
        <w:t>Either outcome is informative, and the whole design costs one bottle, five samplings and one desorption step. XRD on the final solid remains worthwhile as a confirmation that nothing precipitated, but with the run held below saturation it is no longer what carries the interpretation, and it is not the check on incorporation.</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constants are, however, untouched by it: swapping Ca and Mg in the cobalt pH 6 day-6 point leaves the point-by-point value unchanged at −1.89 to two decimal places. The reason is worth stating because it is reassuring rather than suspicious. The two competitor constants differ by only 0.2 log units, so exchanging the two cations conserves the total competitor occupancy of the carbonate site and the site balance barely registers the change. The ICP anomaly therefore needs checking against the raw run for the dissolution story, since congruent dissolution of dolomite should give a molar Ca/Mg ratio near unity, but it does not threaten Table 6.</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0.20 log units across five samples is a statement about the samples, not about the constant, and the propagated interval from −5.9 to +0.8 is the honest width. A central value is therefore not reported: a number carrying an interval that wide would be quoted without it the moment it appeared in a table.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Because the constant is bounded from below rather than measured, the analogy value is not excluded by the data; the gap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Two explanations that would normally be offered are ruled out by the data themselves. Calcium and magnesium competition does not resolve it, because the two competitor constants are nearly equal and the swap test of §3.6 moves the constant by less than 0.01. Nor does precipitation, because the model predicts more sorption than the removal actually measured, so there is no excess removal to attribute to a second mechanism. The reactive-area explanation is quantitatively demanding: 13 to 29 % of BET is a three- to eight-fold reduction, where the case Belova et al. (2014) explored was a 1.4-fold reduction. Same direction, very different magnitude, and that gap is itself informative. Of the three, the time trend already favours incomplete equilibration: across the six days the prediction is flat while the measurement climbs, closing the ratio from 7.4 to 3.5, where a wrong constant or a reduced area would have held it flat (§3.5, Figure 7c). An isotherm at fixed pH separates (a) from (b); a month-long batch held below saturation tests (c) directly and is the cheaper experiment.</w:t>
      </w:r>
    </w:p>
    <w:p>
      <w:r>
        <w:t>The two metals fail for different reasons, and the contrast is a clean result. Cobalt's site ceiling is 46.7 % of the added metal and the measured removal is 7.6 %, so cobalt sits comfortably inside the monolayer bound; its limits are analytical noise and incomplete equilibration, both addressed by longer runs and better precision. Lithium's ceiling is 3.2 % and the removal is 2.3 %, so the experiment was run above the surface's capacity; the fix there is a lower lithium concentration, not a longer run. Each metal points to a different experiment.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r>
        <w:t>Two limitations have direct precedent in that work and should be stated rather than passed over. No solid-free blanks were run here, so wall losses could not be subtracted; blanks at every condition are part of the standard procedure, and their absence matters most where measured removal is small, which is every point in this data set. More consequentially, the central finding of Belova et al. (2014) was that trace surface impurities, clay and polysaccharide at well under one percent by mass, raised the fitted nickel constant by roughly 0.7 log units relative to the pure mineral. The source study reports the composition of the dolomite used here twice, with different numbers: 98 % dolomite in the methods, against 94 % dolomite with 4 % quartz and 2 % ankerite by XRD. That discrepancy should be reconciled before the constant is quoted, because on Belova's evidence a few percent of non-dolomite surface is enough to move the result by more than the gap being argued about in §3.5. The defensible framing is that any constant reported here belongs to the Arbuckle powder as used, not to dolomite as a mineral, and a measured value for the non-dolomite fraction would be needed to say otherwise.</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 xml:space="preserve">Lithium behaves as a sorbing ion with a pH-independent constant, but </w:t>
      </w:r>
      <w:r>
        <w:rPr>
          <w:b/>
        </w:rPr>
        <w:t>log K(&gt;CO₃Li⁰) is not determined</w:t>
      </w:r>
      <w:r>
        <w:t xml:space="preserve"> by these data. The surface holds at most 3.2 % of the lithium present and is 71 % full at the measured removal, so the inversion is insensitive and the propagated interval runs from −5.9 to +0.8. The reported 8.5 % lithium recovery on fine dolomite is 2.4 times the sorption ceiling, so the earlier attribution of lithium recovery to sorption needs to be revisited for those runs.</w:t>
      </w:r>
    </w:p>
    <w:p>
      <w:pPr>
        <w:pStyle w:val="ListNumber"/>
      </w:pPr>
      <w:r>
        <w:t xml:space="preserve">Cobalt has two usable points, both of them pre-equilibrium (day 2 and day 4 of the pH 6 batch); every day-6 point is excluded, one for supersaturation and three for analytical noise. Since uptake is still rising and log K increases monotonically with coverage, the constant is reported as a one-sided bound, </w:t>
      </w:r>
      <w:r>
        <w:rPr>
          <w:b/>
        </w:rPr>
        <w:t>log K(&gt;CO₃Co⁺) ≥ −2.20</w:t>
      </w:r>
      <w:r>
        <w:t>, with ±1.16 as the random component only. The analogy value of −0.79 lies above the bound and is therefore not excluded. The two points span only 0.08 pH units, too narrow for the flat-line diagnostic.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 xml:space="preserve">The cobalt discrepancy is diagnosed rather than merely listed. The predicted sorption is flat across the six days while the measured removal grows 2.3-fold, so the ratio closes from 7.4 to 3.5, which is the signature of incomplete equilibration and not of a wrong constant or a reduced reactive area, both of which are time-invariant. The pH rise over the same interval cannot account for it: the model's own prediction, which contains the pH dependence, moves only 10 % against the measured 135 %. Extending one batch to a month </w:t>
      </w:r>
      <w:r>
        <w:rPr>
          <w:b/>
        </w:rPr>
        <w:t>at fixed pH near 7.18</w:t>
      </w:r>
      <w:r>
        <w:t>, which keeps the whole run undersaturated with sphaerocobaltite by a margin of nearly one log unit, sampling at days 7, 10, 14, 21 and 28, and recomputing the saturation index from measured alkalinity rather than from assumed atmospheric equilibrium, is the test. It becomes decisive only with a desorption step at the end, because a closing ratio is equally the signature of surface recrystallization incorporating the cobalt into new lattice, the slow stage that led Belova et al. (2014) to cap their own runs at 24 hours, and no amount of extra sampling or XRD can tell the two apart. Pre-equilibrating the solid with the brine before the metal is added, as they did, removes the drift that made the six-day data ambiguous in the first place.</w:t>
      </w:r>
    </w:p>
    <w:p>
      <w:pPr>
        <w:pStyle w:val="ListNumber"/>
      </w:pPr>
      <w:r>
        <w:t>Neither constant is pinned down, and the two failures are distinct: cobalt is limited by analytical noise and incomplete equilibration inside the monolayer bound, lithium by an experiment run above the surface's capacity. Each points to a different fix in the next experiment.</w:t>
      </w:r>
    </w:p>
    <w:p>
      <w:pPr>
        <w:pStyle w:val="ListNumber"/>
      </w:pPr>
      <w:r>
        <w:t>The published surface concentration of 0.046 to 0.049 m² L⁻¹ should be corrected to ≈ 50 m² L⁻¹ (m² mL⁻¹ in the original), and the two reported compositions of the solid, 98 % dolomite in the methods against 94 % dolomite with 4 % quartz and 2 % ankerite by XRD, should be reconciled. The latter is not bookkeeping: Belova et al. (2014) found that impurities well under one percent by mass shifted the fitted constant by about 0.7 log units, so a few percent of non-dolomite surface is enough to move the result by more than the discrepancy under discussion in §3.5. Until it is settled, any constant reported here belongs to the Arbuckle powder as used rather than to dolomite as a mineral.</w:t>
      </w:r>
    </w:p>
    <w:p>
      <w:r>
        <w:t>7a. The quantity that transfers between studies is the exchange constant, log K_ex = log K(&gt;CO₃Me) − log K(&gt;CO₃Ca), which cancels the site-density convention. The cobalt bound corresponds to log K_ex ≥ −0.44, about one log unit below the +0.58 of Belova et al. (2014) and the +0.51 of Zachara et al. (1991) for nickel on calcite, which is the direction incomplete equilibration predicts.</w:t>
      </w:r>
    </w:p>
    <w:p>
      <w:pPr>
        <w:pStyle w:val="ListNumber"/>
      </w:pPr>
      <w:r>
        <w:t>The hand-coded speciation was verified against PHREEQC version 3 at three equilibrium points, with the formation constants for the metals and for the calcium, magnesium and sodium complexes all supplied so that only the activity model and the solver differ; the two agree to 0.06 log units in free-metal activity, 0.07 in free calcium activity and 0.07 in saturation index. With the activity-model floor at this ionic strength at 0.10 log units and the EDL parameter α shifting the constants by less than 0.01, neither the code nor the model parameters limit the result: the data do.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Figures</w:t>
      </w:r>
    </w:p>
    <w:p>
      <w:pPr>
        <w:jc w:val="center"/>
      </w:pPr>
      <w:r>
        <w:drawing>
          <wp:inline xmlns:a="http://schemas.openxmlformats.org/drawingml/2006/main" xmlns:pic="http://schemas.openxmlformats.org/drawingml/2006/picture">
            <wp:extent cx="5669280" cy="2324694"/>
            <wp:docPr id="1" name="Picture 1"/>
            <wp:cNvGraphicFramePr>
              <a:graphicFrameLocks noChangeAspect="1"/>
            </wp:cNvGraphicFramePr>
            <a:graphic>
              <a:graphicData uri="http://schemas.openxmlformats.org/drawingml/2006/picture">
                <pic:pic>
                  <pic:nvPicPr>
                    <pic:cNvPr id="0" name="Fig1_kinetics.png"/>
                    <pic:cNvPicPr/>
                  </pic:nvPicPr>
                  <pic:blipFill>
                    <a:blip r:embed="rId9"/>
                    <a:stretch>
                      <a:fillRect/>
                    </a:stretch>
                  </pic:blipFill>
                  <pic:spPr>
                    <a:xfrm>
                      <a:off x="0" y="0"/>
                      <a:ext cx="5669280" cy="2324694"/>
                    </a:xfrm>
                    <a:prstGeom prst="rect"/>
                  </pic:spPr>
                </pic:pic>
              </a:graphicData>
            </a:graphic>
          </wp:inline>
        </w:drawing>
      </w:r>
    </w:p>
    <w:p>
      <w:r>
        <w:rPr>
          <w:b/>
        </w:rPr>
        <w:t>Figure 1.</w:t>
      </w:r>
      <w:r>
        <w:t xml:space="preserve"> Kinetics of Li⁺ and Co²⁺ uptake by dolomite (60 g L⁻¹, 40 g L⁻¹ NaCl, 25 °C). (a) Removal as a percentage of the initial concentration; (b) surface coverage Γ from Eq. 12, with the carbonate-site density of 14 µmol m⁻² shown. Filled symbols, batches with initial pH 6; open symbols, initial pH 2. Cobalt removal in the pH 6 batch is still rising at day 6; lithium reaches 64 to 72 % of the site density by day 2.</w:t>
      </w:r>
    </w:p>
    <w:p>
      <w:pPr>
        <w:jc w:val="center"/>
      </w:pPr>
      <w:r>
        <w:drawing>
          <wp:inline xmlns:a="http://schemas.openxmlformats.org/drawingml/2006/main" xmlns:pic="http://schemas.openxmlformats.org/drawingml/2006/picture">
            <wp:extent cx="5669280" cy="2386631"/>
            <wp:docPr id="2" name="Picture 2"/>
            <wp:cNvGraphicFramePr>
              <a:graphicFrameLocks noChangeAspect="1"/>
            </wp:cNvGraphicFramePr>
            <a:graphic>
              <a:graphicData uri="http://schemas.openxmlformats.org/drawingml/2006/picture">
                <pic:pic>
                  <pic:nvPicPr>
                    <pic:cNvPr id="0" name="Fig2_adsorption_edges.png"/>
                    <pic:cNvPicPr/>
                  </pic:nvPicPr>
                  <pic:blipFill>
                    <a:blip r:embed="rId10"/>
                    <a:stretch>
                      <a:fillRect/>
                    </a:stretch>
                  </pic:blipFill>
                  <pic:spPr>
                    <a:xfrm>
                      <a:off x="0" y="0"/>
                      <a:ext cx="5669280" cy="2386631"/>
                    </a:xfrm>
                    <a:prstGeom prst="rect"/>
                  </pic:spPr>
                </pic:pic>
              </a:graphicData>
            </a:graphic>
          </wp:inline>
        </w:drawing>
      </w:r>
    </w:p>
    <w:p>
      <w:r>
        <w:rPr>
          <w:b/>
        </w:rPr>
        <w:t>Figure 2.</w:t>
      </w:r>
      <w:r>
        <w:t xml:space="preserve"> Adsorption edges. (a) Cobalt and (b) lithium removal against pH. Filled symbols are the day-6 points, open symbols the day-2 and day-4 samples plotted at their measured pH. Model curves are the forward prediction with the apparent constant of Table 6 and each batch's day-6 Ca and Mg (solid, pH 6 batch chemistry; dashed, pH 2 batch chemistry). The dotted line in (b) is the site ceiling: the removal if every carbonate site held lithium.</w:t>
      </w:r>
    </w:p>
    <w:p>
      <w:pPr>
        <w:jc w:val="center"/>
      </w:pPr>
      <w:r>
        <w:drawing>
          <wp:inline xmlns:a="http://schemas.openxmlformats.org/drawingml/2006/main" xmlns:pic="http://schemas.openxmlformats.org/drawingml/2006/picture">
            <wp:extent cx="5669280" cy="2386631"/>
            <wp:docPr id="3" name="Picture 3"/>
            <wp:cNvGraphicFramePr>
              <a:graphicFrameLocks noChangeAspect="1"/>
            </wp:cNvGraphicFramePr>
            <a:graphic>
              <a:graphicData uri="http://schemas.openxmlformats.org/drawingml/2006/picture">
                <pic:pic>
                  <pic:nvPicPr>
                    <pic:cNvPr id="0" name="Fig3_4_isotherms.png"/>
                    <pic:cNvPicPr/>
                  </pic:nvPicPr>
                  <pic:blipFill>
                    <a:blip r:embed="rId11"/>
                    <a:stretch>
                      <a:fillRect/>
                    </a:stretch>
                  </pic:blipFill>
                  <pic:spPr>
                    <a:xfrm>
                      <a:off x="0" y="0"/>
                      <a:ext cx="5669280" cy="2386631"/>
                    </a:xfrm>
                    <a:prstGeom prst="rect"/>
                  </pic:spPr>
                </pic:pic>
              </a:graphicData>
            </a:graphic>
          </wp:inline>
        </w:drawing>
      </w:r>
    </w:p>
    <w:p>
      <w:r>
        <w:rPr>
          <w:b/>
        </w:rPr>
        <w:t>Figures 3 and 4.</w:t>
      </w:r>
      <w:r>
        <w:t xml:space="preserve"> Isotherms, log Γ against log C_eq, for (a) cobalt and (b) lithium. Lines are the forward model at the day-6 pH of each batch with the initial concentration varied; symbols are the single measured point of each batch. The unit-slope region is low-coverage adsorption; the flattening toward the dotted line is site saturation. Lithium sits on the saturation shoulder.</w:t>
      </w:r>
    </w:p>
    <w:p>
      <w:pPr>
        <w:jc w:val="center"/>
      </w:pPr>
      <w:r>
        <w:drawing>
          <wp:inline xmlns:a="http://schemas.openxmlformats.org/drawingml/2006/main" xmlns:pic="http://schemas.openxmlformats.org/drawingml/2006/picture">
            <wp:extent cx="5669280" cy="3527684"/>
            <wp:docPr id="4" name="Picture 4"/>
            <wp:cNvGraphicFramePr>
              <a:graphicFrameLocks noChangeAspect="1"/>
            </wp:cNvGraphicFramePr>
            <a:graphic>
              <a:graphicData uri="http://schemas.openxmlformats.org/drawingml/2006/picture">
                <pic:pic>
                  <pic:nvPicPr>
                    <pic:cNvPr id="0" name="Fig5_Kd_vs_pH.png"/>
                    <pic:cNvPicPr/>
                  </pic:nvPicPr>
                  <pic:blipFill>
                    <a:blip r:embed="rId12"/>
                    <a:stretch>
                      <a:fillRect/>
                    </a:stretch>
                  </pic:blipFill>
                  <pic:spPr>
                    <a:xfrm>
                      <a:off x="0" y="0"/>
                      <a:ext cx="5669280" cy="3527684"/>
                    </a:xfrm>
                    <a:prstGeom prst="rect"/>
                  </pic:spPr>
                </pic:pic>
              </a:graphicData>
            </a:graphic>
          </wp:inline>
        </w:drawing>
      </w:r>
    </w:p>
    <w:p>
      <w:r>
        <w:rPr>
          <w:b/>
        </w:rPr>
        <w:t>Figure 5.</w:t>
      </w:r>
      <w:r>
        <w:t xml:space="preserve"> Distribution coefficient, log K_d against pH, with the model curves at the pH 6 batch chemistry. The cobalt pH 2 batch points are within analytical noise and are marked as excluded.</w:t>
      </w:r>
    </w:p>
    <w:p>
      <w:pPr>
        <w:jc w:val="center"/>
      </w:pPr>
      <w:r>
        <w:drawing>
          <wp:inline xmlns:a="http://schemas.openxmlformats.org/drawingml/2006/main" xmlns:pic="http://schemas.openxmlformats.org/drawingml/2006/picture">
            <wp:extent cx="5669280" cy="2440309"/>
            <wp:docPr id="5" name="Picture 5"/>
            <wp:cNvGraphicFramePr>
              <a:graphicFrameLocks noChangeAspect="1"/>
            </wp:cNvGraphicFramePr>
            <a:graphic>
              <a:graphicData uri="http://schemas.openxmlformats.org/drawingml/2006/picture">
                <pic:pic>
                  <pic:nvPicPr>
                    <pic:cNvPr id="0" name="Fig6_logK_diagnostic.png"/>
                    <pic:cNvPicPr/>
                  </pic:nvPicPr>
                  <pic:blipFill>
                    <a:blip r:embed="rId13"/>
                    <a:stretch>
                      <a:fillRect/>
                    </a:stretch>
                  </pic:blipFill>
                  <pic:spPr>
                    <a:xfrm>
                      <a:off x="0" y="0"/>
                      <a:ext cx="5669280" cy="2440309"/>
                    </a:xfrm>
                    <a:prstGeom prst="rect"/>
                  </pic:spPr>
                </pic:pic>
              </a:graphicData>
            </a:graphic>
          </wp:inline>
        </w:drawing>
      </w:r>
    </w:p>
    <w:p>
      <w:r>
        <w:rPr>
          <w:b/>
        </w:rPr>
        <w:t>Figure 6.</w:t>
      </w:r>
      <w:r>
        <w:t xml:space="preserve"> The flat-line diagnostic: point-by-point log K on the carbonate site against (a) measured pH and (b) surface coverage. Filled symbols are the usable points with the interval obtained by recomputing log K at Γ ∓ σ_Γ (±3 % ICP precision); crosses are the points excluded for being within noise or above sphaerocobaltite saturation. Dashed lines are the weighted fits of Table 6; the dotted line is Pokrovsky et al.'s &gt;CO₃Ca⁺ constant. Lithium is flat in pH (slope +0.02 per pH unit) but its interval is wide because the surface is near saturation. Cobalt's two usable points lie 0.08 pH units apart, so no slope is computed for it.</w:t>
      </w:r>
    </w:p>
    <w:p>
      <w:pPr>
        <w:jc w:val="center"/>
      </w:pPr>
      <w:r>
        <w:drawing>
          <wp:inline xmlns:a="http://schemas.openxmlformats.org/drawingml/2006/main" xmlns:pic="http://schemas.openxmlformats.org/drawingml/2006/picture">
            <wp:extent cx="5669280" cy="1593512"/>
            <wp:docPr id="6" name="Picture 6"/>
            <wp:cNvGraphicFramePr>
              <a:graphicFrameLocks noChangeAspect="1"/>
            </wp:cNvGraphicFramePr>
            <a:graphic>
              <a:graphicData uri="http://schemas.openxmlformats.org/drawingml/2006/picture">
                <pic:pic>
                  <pic:nvPicPr>
                    <pic:cNvPr id="0" name="Fig8_Co_sorption_vs_removal_SI.png"/>
                    <pic:cNvPicPr/>
                  </pic:nvPicPr>
                  <pic:blipFill>
                    <a:blip r:embed="rId14"/>
                    <a:stretch>
                      <a:fillRect/>
                    </a:stretch>
                  </pic:blipFill>
                  <pic:spPr>
                    <a:xfrm>
                      <a:off x="0" y="0"/>
                      <a:ext cx="5669280" cy="1593512"/>
                    </a:xfrm>
                    <a:prstGeom prst="rect"/>
                  </pic:spPr>
                </pic:pic>
              </a:graphicData>
            </a:graphic>
          </wp:inline>
        </w:drawing>
      </w:r>
    </w:p>
    <w:p>
      <w:r>
        <w:rPr>
          <w:b/>
        </w:rPr>
        <w:t>Figure 7.</w:t>
      </w:r>
      <w:r>
        <w:t xml:space="preserve"> Cobalt: (a) measured removal (solid) against the sorption predicted with the analogy constant log K = −0.79 (open symbols, dashed), for the two batches; (b) saturation index of sphaerocobaltite at the same points, with the supersaturated region shaded; (c) the ratio of predicted sorption to measured removal in the pH 6 batch, on a log scale, with the two extrapolations to unity. The prediction lies above the measurement at every point (Table 7), but the ratio closes monotonically as the measurement climbs toward a prediction that is essentially flat, which is the signature of incomplete equilibration rather than of a wrong constant or a reduced reactive area. The pH rise over the same interval does not account for it: the model prediction, which contains the pH dependence, moves 10 % against the measured 135 %.</w:t>
      </w:r>
    </w:p>
    <w:p>
      <w:pPr>
        <w:jc w:val="center"/>
      </w:pPr>
      <w:r>
        <w:drawing>
          <wp:inline xmlns:a="http://schemas.openxmlformats.org/drawingml/2006/main" xmlns:pic="http://schemas.openxmlformats.org/drawingml/2006/picture">
            <wp:extent cx="5669280" cy="3318739"/>
            <wp:docPr id="7" name="Picture 7"/>
            <wp:cNvGraphicFramePr>
              <a:graphicFrameLocks noChangeAspect="1"/>
            </wp:cNvGraphicFramePr>
            <a:graphic>
              <a:graphicData uri="http://schemas.openxmlformats.org/drawingml/2006/picture">
                <pic:pic>
                  <pic:nvPicPr>
                    <pic:cNvPr id="0" name="FigS1_surface_speciation.png"/>
                    <pic:cNvPicPr/>
                  </pic:nvPicPr>
                  <pic:blipFill>
                    <a:blip r:embed="rId15"/>
                    <a:stretch>
                      <a:fillRect/>
                    </a:stretch>
                  </pic:blipFill>
                  <pic:spPr>
                    <a:xfrm>
                      <a:off x="0" y="0"/>
                      <a:ext cx="5669280" cy="3318739"/>
                    </a:xfrm>
                    <a:prstGeom prst="rect"/>
                  </pic:spPr>
                </pic:pic>
              </a:graphicData>
            </a:graphic>
          </wp:inline>
        </w:drawing>
      </w:r>
    </w:p>
    <w:p>
      <w:r>
        <w:rPr>
          <w:b/>
        </w:rPr>
        <w:t>Figure S1.</w:t>
      </w:r>
      <w:r>
        <w:t xml:space="preserve"> Fractional occupancy of the carbonate site against pH at the cobalt pH 6 batch chemistry, showing the &gt;CO₃H⁰ to &gt;CO₃⁻ transition, the &gt;CO₃Mg⁺ competition and the &gt;CO₃Co⁺ complex.</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Brady, P. V., Papenguth, H. W., &amp; Kelly, J. W. (1999). Metal sorption to dolomite surfaces. </w:t>
      </w:r>
      <w:r>
        <w:rPr>
          <w:i/>
        </w:rPr>
        <w:t>Applied Geochemistry, 14</w:t>
      </w:r>
      <w:r>
        <w:t>(5), 569–579. https://doi.org/10.1016/S0883-2927(98)00085-7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p>
      <w:r>
        <w:t xml:space="preserve">Zachara, J. M., Cowan, C. E., &amp; Resch, C. T. (1991). Sorption of divalent metals on calcite. </w:t>
      </w:r>
      <w:r>
        <w:rPr>
          <w:i/>
        </w:rPr>
        <w:t>Geochimica et Cosmochimica Acta, 55</w:t>
      </w:r>
      <w:r>
        <w:t>(6), 1549–1562. https://doi.org/10.1016/0016-7037(91)90126-Q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