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0.21),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−2.18</w:t>
      </w:r>
      <w:r>
        <w:t>, rather than as a central value; the ±1.18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Because the analogy value of −0.79 lies above the lower bound, it is not excluded by these data, and a single month-long batch held at fixed pH would settle whether the gap closes.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±1.18,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−2.18</w:t>
            </w:r>
            <w:r>
              <w:rPr>
                <w:sz w:val="18"/>
              </w:rPr>
              <w:t xml:space="preserve"> (lower bound)</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±1.18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138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−2.42, −2.21, −2.05, −1.80, −1.60, −1.28). A lower bound on coverage is therefore a lower bound on the constant, and cobalt is reported as </w:t>
      </w:r>
      <w:r>
        <w:rPr>
          <w:b/>
        </w:rPr>
        <w:t>log K ≥ −2.18</w:t>
      </w:r>
      <w:r>
        <w:t xml:space="preserve"> rather than as a central value with symmetric error bars. The ±1.18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−2.18,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This converts the list into a testable prediction. Extending one pH 6 cobalt batch to a month would settle it, with two design points that follow from the analysis above. The pH must be held fixed, by buffer or periodic adjustment, because a run that lets it drift reproduces the same time-versus-pH ambiguity at longer timescale and forfeits the clean time axis. And sampling at days 7, 10, 14, 21 and 28, rather than strictly weekly, brackets the day-12 extrapolation instead of stepping over it.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 Either outcome is informative, and it costs one bottle and five samplings. The saturation index of sphaerocobaltite crosses zero between day 4 and day 6, so the extended run enters the regime where precipitation begins to contribute and should track the solid by XRD as well.</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0.21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−2.18</w:t>
      </w:r>
      <w:r>
        <w:t>, with ±1.18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pH 6 batch to a month </w:t>
      </w:r>
      <w:r>
        <w:rPr>
          <w:b/>
        </w:rPr>
        <w:t>at fixed pH</w:t>
      </w:r>
      <w:r>
        <w:t>, sampling at days 7, 10, 14, 21 and 28, is the decisive test.</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so the activity model is not what limits the result: the data are.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