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 xml:space="preserve">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Neither constant proves determinable, and the two fail for different reasons, which is itself the result. For lithium the point-by-point constant is flat in pH (slope +0.02 per pH unit over five usable points spanning pH 4.3 to 8.3, internal spread 0.21), but lithium was dosed above the surface's capacity: the carbonate-site inventory can hold at most 3.2 % of the 20 mmol L⁻¹ present and the measured 2.3 % removal already fills 71 % of the surface, so the mass-action inversion is insensitive and the interval propagated from ±3 % analytical precision runs from −5.9 to +0.8. No central value is reported for lithium. Cobalt sits comfortably inside the monolayer bound (removal is 16 % of its site ceiling of 46.7 %), but its two usable points are both pre-equilibrium (day 2 and day 4 of the pH 6 batch); every day-6 point is excluded, one for sphaerocobaltite supersaturation (SI = +0.93) and three for being within analytical noise. Because uptake is still rising at the last sampling and log K increases monotonically with coverage, the measured coverage bounds the equilibrium coverage from below and the constant is therefore reported as a bound, </w:t>
      </w:r>
      <w:r>
        <w:rPr>
          <w:b/>
        </w:rPr>
        <w:t>log K(&gt;CO₃Co⁺) ≥ −2.18</w:t>
      </w:r>
      <w:r>
        <w:t>, rather than as a central value; the ±1.18 is the random component from analytical precision alone and carries no information about the systematic offset from incomplete reaction. The two usable points span only 0.08 pH units, too narrow for the flat-line diagnostic. The constant taken from the aqueous–surface analogy of Van Cappellen et al. (1993) and Pokrovsky and Schott (2002), log K(&gt;CO₃Co⁺) = −0.79, over-predicts the observed cobalt uptake by a factor of 3.5 to 7.4, so precipitation is not required to explain the removal measured in this low-uptake data set; the sorption prediction itself is too high. Ca/Mg competition and precipitation are both ruled out as causes by the data, leaving the borrowed constant, a reactive area of 13 to 29 % of BET (a three- to eight-fold reduction, against the 1.4-fold reduction Belova et al. explored), or incomplete equilibration. The time trend discriminates among these: the predicted sorption is flat to 11 % of its mean across the six days while the measured removal grows 2.3-fold, so the ratio closes monotonically from 7.4 to 3.5. A wrong constant or a reduced reactive area are time-invariant scalings and would hold the ratio flat; a closing ratio is the signature of a system still approaching equilibrium. The time axis is confounded with pH, which rises from 7.40 to 8.09 over the same interval, but the model closes that: its prediction is computed at each point's own measured pH assuming equilibrium, so the prediction is the pH effect with time removed, and it rises only 10 % against the 135 % rise measured. pH therefore accounts for at most 8 % of the observed increase. Crude extrapolation places the meeting point at two to three weeks, so the six-day experiment may simply have stopped too early. Because the analogy value of −0.79 lies above the lower bound, it is not excluded by these data, and a single month-long batch held at fixed pH would settle whether the gap closes; the pH must be held near 7.35 rather than at the drifted value of 8.09, because at 8.09 the run sits above sphaerocobaltite saturation throughout and a closing ratio could equally mean precipitation.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−8.48 for calcite (Plummer &amp; Busenberg, 1982), −17.09 for ordered dolomite (Parkhurst &amp; Appelo, 2013), −9.98 for sphaerocobaltite CoCO₃ (Smith &amp; Martell, 2004) and ≈ −2.5 for zabuyelite Li₂CO₃.</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calcite and magnesite columns are given for provenance.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0.006</w:t>
            </w:r>
          </w:p>
        </w:tc>
        <w:tc>
          <w:tcPr>
            <w:tcW w:type="dxa" w:w="1728"/>
          </w:tcPr>
          <w:p>
            <w:r>
              <w:rPr>
                <w:sz w:val="18"/>
              </w:rPr>
            </w:r>
          </w:p>
        </w:tc>
        <w:tc>
          <w:tcPr>
            <w:tcW w:type="dxa" w:w="1728"/>
          </w:tcPr>
          <w:p>
            <w:r>
              <w:rPr>
                <w:sz w:val="18"/>
              </w:rPr>
            </w:r>
          </w:p>
        </w:tc>
        <w:tc>
          <w:tcPr>
            <w:tcW w:type="dxa" w:w="1728"/>
          </w:tcPr>
          <w:p>
            <w:r>
              <w:rPr>
                <w:sz w:val="18"/>
              </w:rPr>
            </w:r>
            <w:r>
              <w:rPr>
                <w:sz w:val="18"/>
              </w:rPr>
              <w:t>138 F m⁻² at I = 0.684 M (Pokrovsky &amp; Schott, 2002; Belova et al., 2014)</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 A point was used in the fit only if it passed both tests and its relative coverage error was below 300 %; every exclusion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the notebook prints the complete Visual MINTEQ input for that point (components, totals, fixed pH and pCO₂, activity model) together with the values it produces, so that the hand-coded speciation can be compared line by line with an independent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carbonate-site density by a factor of 1.7 to 2.4 (2.9 to 4.1 relative to the calcite value of Belova et al., 2014)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Calcite approaches saturation in the lithium pH 6 batch at day 6 (SI = −0.08); dolomite remains undersaturated at all points (SI ≤ −1.6); Li₂CO₃ is far undersaturated (SI ≤ −6.4).</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−0.42</w:t>
            </w:r>
          </w:p>
        </w:tc>
        <w:tc>
          <w:tcPr>
            <w:tcW w:type="dxa" w:w="720"/>
          </w:tcPr>
          <w:p>
            <w:r>
              <w:rPr>
                <w:sz w:val="18"/>
              </w:rPr>
            </w:r>
            <w:r>
              <w:rPr>
                <w:sz w:val="18"/>
              </w:rPr>
              <w:t>−2.34</w:t>
            </w:r>
          </w:p>
        </w:tc>
        <w:tc>
          <w:tcPr>
            <w:tcW w:type="dxa" w:w="720"/>
          </w:tcPr>
          <w:p>
            <w:r>
              <w:rPr>
                <w:sz w:val="18"/>
              </w:rPr>
            </w:r>
            <w:r>
              <w:rPr>
                <w:sz w:val="18"/>
              </w:rPr>
              <w:t>−5.41 to −1.88</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−2.05</w:t>
            </w:r>
          </w:p>
        </w:tc>
        <w:tc>
          <w:tcPr>
            <w:tcW w:type="dxa" w:w="720"/>
          </w:tcPr>
          <w:p>
            <w:r>
              <w:rPr>
                <w:sz w:val="18"/>
              </w:rPr>
            </w:r>
            <w:r>
              <w:rPr>
                <w:sz w:val="18"/>
              </w:rPr>
              <w:t>−2.86 to −1.69</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−2.31 to −1.62</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−1.94</w:t>
            </w:r>
          </w:p>
        </w:tc>
        <w:tc>
          <w:tcPr>
            <w:tcW w:type="dxa" w:w="720"/>
          </w:tcPr>
          <w:p>
            <w:r>
              <w:rPr>
                <w:sz w:val="18"/>
              </w:rPr>
            </w:r>
            <w:r>
              <w:rPr>
                <w:sz w:val="18"/>
              </w:rPr>
              <w:t>−4.95 to −1.18</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−2.63</w:t>
            </w:r>
          </w:p>
        </w:tc>
        <w:tc>
          <w:tcPr>
            <w:tcW w:type="dxa" w:w="720"/>
          </w:tcPr>
          <w:p>
            <w:r>
              <w:rPr>
                <w:sz w:val="18"/>
              </w:rPr>
            </w:r>
            <w:r>
              <w:rPr>
                <w:sz w:val="18"/>
              </w:rPr>
              <w:t>−5.64 to −1.80</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−3.47</w:t>
            </w:r>
          </w:p>
        </w:tc>
        <w:tc>
          <w:tcPr>
            <w:tcW w:type="dxa" w:w="720"/>
          </w:tcPr>
          <w:p>
            <w:r>
              <w:rPr>
                <w:sz w:val="18"/>
              </w:rPr>
            </w:r>
            <w:r>
              <w:rPr>
                <w:sz w:val="18"/>
              </w:rPr>
              <w:t>−6.48 to −1.92</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w:t>
            </w:r>
          </w:p>
        </w:tc>
        <w:tc>
          <w:tcPr>
            <w:tcW w:type="dxa" w:w="720"/>
          </w:tcPr>
          <w:p>
            <w:r>
              <w:rPr>
                <w:sz w:val="18"/>
              </w:rPr>
            </w:r>
            <w:r>
              <w:rPr>
                <w:sz w:val="18"/>
              </w:rPr>
              <w:t>154</w:t>
            </w:r>
          </w:p>
        </w:tc>
        <w:tc>
          <w:tcPr>
            <w:tcW w:type="dxa" w:w="720"/>
          </w:tcPr>
          <w:p>
            <w:r>
              <w:rPr>
                <w:sz w:val="18"/>
              </w:rPr>
            </w:r>
            <w:r>
              <w:rPr>
                <w:sz w:val="18"/>
              </w:rPr>
              <w:t>−7.6</w:t>
            </w:r>
          </w:p>
        </w:tc>
        <w:tc>
          <w:tcPr>
            <w:tcW w:type="dxa" w:w="720"/>
          </w:tcPr>
          <w:p>
            <w:r>
              <w:rPr>
                <w:sz w:val="18"/>
              </w:rPr>
            </w:r>
            <w:r>
              <w:rPr>
                <w:sz w:val="18"/>
              </w:rPr>
              <w:t>−1.97</w:t>
            </w:r>
          </w:p>
        </w:tc>
        <w:tc>
          <w:tcPr>
            <w:tcW w:type="dxa" w:w="720"/>
          </w:tcPr>
          <w:p>
            <w:r>
              <w:rPr>
                <w:sz w:val="18"/>
              </w:rPr>
            </w:r>
            <w:r>
              <w:rPr>
                <w:sz w:val="18"/>
              </w:rPr>
              <w:t>−5.85 to +0.29</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w:t>
            </w:r>
          </w:p>
        </w:tc>
        <w:tc>
          <w:tcPr>
            <w:tcW w:type="dxa" w:w="720"/>
          </w:tcPr>
          <w:p>
            <w:r>
              <w:rPr>
                <w:sz w:val="18"/>
              </w:rPr>
            </w:r>
            <w:r>
              <w:rPr>
                <w:sz w:val="18"/>
              </w:rPr>
              <w:t>342</w:t>
            </w:r>
          </w:p>
        </w:tc>
        <w:tc>
          <w:tcPr>
            <w:tcW w:type="dxa" w:w="720"/>
          </w:tcPr>
          <w:p>
            <w:r>
              <w:rPr>
                <w:sz w:val="18"/>
              </w:rPr>
            </w:r>
            <w:r>
              <w:rPr>
                <w:sz w:val="18"/>
              </w:rPr>
              <w:t>−7.1</w:t>
            </w:r>
          </w:p>
        </w:tc>
        <w:tc>
          <w:tcPr>
            <w:tcW w:type="dxa" w:w="720"/>
          </w:tcPr>
          <w:p>
            <w:r>
              <w:rPr>
                <w:sz w:val="18"/>
              </w:rPr>
            </w:r>
            <w:r>
              <w:rPr>
                <w:sz w:val="18"/>
              </w:rPr>
              <w:t>−2.95</w:t>
            </w:r>
          </w:p>
        </w:tc>
        <w:tc>
          <w:tcPr>
            <w:tcW w:type="dxa" w:w="720"/>
          </w:tcPr>
          <w:p>
            <w:r>
              <w:rPr>
                <w:sz w:val="18"/>
              </w:rPr>
            </w:r>
            <w:r>
              <w:rPr>
                <w:sz w:val="18"/>
              </w:rPr>
              <w:t>−6.17 to +0.28</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w:t>
            </w:r>
          </w:p>
        </w:tc>
        <w:tc>
          <w:tcPr>
            <w:tcW w:type="dxa" w:w="720"/>
          </w:tcPr>
          <w:p>
            <w:r>
              <w:rPr>
                <w:sz w:val="18"/>
              </w:rPr>
            </w:r>
            <w:r>
              <w:rPr>
                <w:sz w:val="18"/>
              </w:rPr>
              <w:t>183</w:t>
            </w:r>
          </w:p>
        </w:tc>
        <w:tc>
          <w:tcPr>
            <w:tcW w:type="dxa" w:w="720"/>
          </w:tcPr>
          <w:p>
            <w:r>
              <w:rPr>
                <w:sz w:val="18"/>
              </w:rPr>
            </w:r>
            <w:r>
              <w:rPr>
                <w:sz w:val="18"/>
              </w:rPr>
              <w:t>−6.4</w:t>
            </w:r>
          </w:p>
        </w:tc>
        <w:tc>
          <w:tcPr>
            <w:tcW w:type="dxa" w:w="720"/>
          </w:tcPr>
          <w:p>
            <w:r>
              <w:rPr>
                <w:sz w:val="18"/>
              </w:rPr>
            </w:r>
            <w:r>
              <w:rPr>
                <w:sz w:val="18"/>
              </w:rPr>
              <w:t>−2.37</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6.9</w:t>
            </w:r>
          </w:p>
        </w:tc>
        <w:tc>
          <w:tcPr>
            <w:tcW w:type="dxa" w:w="720"/>
          </w:tcPr>
          <w:p>
            <w:r>
              <w:rPr>
                <w:sz w:val="18"/>
              </w:rPr>
            </w:r>
            <w:r>
              <w:rPr>
                <w:sz w:val="18"/>
              </w:rPr>
              <w:t>269</w:t>
            </w:r>
          </w:p>
        </w:tc>
        <w:tc>
          <w:tcPr>
            <w:tcW w:type="dxa" w:w="720"/>
          </w:tcPr>
          <w:p>
            <w:r>
              <w:rPr>
                <w:sz w:val="18"/>
              </w:rPr>
            </w:r>
            <w:r>
              <w:rPr>
                <w:sz w:val="18"/>
              </w:rPr>
              <w:t>−14.4</w:t>
            </w:r>
          </w:p>
        </w:tc>
        <w:tc>
          <w:tcPr>
            <w:tcW w:type="dxa" w:w="720"/>
          </w:tcPr>
          <w:p>
            <w:r>
              <w:rPr>
                <w:sz w:val="18"/>
              </w:rPr>
            </w:r>
            <w:r>
              <w:rPr>
                <w:sz w:val="18"/>
              </w:rPr>
              <w:t>−2.23</w:t>
            </w:r>
          </w:p>
        </w:tc>
        <w:tc>
          <w:tcPr>
            <w:tcW w:type="dxa" w:w="720"/>
          </w:tcPr>
          <w:p>
            <w:r>
              <w:rPr>
                <w:sz w:val="18"/>
              </w:rPr>
            </w:r>
            <w:r>
              <w:rPr>
                <w:sz w:val="18"/>
              </w:rPr>
              <w:t>−5.53 to +0.79</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w:t>
            </w:r>
          </w:p>
        </w:tc>
        <w:tc>
          <w:tcPr>
            <w:tcW w:type="dxa" w:w="720"/>
          </w:tcPr>
          <w:p>
            <w:r>
              <w:rPr>
                <w:sz w:val="18"/>
              </w:rPr>
            </w:r>
            <w:r>
              <w:rPr>
                <w:sz w:val="18"/>
              </w:rPr>
              <w:t>235</w:t>
            </w:r>
          </w:p>
        </w:tc>
        <w:tc>
          <w:tcPr>
            <w:tcW w:type="dxa" w:w="720"/>
          </w:tcPr>
          <w:p>
            <w:r>
              <w:rPr>
                <w:sz w:val="18"/>
              </w:rPr>
            </w:r>
            <w:r>
              <w:rPr>
                <w:sz w:val="18"/>
              </w:rPr>
              <w:t>−11.5</w:t>
            </w:r>
          </w:p>
        </w:tc>
        <w:tc>
          <w:tcPr>
            <w:tcW w:type="dxa" w:w="720"/>
          </w:tcPr>
          <w:p>
            <w:r>
              <w:rPr>
                <w:sz w:val="18"/>
              </w:rPr>
            </w:r>
            <w:r>
              <w:rPr>
                <w:sz w:val="18"/>
              </w:rPr>
              <w:t>−2.51</w:t>
            </w:r>
          </w:p>
        </w:tc>
        <w:tc>
          <w:tcPr>
            <w:tcW w:type="dxa" w:w="720"/>
          </w:tcPr>
          <w:p>
            <w:r>
              <w:rPr>
                <w:sz w:val="18"/>
              </w:rPr>
            </w:r>
            <w:r>
              <w:rPr>
                <w:sz w:val="18"/>
              </w:rPr>
              <w:t>−5.88 to +0.40</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9.0</w:t>
            </w:r>
          </w:p>
        </w:tc>
        <w:tc>
          <w:tcPr>
            <w:tcW w:type="dxa" w:w="720"/>
          </w:tcPr>
          <w:p>
            <w:r>
              <w:rPr>
                <w:sz w:val="18"/>
              </w:rPr>
            </w:r>
            <w:r>
              <w:rPr>
                <w:sz w:val="18"/>
              </w:rPr>
              <w:t>205</w:t>
            </w:r>
          </w:p>
        </w:tc>
        <w:tc>
          <w:tcPr>
            <w:tcW w:type="dxa" w:w="720"/>
          </w:tcPr>
          <w:p>
            <w:r>
              <w:rPr>
                <w:sz w:val="18"/>
              </w:rPr>
            </w:r>
            <w:r>
              <w:rPr>
                <w:sz w:val="18"/>
              </w:rPr>
              <w:t>−8.8</w:t>
            </w:r>
          </w:p>
        </w:tc>
        <w:tc>
          <w:tcPr>
            <w:tcW w:type="dxa" w:w="720"/>
          </w:tcPr>
          <w:p>
            <w:r>
              <w:rPr>
                <w:sz w:val="18"/>
              </w:rPr>
            </w:r>
            <w:r>
              <w:rPr>
                <w:sz w:val="18"/>
              </w:rPr>
              <w:t>−2.37</w:t>
            </w:r>
          </w:p>
        </w:tc>
        <w:tc>
          <w:tcPr>
            <w:tcW w:type="dxa" w:w="720"/>
          </w:tcPr>
          <w:p>
            <w:r>
              <w:rPr>
                <w:sz w:val="18"/>
              </w:rPr>
            </w:r>
            <w:r>
              <w:rPr>
                <w:sz w:val="18"/>
              </w:rPr>
              <w:t>−5.83 to +0.39</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 A central value is quoted only where the uncertainty is below 1.5 log units, a factor of about 30 either way; above that the interval is reported instead, because a central value carrying a wider interval than that is quoted without it. The threshold is a judgment call and is stated rather than left implicit. Cobalt is reported as a one-sided bound for the reason given in §3.4, so the ±1.18, a factor of 15 either way, is the random component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b/>
                <w:sz w:val="18"/>
              </w:rPr>
              <w:t>not determined</w:t>
            </w:r>
            <w:r>
              <w:rPr>
                <w:sz w:val="18"/>
              </w:rPr>
              <w:t xml:space="preserve"> (fit returns −2.31)</w:t>
            </w:r>
          </w:p>
        </w:tc>
        <w:tc>
          <w:tcPr>
            <w:tcW w:type="dxa" w:w="1234"/>
          </w:tcPr>
          <w:p>
            <w:r>
              <w:rPr>
                <w:sz w:val="18"/>
              </w:rPr>
            </w:r>
            <w:r>
              <w:rPr>
                <w:sz w:val="18"/>
              </w:rPr>
              <w:t>(−2.35)</w:t>
            </w:r>
          </w:p>
        </w:tc>
        <w:tc>
          <w:tcPr>
            <w:tcW w:type="dxa" w:w="1234"/>
          </w:tcPr>
          <w:p>
            <w:r>
              <w:rPr>
                <w:sz w:val="18"/>
              </w:rPr>
            </w:r>
            <w:r>
              <w:rPr>
                <w:sz w:val="18"/>
              </w:rPr>
              <w:t>0.21</w:t>
            </w:r>
          </w:p>
        </w:tc>
        <w:tc>
          <w:tcPr>
            <w:tcW w:type="dxa" w:w="1234"/>
          </w:tcPr>
          <w:p>
            <w:r>
              <w:rPr>
                <w:sz w:val="18"/>
              </w:rPr>
            </w:r>
            <w:r>
              <w:rPr>
                <w:sz w:val="18"/>
              </w:rPr>
              <w:t>−5.9 to +0.8</w:t>
            </w:r>
          </w:p>
        </w:tc>
        <w:tc>
          <w:tcPr>
            <w:tcW w:type="dxa" w:w="1234"/>
          </w:tcPr>
          <w:p>
            <w:r>
              <w:rPr>
                <w:sz w:val="18"/>
              </w:rPr>
            </w:r>
            <w:r>
              <w:rPr>
                <w:sz w:val="18"/>
              </w:rPr>
              <w:t>site-limited: surface 71 % full, inversion insensitive; no central value reported</w:t>
            </w:r>
          </w:p>
        </w:tc>
      </w:tr>
      <w:tr>
        <w:tc>
          <w:tcPr>
            <w:tcW w:type="dxa" w:w="1234"/>
          </w:tcPr>
          <w:p>
            <w:r>
              <w:rPr>
                <w:sz w:val="18"/>
              </w:rPr>
            </w:r>
            <w:r>
              <w:rPr>
                <w:sz w:val="18"/>
              </w:rPr>
              <w:t>&gt;CO₃H⁰ + Co²⁺ ⇌ &gt;CO₃Co⁺ + H⁺</w:t>
            </w:r>
          </w:p>
        </w:tc>
        <w:tc>
          <w:tcPr>
            <w:tcW w:type="dxa" w:w="1234"/>
          </w:tcPr>
          <w:p>
            <w:r>
              <w:rPr>
                <w:sz w:val="18"/>
              </w:rPr>
            </w:r>
            <w:r>
              <w:rPr>
                <w:sz w:val="18"/>
              </w:rPr>
              <w:t>2</w:t>
            </w:r>
          </w:p>
        </w:tc>
        <w:tc>
          <w:tcPr>
            <w:tcW w:type="dxa" w:w="1234"/>
          </w:tcPr>
          <w:p>
            <w:r>
              <w:rPr>
                <w:sz w:val="18"/>
              </w:rPr>
            </w:r>
            <w:r>
              <w:rPr>
                <w:b/>
                <w:sz w:val="18"/>
              </w:rPr>
              <w:t>≥ −2.18</w:t>
            </w:r>
            <w:r>
              <w:rPr>
                <w:sz w:val="18"/>
              </w:rPr>
              <w:t xml:space="preserve"> (lower bound)</w:t>
            </w:r>
          </w:p>
        </w:tc>
        <w:tc>
          <w:tcPr>
            <w:tcW w:type="dxa" w:w="1234"/>
          </w:tcPr>
          <w:p>
            <w:r>
              <w:rPr>
                <w:sz w:val="18"/>
              </w:rPr>
            </w:r>
            <w:r>
              <w:rPr>
                <w:sz w:val="18"/>
              </w:rPr>
              <w:t>(−2.24)</w:t>
            </w:r>
          </w:p>
        </w:tc>
        <w:tc>
          <w:tcPr>
            <w:tcW w:type="dxa" w:w="1234"/>
          </w:tcPr>
          <w:p>
            <w:r>
              <w:rPr>
                <w:sz w:val="18"/>
              </w:rPr>
            </w:r>
            <w:r>
              <w:rPr>
                <w:sz w:val="18"/>
              </w:rPr>
              <w:t>0.21</w:t>
            </w:r>
          </w:p>
        </w:tc>
        <w:tc>
          <w:tcPr>
            <w:tcW w:type="dxa" w:w="1234"/>
          </w:tcPr>
          <w:p>
            <w:r>
              <w:rPr>
                <w:sz w:val="18"/>
              </w:rPr>
            </w:r>
            <w:r>
              <w:rPr>
                <w:sz w:val="18"/>
              </w:rPr>
              <w:t>±1.18 random only</w:t>
            </w:r>
          </w:p>
        </w:tc>
        <w:tc>
          <w:tcPr>
            <w:tcW w:type="dxa" w:w="1234"/>
          </w:tcPr>
          <w:p>
            <w:r>
              <w:rPr>
                <w:sz w:val="18"/>
              </w:rPr>
            </w:r>
            <w:r>
              <w:rPr>
                <w:sz w:val="18"/>
              </w:rPr>
              <w:t>both points pre-equilibrium (pH 6 batch, days 2 and 4) and uptake still rising at day 6; log K increases monotonically with coverage, so the fitted value bounds the constant from below</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with a slope of +0.02 per pH unit over the five usable points, which span pH 4.26 to 8.26; the electrostatic and non-electrostatic values agree to 0.04 log units, as expected at C = 138 F m⁻². That consistency is not accuracy. Because the surface is near saturation with lithium the inversion of Eq. 13 is insensitive, and propagating the ±3 % analytical error gives an interval from −5.9 to +0.8, nearly seven orders of magnitude, so no central value is reported. At ±1 % analytical precision the propagated half-width would fall to about 1.7 log units, but the site limitation remains; an isotherm at lower lithium concentration is what would constrain the constant.</w:t>
      </w:r>
    </w:p>
    <w:p>
      <w:r>
        <w:t xml:space="preserve">Cobalt has two usable points, and both are day 2 and day 4 of the pH 6 batch. Every day-6 point is excluded: the pH 6 point for sphaerocobaltite supersaturation, the three pH 2 points for being within analytical noise. The value therefore describes a system that had not finished reacting, and the direction of that bias is known. Removal is still rising at the last sampling (Figure 1), so the measured coverage is a lower bound on the equilibrium coverage; and log K rises monotonically with coverage, as scaling the day-4 uptake from 0.5 to 3 times confirms (log K −2.42, −2.21, −2.05, −1.80, −1.60, −1.28). A lower bound on coverage is therefore a lower bound on the constant, and cobalt is reported as </w:t>
      </w:r>
      <w:r>
        <w:rPr>
          <w:b/>
        </w:rPr>
        <w:t>log K ≥ −2.18</w:t>
      </w:r>
      <w:r>
        <w:t xml:space="preserve"> rather than as a central value with symmetric error bars. The ±1.18 is the random component propagated from ±3 % analytical precision and says nothing about the systematic offset from incomplete reaction.</w:t>
      </w:r>
    </w:p>
    <w:p>
      <w:r>
        <w:t>This matters for consistency with §3.5. A two-sided interval of −3.36 to −1.00 would exclude the analogy value of −0.79 and so contradict the conclusion, reached independently from the time trend, that the system is still approaching equilibrium and the analogy constant may be right. Read as a lower bound the two sections agree: the data place the constant at or above −2.18, the analogy predicts −0.79, which lies above that bound and is not excluded, and the extended run tests whether the gap closes.</w:t>
      </w:r>
    </w:p>
    <w:p>
      <w:r>
        <w:t>The flat-line diagnostic cannot be applied to cobalt at all: the two usable points lie at pH 7.40 and 7.48, and a slope over a baseline of 0.08 pH units carries no information.</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 the borrowed constant, the usable points giving an apparent value 1.4 log units weaker than the analogy; (b) a reactive area of 13 to 29 % of the BET area, which is a three- to eight-fold reduction, in the same direction as the adjustment Belova et al. (2014) explored but far larger than their 1.4-fold case; (c) incomplete equilibration, since removal is still rising at day 6.</w:t>
      </w:r>
    </w:p>
    <w:p>
      <w:r>
        <w:t>These three are not equally plausible, and the time trend separates them (Figure 7c). Candidates (a) and (b) are time-invariant scalings: a constant that is too strong, or a reactive area below BET, depresses the measured coverage by the same factor at every sampling and would hold the ratio flat. Candidate (c) does not: if the system is still approaching equilibrium, the measured coverage climbs while the prediction stays put, and the ratio closes. In the pH 6 batch the predicted sorption is flat to 11 % of its mean (0.329, 0.326, 0.363 mmol L⁻¹) while the measured removal grows 2.3-fold (0.044, 0.070, 0.104 mmol L⁻¹), so the ratio falls monotonically: 7.44, 4.69, 3.50. That is the signature of (c). Two deliberately crude extrapolations, since three points cannot define a kinetic law, place the meeting point at day 22 by linear growth of the measured coverage and day 12 by log-linear decay of the ratio: weeks rather than days. The measured curve is still slightly accelerating rather than levelling off, which no simple approach-to-equilibrium law does, so both figures are indicative only.</w:t>
      </w:r>
    </w:p>
    <w:p>
      <w:r>
        <w:t>The time axis is confounded with pH, which runs 7.40, 7.48, 8.09 across the same three samplings, so the rise could in principle be the affinity increasing as the solution buffers upward rather than an approach to equilibrium. The model closes that gap rather than merely flagging it. The predicted sorption is computed at each point's own measured pH assuming equilibrium, so the prediction is the pH effect with time removed: it rises 10 % from day 2 to day 6, against the 135 % rise measured. pH therefore accounts for at most 8 % of the observed increase, and unless the model's pH sensitivity is wrong by an order of magnitude it cannot produce the rise. Candidate (c) survives the confound. The pH 2 batch ratio runs the other way (9.4, 23, 148) because its measured removal collapses into analytical noise; those points are excluded on that basis and carry no trend.</w:t>
      </w:r>
    </w:p>
    <w:p>
      <w:r>
        <w:t xml:space="preserve">This converts the list into a testable prediction. Extending one cobalt batch to a month would settle it, with three design points that follow from the analysis above. First, the pH must be held fixed, by buffer or periodic adjustment, because a run that lets it drift reproduces the same time-versus-pH ambiguity at longer timescale and forfeits the clean time axis. Second, it must be held </w:t>
      </w:r>
      <w:r>
        <w:rPr>
          <w:b/>
        </w:rPr>
        <w:t>low</w:t>
      </w:r>
      <w:r>
        <w:t>. Fixing the pH at the day-6 value of 8.09 would keep the bottle above sphaerocobaltite saturation for the entire month (SI = +0.93 at the day-6 residual cobalt, +0.97 at the full dose), and the ratio would then converge for either of two reasons, sorption reaching equilibrium or precipitate accumulating, which a solution-phase measurement cannot separate because the ratio is computed from solution concentrations alone. At the full 80.5 mg L⁻¹ dose the saturation index reaches zero at pH 7.60, so holding the run at pH 7.35 gives SI = −0.50 at the dose and −0.53 at day-6 depletion, undersaturated from the first hour to the last; cobalt only leaves solution as the run proceeds, so the index can only fall further. The signal survives the change: the day-2 point sat at pH 7.40 with SI = −0.41 and still gave 3.2 % removal, well above the ±3 % analytical precision. Lowering the cobalt dose would also drop the index, but a tenfold reduction pushes removal into the same analytical noise that already cost the pH 2 batch three points, so the pH route is preferred. Third, sampling at days 7, 10, 14, 21 and 28, rather than strictly weekly, brackets the day-12 extrapolation instead of stepping over it. If the ratio converges on unity, the analogy constant of −0.79 was right and the six-day experiment stopped too early, which both validates the borrowed constant and dates the kinetics; if it plateaus near three, equilibrium has been reached and the residual gap belongs to the constant or the reactive area, which the isotherm and pH-edge design then separates. Either outcome is informative, and it costs one bottle and five samplings. XRD on the final solid remains worthwhile as a confirmation that nothing precipitated, but with the run held below saturation it is no longer what carries the interpretation.</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constants are, however, untouched by it: swapping Ca and Mg in the cobalt pH 6 day-6 point leaves the point-by-point value unchanged at −1.89 to two decimal places. The reason is worth stating because it is reassuring rather than suspicious. The two competitor constants differ by only 0.2 log units, so exchanging the two cations conserves the total competitor occupancy of the carbonate site and the site balance barely registers the change. The ICP anomaly therefore needs checking against the raw run for the dissolution story, since congruent dissolution of dolomite should give a molar Ca/Mg ratio near unity, but it does not threaten Table 6.</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0.21 log units across five samples is a statement about the samples, not about the constant, and the propagated interval from −5.9 to +0.8 is the honest width. A central value is therefore not reported: a number carrying an interval that wide would be quoted without it the moment it appeared in a table.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Because the constant is bounded from below rather than measured, the analogy value is not excluded by the data; the gap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Two explanations that would normally be offered are ruled out by the data themselves. Calcium and magnesium competition does not resolve it, because the two competitor constants are nearly equal and the swap test of §3.6 moves the constant by less than 0.01. Nor does precipitation, because the model predicts more sorption than the removal actually measured, so there is no excess removal to attribute to a second mechanism. The reactive-area explanation is quantitatively demanding: 13 to 29 % of BET is a three- to eight-fold reduction, where the case Belova et al. (2014) explored was a 1.4-fold reduction. Same direction, very different magnitude, and that gap is itself informative. Of the three, the time trend already favours incomplete equilibration: across the six days the prediction is flat while the measurement climbs, closing the ratio from 7.4 to 3.5, where a wrong constant or a reduced area would have held it flat (§3.5, Figure 7c). An isotherm at fixed pH separates (a) from (b); a month-long batch held below saturation tests (c) directly and is the cheaper experiment.</w:t>
      </w:r>
    </w:p>
    <w:p>
      <w:r>
        <w:t>The two metals fail for different reasons, and the contrast is a clean result. Cobalt's site ceiling is 46.7 % of the added metal and the measured removal is 7.6 %, so cobalt sits comfortably inside the monolayer bound; its limits are analytical noise and incomplete equilibration, both addressed by longer runs and better precision. Lithium's ceiling is 3.2 % and the removal is 2.3 %, so the experiment was run above the surface's capacity; the fix there is a lower lithium concentration, not a longer run. Each metal points to a different experiment.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 xml:space="preserve">Lithium behaves as a sorbing ion with a pH-independent constant, but </w:t>
      </w:r>
      <w:r>
        <w:rPr>
          <w:b/>
        </w:rPr>
        <w:t>log K(&gt;CO₃Li⁰) is not determined</w:t>
      </w:r>
      <w:r>
        <w:t xml:space="preserve"> by these data. The surface holds at most 3.2 % of the lithium present and is 71 % full at the measured removal, so the inversion is insensitive and the propagated interval runs from −5.9 to +0.8. The reported 8.5 % lithium recovery on fine dolomite is 2.4 times the sorption ceiling, so the earlier attribution of lithium recovery to sorption needs to be revisited for those runs.</w:t>
      </w:r>
    </w:p>
    <w:p>
      <w:pPr>
        <w:pStyle w:val="ListNumber"/>
      </w:pPr>
      <w:r>
        <w:t xml:space="preserve">Cobalt has two usable points, both of them pre-equilibrium (day 2 and day 4 of the pH 6 batch); every day-6 point is excluded, one for supersaturation and three for analytical noise. Since uptake is still rising and log K increases monotonically with coverage, the constant is reported as a one-sided bound, </w:t>
      </w:r>
      <w:r>
        <w:rPr>
          <w:b/>
        </w:rPr>
        <w:t>log K(&gt;CO₃Co⁺) ≥ −2.18</w:t>
      </w:r>
      <w:r>
        <w:t>, with ±1.18 as the random component only. The analogy value of −0.79 lies above the bound and is therefore not excluded. The two points span only 0.08 pH units, too narrow for the flat-line diagnostic.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 xml:space="preserve">The cobalt discrepancy is diagnosed rather than merely listed. The predicted sorption is flat across the six days while the measured removal grows 2.3-fold, so the ratio closes from 7.4 to 3.5, which is the signature of incomplete equilibration and not of a wrong constant or a reduced reactive area, both of which are time-invariant. The pH rise over the same interval cannot account for it: the model's own prediction, which contains the pH dependence, moves only 10 % against the measured 135 %. Extending one batch to a month </w:t>
      </w:r>
      <w:r>
        <w:rPr>
          <w:b/>
        </w:rPr>
        <w:t>at fixed pH near 7.35</w:t>
      </w:r>
      <w:r>
        <w:t>, which keeps the whole run undersaturated with sphaerocobaltite, and sampling at days 7, 10, 14, 21 and 28, is the decisive test.</w:t>
      </w:r>
    </w:p>
    <w:p>
      <w:pPr>
        <w:pStyle w:val="ListNumber"/>
      </w:pPr>
      <w:r>
        <w:t>Neither constant is pinned down, and the two failures are distinct: cobalt is limited by analytical noise and incomplete equilibration inside the monolayer bound, lithium by an experiment run above the surface's capacity. Each points to a different fix in the next experiment.</w:t>
      </w:r>
    </w:p>
    <w:p>
      <w:pPr>
        <w:pStyle w:val="ListNumber"/>
      </w:pPr>
      <w:r>
        <w:t>The published surface concentration of 0.046 to 0.049 m² L⁻¹ should be corrected to ≈ 50 m² L⁻¹ (m² mL⁻¹ in the original).</w:t>
      </w:r>
    </w:p>
    <w:p>
      <w:pPr>
        <w:pStyle w:val="ListNumber"/>
      </w:pPr>
      <w:r>
        <w:t>The hand-coded speciation is set up for line-by-line comparison with Visual MINTEQ at one point, and the activity-model floor at this ionic strength is 0.10 log units, so the activity model is not what limits the result: the data are.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82153"/>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82153"/>
                    </a:xfrm>
                    <a:prstGeom prst="rect"/>
                  </pic:spPr>
                </pic:pic>
              </a:graphicData>
            </a:graphic>
          </wp:inline>
        </w:drawing>
      </w:r>
    </w:p>
    <w:p>
      <w:r>
        <w:rPr>
          <w:b/>
        </w:rPr>
        <w:t>Figure 1.</w:t>
      </w:r>
      <w:r>
        <w:t xml:space="preserve"> Kinetics of Li⁺ and Co²⁺ uptake by dolomite (60 g L⁻¹, 40 g L⁻¹ NaCl, 25 °C). (a) Removal as a percentage of the initial concentration; (b) surface coverage Γ from Eq. 12, with the carbonate-site density of 14 µmol m⁻² shown. Filled symbols, batches with initial pH 6; open symbols, initial pH 2. Cobalt removal in the pH 6 batch is still rising at day 6; lithium reaches 64 to 72 % of the site density by day 2.</w:t>
      </w:r>
    </w:p>
    <w:p>
      <w:pPr>
        <w:jc w:val="center"/>
      </w:pPr>
      <w:r>
        <w:drawing>
          <wp:inline xmlns:a="http://schemas.openxmlformats.org/drawingml/2006/main" xmlns:pic="http://schemas.openxmlformats.org/drawingml/2006/picture">
            <wp:extent cx="5669280" cy="2443025"/>
            <wp:docPr id="2" name="Picture 2"/>
            <wp:cNvGraphicFramePr>
              <a:graphicFrameLocks noChangeAspect="1"/>
            </wp:cNvGraphicFramePr>
            <a:graphic>
              <a:graphicData uri="http://schemas.openxmlformats.org/drawingml/2006/picture">
                <pic:pic>
                  <pic:nvPicPr>
                    <pic:cNvPr id="0" name="Fig2_adsorption_edges.png"/>
                    <pic:cNvPicPr/>
                  </pic:nvPicPr>
                  <pic:blipFill>
                    <a:blip r:embed="rId10"/>
                    <a:stretch>
                      <a:fillRect/>
                    </a:stretch>
                  </pic:blipFill>
                  <pic:spPr>
                    <a:xfrm>
                      <a:off x="0" y="0"/>
                      <a:ext cx="5669280" cy="2443025"/>
                    </a:xfrm>
                    <a:prstGeom prst="rect"/>
                  </pic:spPr>
                </pic:pic>
              </a:graphicData>
            </a:graphic>
          </wp:inline>
        </w:drawing>
      </w:r>
    </w:p>
    <w:p>
      <w:r>
        <w:rPr>
          <w:b/>
        </w:rPr>
        <w:t>Figure 2.</w:t>
      </w:r>
      <w:r>
        <w:t xml:space="preserve"> Adsorption edges. (a) Cobalt and (b) lithium removal against pH. Filled symbols are the day-6 points, open symbols the day-2 and day-4 samples plotted at their measured pH. Model curves are the forward prediction with the apparent constant of Table 6 and each batch's day-6 Ca and Mg (solid, pH 6 batch chemistry; dashed, pH 2 batch chemistry). The dotted line in (b) is the site ceiling: the removal if every carbonate site held lithium.</w:t>
      </w:r>
    </w:p>
    <w:p>
      <w:pPr>
        <w:jc w:val="center"/>
      </w:pPr>
      <w:r>
        <w:drawing>
          <wp:inline xmlns:a="http://schemas.openxmlformats.org/drawingml/2006/main" xmlns:pic="http://schemas.openxmlformats.org/drawingml/2006/picture">
            <wp:extent cx="5669280" cy="2443025"/>
            <wp:docPr id="3" name="Picture 3"/>
            <wp:cNvGraphicFramePr>
              <a:graphicFrameLocks noChangeAspect="1"/>
            </wp:cNvGraphicFramePr>
            <a:graphic>
              <a:graphicData uri="http://schemas.openxmlformats.org/drawingml/2006/picture">
                <pic:pic>
                  <pic:nvPicPr>
                    <pic:cNvPr id="0" name="Fig3_4_isotherms.png"/>
                    <pic:cNvPicPr/>
                  </pic:nvPicPr>
                  <pic:blipFill>
                    <a:blip r:embed="rId11"/>
                    <a:stretch>
                      <a:fillRect/>
                    </a:stretch>
                  </pic:blipFill>
                  <pic:spPr>
                    <a:xfrm>
                      <a:off x="0" y="0"/>
                      <a:ext cx="5669280" cy="2443025"/>
                    </a:xfrm>
                    <a:prstGeom prst="rect"/>
                  </pic:spPr>
                </pic:pic>
              </a:graphicData>
            </a:graphic>
          </wp:inline>
        </w:drawing>
      </w:r>
    </w:p>
    <w:p>
      <w:r>
        <w:rPr>
          <w:b/>
        </w:rPr>
        <w:t>Figures 3 and 4.</w:t>
      </w:r>
      <w:r>
        <w:t xml:space="preserve"> Isotherms, log Γ against log C_eq, for (a) cobalt and (b) lithium. Lines are the forward model at the day-6 pH of each batch with the initial concentration varied; symbols are the single measured point of each batch. The unit-slope region is low-coverage adsorption; the flattening toward the dotted line is site saturation. Lithium sits on the saturation shoulder.</w:t>
      </w:r>
    </w:p>
    <w:p>
      <w:pPr>
        <w:jc w:val="center"/>
      </w:pPr>
      <w:r>
        <w:drawing>
          <wp:inline xmlns:a="http://schemas.openxmlformats.org/drawingml/2006/main" xmlns:pic="http://schemas.openxmlformats.org/drawingml/2006/picture">
            <wp:extent cx="5669280" cy="3580292"/>
            <wp:docPr id="4" name="Picture 4"/>
            <wp:cNvGraphicFramePr>
              <a:graphicFrameLocks noChangeAspect="1"/>
            </wp:cNvGraphicFramePr>
            <a:graphic>
              <a:graphicData uri="http://schemas.openxmlformats.org/drawingml/2006/picture">
                <pic:pic>
                  <pic:nvPicPr>
                    <pic:cNvPr id="0" name="Fig5_Kd_vs_pH.png"/>
                    <pic:cNvPicPr/>
                  </pic:nvPicPr>
                  <pic:blipFill>
                    <a:blip r:embed="rId12"/>
                    <a:stretch>
                      <a:fillRect/>
                    </a:stretch>
                  </pic:blipFill>
                  <pic:spPr>
                    <a:xfrm>
                      <a:off x="0" y="0"/>
                      <a:ext cx="5669280" cy="3580292"/>
                    </a:xfrm>
                    <a:prstGeom prst="rect"/>
                  </pic:spPr>
                </pic:pic>
              </a:graphicData>
            </a:graphic>
          </wp:inline>
        </w:drawing>
      </w:r>
    </w:p>
    <w:p>
      <w:r>
        <w:rPr>
          <w:b/>
        </w:rPr>
        <w:t>Figure 5.</w:t>
      </w:r>
      <w:r>
        <w:t xml:space="preserve"> Distribution coefficient, log K_d against pH, with the model curves at the pH 6 batch chemistry. The cobalt pH 2 batch points are within analytical noise and are marked as excluded.</w:t>
      </w:r>
    </w:p>
    <w:p>
      <w:pPr>
        <w:jc w:val="center"/>
      </w:pPr>
      <w:r>
        <w:drawing>
          <wp:inline xmlns:a="http://schemas.openxmlformats.org/drawingml/2006/main" xmlns:pic="http://schemas.openxmlformats.org/drawingml/2006/picture">
            <wp:extent cx="5669280" cy="2495781"/>
            <wp:docPr id="5" name="Picture 5"/>
            <wp:cNvGraphicFramePr>
              <a:graphicFrameLocks noChangeAspect="1"/>
            </wp:cNvGraphicFramePr>
            <a:graphic>
              <a:graphicData uri="http://schemas.openxmlformats.org/drawingml/2006/picture">
                <pic:pic>
                  <pic:nvPicPr>
                    <pic:cNvPr id="0" name="Fig6_logK_diagnostic.png"/>
                    <pic:cNvPicPr/>
                  </pic:nvPicPr>
                  <pic:blipFill>
                    <a:blip r:embed="rId13"/>
                    <a:stretch>
                      <a:fillRect/>
                    </a:stretch>
                  </pic:blipFill>
                  <pic:spPr>
                    <a:xfrm>
                      <a:off x="0" y="0"/>
                      <a:ext cx="5669280" cy="2495781"/>
                    </a:xfrm>
                    <a:prstGeom prst="rect"/>
                  </pic:spPr>
                </pic:pic>
              </a:graphicData>
            </a:graphic>
          </wp:inline>
        </w:drawing>
      </w:r>
    </w:p>
    <w:p>
      <w:r>
        <w:rPr>
          <w:b/>
        </w:rPr>
        <w:t>Figure 6.</w:t>
      </w:r>
      <w:r>
        <w:t xml:space="preserve"> The flat-line diagnostic: point-by-point log K on the carbonate site against (a) measured pH and (b) surface coverage. Filled symbols are the usable points with the interval obtained by recomputing log K at Γ ∓ σ_Γ (±3 % ICP precision); crosses are the points excluded for being within noise or above sphaerocobaltite saturation. Dashed lines are the weighted fits of Table 6; the dotted line is Pokrovsky et al.'s &gt;CO₃Ca⁺ constant. Lithium is flat in pH (slope +0.02 per pH unit) but its interval is wide because the surface is near saturation. Cobalt's two usable points lie 0.08 pH units apart, so no slope is computed for it.</w:t>
      </w:r>
    </w:p>
    <w:p>
      <w:pPr>
        <w:jc w:val="center"/>
      </w:pPr>
      <w:r>
        <w:drawing>
          <wp:inline xmlns:a="http://schemas.openxmlformats.org/drawingml/2006/main" xmlns:pic="http://schemas.openxmlformats.org/drawingml/2006/picture">
            <wp:extent cx="5669280" cy="1641770"/>
            <wp:docPr id="6" name="Picture 6"/>
            <wp:cNvGraphicFramePr>
              <a:graphicFrameLocks noChangeAspect="1"/>
            </wp:cNvGraphicFramePr>
            <a:graphic>
              <a:graphicData uri="http://schemas.openxmlformats.org/drawingml/2006/picture">
                <pic:pic>
                  <pic:nvPicPr>
                    <pic:cNvPr id="0" name="Fig8_Co_sorption_vs_removal_SI.png"/>
                    <pic:cNvPicPr/>
                  </pic:nvPicPr>
                  <pic:blipFill>
                    <a:blip r:embed="rId14"/>
                    <a:stretch>
                      <a:fillRect/>
                    </a:stretch>
                  </pic:blipFill>
                  <pic:spPr>
                    <a:xfrm>
                      <a:off x="0" y="0"/>
                      <a:ext cx="5669280" cy="1641770"/>
                    </a:xfrm>
                    <a:prstGeom prst="rect"/>
                  </pic:spPr>
                </pic:pic>
              </a:graphicData>
            </a:graphic>
          </wp:inline>
        </w:drawing>
      </w:r>
    </w:p>
    <w:p>
      <w:r>
        <w:rPr>
          <w:b/>
        </w:rPr>
        <w:t>Figure 7.</w:t>
      </w:r>
      <w:r>
        <w:t xml:space="preserve"> Cobalt: (a) measured removal (solid) against the sorption predicted with the analogy constant log K = −0.79 (open symbols, dashed), for the two batches; (b) saturation index of sphaerocobaltite at the same points, with the supersaturated region shaded; (c) the ratio of predicted sorption to measured removal in the pH 6 batch, on a log scale, with the two extrapolations to unity. The prediction lies above the measurement at every point (Table 7), but the ratio closes monotonically as the measurement climbs toward a prediction that is essentially flat, which is the signature of incomplete equilibration rather than of a wrong constant or a reduced reactive area. The pH rise over the same interval does not account for it: the model prediction, which contains the pH dependence, moves 10 % against the measured 135 %.</w:t>
      </w:r>
    </w:p>
    <w:p>
      <w:pPr>
        <w:jc w:val="center"/>
      </w:pPr>
      <w:r>
        <w:drawing>
          <wp:inline xmlns:a="http://schemas.openxmlformats.org/drawingml/2006/main" xmlns:pic="http://schemas.openxmlformats.org/drawingml/2006/picture">
            <wp:extent cx="5669280" cy="3373140"/>
            <wp:docPr id="7" name="Picture 7"/>
            <wp:cNvGraphicFramePr>
              <a:graphicFrameLocks noChangeAspect="1"/>
            </wp:cNvGraphicFramePr>
            <a:graphic>
              <a:graphicData uri="http://schemas.openxmlformats.org/drawingml/2006/picture">
                <pic:pic>
                  <pic:nvPicPr>
                    <pic:cNvPr id="0" name="FigS1_surface_speciation.png"/>
                    <pic:cNvPicPr/>
                  </pic:nvPicPr>
                  <pic:blipFill>
                    <a:blip r:embed="rId15"/>
                    <a:stretch>
                      <a:fillRect/>
                    </a:stretch>
                  </pic:blipFill>
                  <pic:spPr>
                    <a:xfrm>
                      <a:off x="0" y="0"/>
                      <a:ext cx="5669280" cy="3373140"/>
                    </a:xfrm>
                    <a:prstGeom prst="rect"/>
                  </pic:spPr>
                </pic:pic>
              </a:graphicData>
            </a:graphic>
          </wp:inline>
        </w:drawing>
      </w:r>
    </w:p>
    <w:p>
      <w:r>
        <w:rPr>
          <w:b/>
        </w:rPr>
        <w:t>Figure S1.</w:t>
      </w:r>
      <w:r>
        <w:t xml:space="preserve"> Fractional occupancy of the carbonate site against pH at the cobalt pH 6 batch chemistry, showing the &gt;CO₃H⁰ to &gt;CO₃⁻ transition, the &gt;CO₃Mg⁺ competition and the &gt;CO₃Co⁺ complex.</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