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Incomplete equilibration in this sense covers two mechanisms that the time trend cannot separate, a slow approach to sorption equilibrium and recrystallization incorporating the cobalt into new lattice, and the extended run is designed to distinguish them (§3.5).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formation constants used here were supplied to PHREEQC explicitly, and so were those for the calcium, magnesium and sodium complexes, since `phreeqc.dat` carries its own values for those and the calcium and magnesium activities feed the site balance directly. The thermodynamic data are therefore identical across every species that matters here, and the comparison isolates what remains: PHREEQC brings the WATEQ extended Debye–Hückel form with ion-size parameters rather than Davies, together with its own tableau and Newton solver. Every quantity the constants are computed from agrees to within the activity-model floor established above: 0.06 log units in the free-metal activity, 0.01 in the carbonate activity, 0.07 in the free calcium activity, 0.00 in the free magnesium activity and 0.07 in the saturation index of sphaerocobaltite. Two differences remain and are expected. Reported ionic strengths differ by 0.038 because PHREEQC works in molality on a kilogram-of-water basis and because the two activity models leave different fractions of the sodium chloride associated at this concentration. Free-ion fractions differ by up to nine percentage points because the WATEQ form distributes the same total metal differently between the free ion and its chloride pairs; the fraction is a reporting quantity, while the constants are inverted from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−2.20</w:t>
            </w:r>
            <w:r>
              <w:rPr>
                <w:sz w:val="18"/>
              </w:rPr>
              <w:t xml:space="preserve"> (lower bound)</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±1.16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−2.43, −2.23, −2.07, −1.84, −1.65, −1.34). A lower bound on coverage is therefore a lower bound on the constant, and cobalt is reported as </w:t>
      </w:r>
      <w:r>
        <w:rPr>
          <w:b/>
        </w:rPr>
        <w:t>log K ≥ −2.20</w:t>
      </w:r>
      <w:r>
        <w:t xml:space="preserve"> rather than as a central value with symmetric error bars. The ±1.16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−2.20,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r>
        <w:t>Two conventions in Table 6 follow Belova et al. (2014) and are worth stating. First, the non-electrostatic value is given alongside the electrostatic one because they argue that the non-electrostatic constant is a thermodynamic quantity while the constant-capacitance value is conditional on the electrostatic model; here the two differ by 0.04 log units, so nothing turns on the choice, but the thermodynamic value is the one to carry forward. Second, the quantity the literature actually compares is not the formation constant but the exchange constant,</w:t>
      </w:r>
    </w:p>
    <w:p>
      <w:pPr>
        <w:jc w:val="center"/>
      </w:pPr>
      <w:r>
        <w:t>log K_ex = log K(&gt;CO₃Me) − log K(&gt;CO₃Ca)  (16)</w:t>
      </w:r>
    </w:p>
    <w:p>
      <w:r>
        <w:t xml:space="preserve">which cancels the site-density convention and therefore transfers between studies that assumed different densities, as the formation constant does not. With log K(&gt;CO₃Ca⁺) = −1.8 on dolomite, the cobalt bound of −2.20 gives </w:t>
      </w:r>
      <w:r>
        <w:rPr>
          <w:b/>
        </w:rPr>
        <w:t>log K_ex ≥ −0.40</w:t>
      </w:r>
      <w:r>
        <w:t>. Belova et al. (2014) report log K_ex = +0.58 for nickel on calcite and Zachara et al. (1991) +0.51 for the same system. The cobalt bound sits about one log unit below both, which is what the incomplete-equilibration reading predicts and is a more informative comparison than the aqueous analogy alone, since it is a like-for-like comparison of measured exchange constants rather than of a measured value against an estimated one.</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w:t>
      </w:r>
    </w:p>
    <w:p>
      <w:r>
        <w:t>Two further design points follow from published practice, and the second is what makes the run interpretable. Belova et al. (2014) equilibrated the mineral with the solution for about a week, filtered at 0.2 µm and used the filtrate without storage, so that only the metal was added to an already-equilibrated suspension. In the batches analysed here the dolomite and the metal went in together and dissolution ran alongside uptake, which is the common origin of the pH drift, the calcium and magnesium pattern that does not look congruent, and the carbonate accumulation the pH target above is designed to work around. Pre-equilibration removes the cause rather than managing the symptom and should be adopted.</w:t>
      </w:r>
    </w:p>
    <w:p>
      <w:r>
        <w:t>The second point addresses an ambiguity in the time-trend argument itself. A ratio that closes is the signature of continued uptake after the fast step, but two mechanisms produce that: a slow approach to sorption equilibrium, or recrystallization of the carbonate surface that incorporates the trace cation into newly formed lattice. Belova et al. (2014) observed exactly this two-stage shape on calcite, attributed the slow stage to incorporation, and capped their experiments at 24 hours deliberately in order to stay inside the adsorption regime. Both mechanisms are time-dependent, so the flat-versus-closing test cannot separate them, and neither can XRD, because incorporation into an existing lattice produces no new phase. If incorporation is what is happening, a month-long run converges on the prediction for the wrong reason and the number extracted is not a sorption constant.</w:t>
      </w:r>
    </w:p>
    <w:p>
      <w:r>
        <w:t>A desorption step separates them. The solid is filtered at day 28, resuspended in fresh metal-free brine at the same pH, and the cobalt returning to solution is measured. Substantial reversibility means the cobalt was held as a surface complex and the converging ratio means what it appears to mean; poor reversibility means incorporation, and the constant is then not extractable from a long run at all, which would make the 24-hour cap of Belova et al. (2014) the correct design instead. Cobalt is the favourable case for this test: Zachara et al. (1991) found the strongly hydrated divalent cations, zinc, cobalt and nickel, to be the most desorbable on calcite, and read this as evidence that they remain hydrated in a surface complex until recrystallization takes them in. The step costs one filtration and one further ICP analysis, and it converts an ambiguous convergence into a decisive one, which no amount of additional sampling can do.</w:t>
      </w:r>
    </w:p>
    <w:p>
      <w:r>
        <w:t>Either outcome is informative, and the whole design costs one bottle, five samplings and one desorption step. XRD on the final solid remains worthwhile as a confirmation that nothing precipitated, but with the run held below saturation it is no longer what carries the interpretation, and it is not the check on incorporation.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r>
        <w:t>Two limitations have direct precedent in that work and should be stated rather than passed over. No solid-free blanks were run here, so wall losses could not be subtracted; blanks at every condition are part of the standard procedure, and their absence matters most where measured removal is small, which is every point in this data set. More consequentially, the central finding of Belova et al. (2014) was that trace surface impurities, clay and polysaccharide at well under one percent by mass, raised the fitted nickel constant by roughly 0.7 log units relative to pure calcite. The dolomite used here carries calcite cement and quartz, and the source study reports its composition twice with different numbers: 98 % dolomite in the methods, against 94 % dolomite with 4 % quartz and 2 % ankerite by XRD. That discrepancy should be reconciled before the constant is quoted, because on Belova's evidence a few percent of non-dolomite surface is enough to move the result by more than the gap being argued about in §3.5. The defensible framing is that any constant reported here belongs to the Arbuckle powder as used, not to dolomite as a mineral, and a measured value for the non-dolomite fraction would be needed to say otherwise.</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test. It becomes decisive only with a desorption step at the end, because a closing ratio is equally the signature of surface recrystallization incorporating the cobalt into new lattice, the slow stage that led Belova et al. (2014) to cap their own runs at 24 hours, and no amount of extra sampling or XRD can tell the two apart. Pre-equilibrating the solid with the brine before the metal is added, as they did, removes the drift that made the six-day data ambiguous in the first place.</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 and the two reported compositions of the solid, 98 % dolomite in the methods against 94 % dolomite with 4 % quartz and 2 % ankerite by XRD, should be reconciled. The latter is not bookkeeping: Belova et al. (2014) found that impurities well under one percent by mass shifted the fitted constant by about 0.7 log units, so a few percent of non-dolomite surface is enough to move the result by more than the discrepancy under discussion in §3.5. Until it is settled, any constant reported here belongs to the Arbuckle powder as used rather than to dolomite as a mineral.</w:t>
      </w:r>
    </w:p>
    <w:p>
      <w:r>
        <w:t>7a. The quantity that transfers between studies is the exchange constant, log K_ex = log K(&gt;CO₃Me) − log K(&gt;CO₃Ca), which cancels the site-density convention. The cobalt bound corresponds to log K_ex ≥ −0.40, about one log unit below the +0.58 of Belova et al. (2014) and the +0.51 of Zachara et al. (1991) for nickel on calcite, which is the direction incomplete equilibration predicts.</w:t>
      </w:r>
    </w:p>
    <w:p>
      <w:pPr>
        <w:pStyle w:val="ListNumber"/>
      </w:pPr>
      <w:r>
        <w:t>The hand-coded speciation was verified against PHREEQC version 3 at three equilibrium points, with the formation constants for the metals and for the calcium, magnesium and sodium complexes all supplied so that only the activity model and the solver differ; the two agree to 0.06 log units in free-metal activity, 0.07 in free calcium activity and 0.07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p>
      <w:r>
        <w:t xml:space="preserve">Zachara, J. M., Cowan, C. E., &amp; Resch, C. T. (1991). Sorption of divalent metals on calcite. </w:t>
      </w:r>
      <w:r>
        <w:rPr>
          <w:i/>
        </w:rPr>
        <w:t>Geochimica et Cosmochimica Acta, 55</w:t>
      </w:r>
      <w:r>
        <w:t>(6), 1549–1562. https://doi.org/10.1016/0016-7037(91)90126-Q</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