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jc w:val="center"/>
        <w:rPr>
          <w:sz w:val="60"/>
          <w:szCs w:val="60"/>
        </w:rPr>
      </w:pPr>
      <w:bookmarkStart w:colFirst="0" w:colLast="0" w:name="_srsc15aii8i0" w:id="0"/>
      <w:bookmarkEnd w:id="0"/>
      <w:r w:rsidDel="00000000" w:rsidR="00000000" w:rsidRPr="00000000">
        <w:rPr>
          <w:color w:val="143875"/>
          <w:sz w:val="60"/>
          <w:szCs w:val="60"/>
          <w:rtl w:val="0"/>
        </w:rPr>
        <w:t xml:space="preserve">Dictionnaire des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81.929133858267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7320"/>
        <w:tblGridChange w:id="0">
          <w:tblGrid>
            <w:gridCol w:w="2850"/>
            <w:gridCol w:w="7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 de l’évènement (YYYY-MM-DD)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 de l’évènement (YYYY-MM-DD HH-MM-SS)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Event_auction_id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Identifiant de la bid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de l'événement 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0"/>
                <w:szCs w:val="20"/>
                <w:rtl w:val="0"/>
              </w:rPr>
              <w:t xml:space="preserve">Values: bid, win, complete, click...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Event_exchange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 du SSP 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0"/>
                <w:szCs w:val="20"/>
                <w:rtl w:val="0"/>
              </w:rPr>
              <w:t xml:space="preserve">Values: doubleclick, mopub, inneractive...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Event_app_or_site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Impression faite sur un site web ou une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Event_app_site_name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 de l’app ou du site sur lequel la pub a été vue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 de la ville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Code pays (ISO 3166, alpha 3) 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0"/>
                <w:szCs w:val="20"/>
                <w:rtl w:val="0"/>
              </w:rPr>
              <w:t xml:space="preserve">Values: FRA, USA,...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Event_has_gps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Boolean TRUE/FALSE si Géoloc activé ou non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Event_creative_size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Dimensions de la publicité affichée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Event_device_type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d’appareil - Values : {1,...,7} (voir OpenRTB)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Event_device_language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Langue de l’appareil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de système d’exploitation - Values : iOS, Android...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Event_os_version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Version de l’OS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Event_connection_type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de connexion - Values : {1,...,6} (voir OpenRTB)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Event_device_model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Modèle de l’appareil - Values : iPhone, Samsung Galaxy...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Event_device_make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Constructeur de l’appareil - Values : Apple, Samsung...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Event_has_ifa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Boolean TRUE/FALSE pour la présence de l’IFA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win_price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Prix pour lequel l’enchère a été remportée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win_price_loc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Prix pour lequel l’enchère a été remportée en devise locale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Event_ias_cpm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CPM pour 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Coordonnées GPS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Coordonnées GPS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Event_hash_ifa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Anonymisation de l’IFA (Identifier for Advertisers)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Event_hash_ip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Anonymisation de l’adresse IP de l’appareil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Event_media_type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de la publicité - Values : banner, video...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Event_bidder_name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Nom du cluster Tabmo (albatros, canary ou butor)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Event_site_or_app_categories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Catégories de l’app ou du site sur lequel la pub est diffusée (voir openRTB)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Event_zip_code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Code postal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Event_imp_multiplier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Si on affiche une pub sur un panneau dans un centre commercial dans une heure à forte affluence, le multiplier augmente. En général il vaut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Advertiser_id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l’annonceur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Creative_type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Type de la publicité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Creative_size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Taille de la publicité (idem que event_creative_size)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Line_id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de la ligne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Schedule_start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 programmée du début de la campagne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Schedule_end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 programmée de la fin de la campagne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Line_updated_at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 de la dernière mise à jour de la ligne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Mediaplan_daily_budget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Budget journalier pour un mediaplan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Mediaplan_id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 du mediaplan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Mediaplan_currency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Monnaie dans laquelle ont lieu les enchères du mediaplan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Deal_cpm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CPM du deal qu'on utilise au niveau de la campagne ou de la ligne (prix défini à l’avance et l’enchère n’est pas ouverte à tout le monde)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Event_hash_geo_name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Adresse anonymisée de la localisation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Hash_deal_identifier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Identifiant du deal (enchère fermée)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0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Event_hash_branding_to_store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Données Adsquare sur la feature branding-to-store (après avoir vu la pub, l’user va dans le magasin)</w:t>
            </w:r>
          </w:p>
        </w:tc>
      </w:tr>
    </w:tbl>
    <w:p w:rsidR="00000000" w:rsidDel="00000000" w:rsidP="00000000" w:rsidRDefault="00000000" w:rsidRPr="00000000" w14:paraId="0000005E">
      <w:pPr>
        <w:spacing w:line="3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1744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5753100</wp:posOffset>
            </wp:positionH>
            <wp:positionV relativeFrom="paragraph">
              <wp:posOffset>8346900</wp:posOffset>
            </wp:positionV>
            <wp:extent cx="476250" cy="4762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>
          <w:color w:val="ff1744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7osxaecoxgky" w:id="1"/>
      <w:bookmarkEnd w:id="1"/>
      <w:r w:rsidDel="00000000" w:rsidR="00000000" w:rsidRPr="00000000">
        <w:rPr>
          <w:rtl w:val="0"/>
        </w:rPr>
        <w:t xml:space="preserve">Description des types d’évènements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win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 : lorsque la pub est affichée sur l'app ou site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click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 : lorsque la pub est cliquée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firstQuartile, midpoint, ThirdQuartile, complete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 : concerne les pubs vidéos, visionnage au premier quart, moitié, 3/4, entier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sspwin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 : lorsqu'une pub a remporté l'enchère et qu'elle est censée être affichée mais pour x raisons, elle n'a pas pu l'être (bug d'affichage, cache..)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 : concerne les pubs vidéos, lorsque la vidéo démarre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pause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 : concerne les pubs vidéos, lorsque la video est mise en pause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mute/unmute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 : concernce les pubs vidéos, lorsque la video est mutée et inversement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3"/>
          <w:szCs w:val="23"/>
          <w:shd w:fill="f8f8f8" w:val="clear"/>
          <w:rtl w:val="0"/>
        </w:rPr>
        <w:t xml:space="preserve">Go2Map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 : lorsque la personne clique sur la pub et que cela l'envoie vers google maps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0" w:top="1440.0000000000002" w:left="873.0708661417325" w:right="873.070866141732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Rubik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color w:val="143875"/>
        <w:sz w:val="16"/>
        <w:szCs w:val="16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ab/>
    </w:r>
    <w:r w:rsidDel="00000000" w:rsidR="00000000" w:rsidRPr="00000000">
      <w:rPr>
        <w:color w:val="143875"/>
        <w:sz w:val="16"/>
        <w:szCs w:val="16"/>
        <w:rtl w:val="0"/>
      </w:rPr>
      <w:t xml:space="preserve">Document confidentiel – Ne pas diffuser sans autorisation  – © Tabmo 2018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-616311</wp:posOffset>
          </wp:positionH>
          <wp:positionV relativeFrom="paragraph">
            <wp:posOffset>238125</wp:posOffset>
          </wp:positionV>
          <wp:extent cx="7626713" cy="190500"/>
          <wp:effectExtent b="0" l="0" r="0" t="0"/>
          <wp:wrapTopAndBottom distB="0" dist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6713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lef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ind w:left="0" w:firstLine="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ind w:lef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ind w:lef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ind w:left="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1966913" cy="1305524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6913" cy="13055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ubik" w:cs="Rubik" w:eastAsia="Rubik" w:hAnsi="Rubik"/>
        <w:sz w:val="21"/>
        <w:szCs w:val="21"/>
        <w:highlight w:val="white"/>
        <w:lang w:val="fr"/>
      </w:rPr>
    </w:rPrDefault>
    <w:pPrDefault>
      <w:pPr>
        <w:spacing w:line="360" w:lineRule="auto"/>
        <w:ind w:left="-18.070866141732438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14387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438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ffffff"/>
      <w:sz w:val="22"/>
      <w:szCs w:val="22"/>
      <w:shd w:fill="ff1744" w:val="clear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color w:val="143875"/>
      <w:sz w:val="20"/>
      <w:szCs w:val="20"/>
      <w:shd w:fill="auto" w:val="clear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rFonts w:ascii="Rubik" w:cs="Rubik" w:eastAsia="Rubik" w:hAnsi="Rubik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Rubik Light" w:cs="Rubik Light" w:eastAsia="Rubik Light" w:hAnsi="Rubik Light"/>
      <w:color w:val="ff1744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Light-regular.ttf"/><Relationship Id="rId2" Type="http://schemas.openxmlformats.org/officeDocument/2006/relationships/font" Target="fonts/RubikLight-bold.ttf"/><Relationship Id="rId3" Type="http://schemas.openxmlformats.org/officeDocument/2006/relationships/font" Target="fonts/RubikLight-italic.ttf"/><Relationship Id="rId4" Type="http://schemas.openxmlformats.org/officeDocument/2006/relationships/font" Target="fonts/RubikLight-boldItalic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