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1AF83" w14:textId="77777777" w:rsidR="00E843DA" w:rsidRDefault="00000000">
      <w:pPr>
        <w:spacing w:after="240"/>
        <w:jc w:val="center"/>
      </w:pPr>
      <w:r>
        <w:rPr>
          <w:sz w:val="48"/>
          <w:szCs w:val="48"/>
        </w:rPr>
        <w:t>Distributed Volatility Forecasting for the Egyptian Stock Exchange Using Apache Spark</w:t>
      </w:r>
    </w:p>
    <w:p w14:paraId="2B7B8D47" w14:textId="754A3158" w:rsidR="004854CE" w:rsidRPr="000D32EB" w:rsidRDefault="000D32EB">
      <w:pPr>
        <w:spacing w:after="40"/>
        <w:jc w:val="center"/>
      </w:pPr>
      <w:r w:rsidRPr="000D32EB">
        <w:t>Marwan Ghazal, Omar Amin, Abdulmonem Demerdash</w:t>
      </w:r>
    </w:p>
    <w:p w14:paraId="3272416F" w14:textId="24E6208D" w:rsidR="00E843DA" w:rsidRDefault="00000000">
      <w:pPr>
        <w:spacing w:after="40"/>
        <w:jc w:val="center"/>
      </w:pPr>
      <w:r>
        <w:rPr>
          <w:i/>
          <w:iCs/>
        </w:rPr>
        <w:t>School of Information Technology and Computer Science (ITCS), Nile University, Giza, Egypt</w:t>
      </w:r>
    </w:p>
    <w:p w14:paraId="64451F61" w14:textId="07344CD8" w:rsidR="00E843DA" w:rsidRDefault="00000000">
      <w:pPr>
        <w:spacing w:after="240"/>
        <w:jc w:val="center"/>
      </w:pPr>
      <w:r>
        <w:rPr>
          <w:i/>
          <w:iCs/>
        </w:rPr>
        <w:t>{</w:t>
      </w:r>
      <w:r w:rsidR="000D32EB">
        <w:rPr>
          <w:i/>
          <w:iCs/>
        </w:rPr>
        <w:t>M.Mohamed2365, O.Amin2373, A.Demerdash2314</w:t>
      </w:r>
      <w:r>
        <w:rPr>
          <w:i/>
          <w:iCs/>
        </w:rPr>
        <w:t>}@nu.edu.eg</w:t>
      </w:r>
    </w:p>
    <w:p w14:paraId="4AD1C732" w14:textId="77777777" w:rsidR="00E843DA" w:rsidRDefault="00E843DA">
      <w:pPr>
        <w:sectPr w:rsidR="00E843DA">
          <w:pgSz w:w="12240" w:h="15840"/>
          <w:pgMar w:top="1080" w:right="900" w:bottom="1440" w:left="900" w:header="708" w:footer="708" w:gutter="0"/>
          <w:cols w:space="720"/>
          <w:docGrid w:linePitch="360"/>
        </w:sectPr>
      </w:pPr>
    </w:p>
    <w:p w14:paraId="6CD3A5C6" w14:textId="77777777" w:rsidR="00E843DA" w:rsidRDefault="00000000">
      <w:pPr>
        <w:spacing w:after="100"/>
        <w:jc w:val="both"/>
      </w:pPr>
      <w:r>
        <w:rPr>
          <w:b/>
          <w:bCs/>
          <w:i/>
          <w:iCs/>
        </w:rPr>
        <w:lastRenderedPageBreak/>
        <w:t>Abstract—</w:t>
      </w:r>
      <w:r>
        <w:rPr>
          <w:i/>
          <w:iCs/>
        </w:rPr>
        <w:t>This paper presents a distributed volatility forecasting pipeline for the Egyptian Stock Exchange (EGX) using Apache Spark. While volatility forecasting is well-studied in developed markets, emerging African markets remain underrepresented in the literature, particularly the EGX, which has experienced multiple currency-devaluation events that introduce structural shifts in equity risk regimes. The proposed pipeline ingests sixteen years of daily historical data covering thirty-three EGX-listed equities, three market indices, and three macroeconomic series sourced from public financial data providers, producing approximately three million observations after feature engineering. A Spark-based machine learning pipeline engineers a unified feature panel including lagged volatilities, cross-asset interactions, and calendar effects, then trains and evaluates three regression models (linear baseline, random forest, and gradient-boosted trees) for next-five-day realized volatility prediction. Performance is measured against a naive twenty-day persistence baseline using out-of-sample data from 2024 onward, with a target reduction of at least twenty percent in root-mean-square error. The contribution lies in the focus on an understudied emerging market, the explicit modeling of Egypt-specific macroeconomic covariates, and a distributed compute architecture suitable for operational deployment at scale.</w:t>
      </w:r>
    </w:p>
    <w:p w14:paraId="0E8B8A41" w14:textId="77777777" w:rsidR="00E843DA" w:rsidRDefault="00000000">
      <w:pPr>
        <w:spacing w:after="200"/>
        <w:jc w:val="both"/>
      </w:pPr>
      <w:r>
        <w:rPr>
          <w:b/>
          <w:bCs/>
          <w:i/>
          <w:iCs/>
        </w:rPr>
        <w:t>Index Terms—</w:t>
      </w:r>
      <w:r>
        <w:rPr>
          <w:i/>
          <w:iCs/>
        </w:rPr>
        <w:t>Big Data, Apache Spark, Volatility Forecasting, Emerging Markets, Egyptian Stock Exchange, MLlib, Time Series Analysis, Financial Machine Learning.</w:t>
      </w:r>
    </w:p>
    <w:p w14:paraId="1A4393B1" w14:textId="77777777" w:rsidR="00E843DA" w:rsidRDefault="00000000">
      <w:pPr>
        <w:spacing w:before="200" w:after="120"/>
        <w:jc w:val="center"/>
      </w:pPr>
      <w:r>
        <w:rPr>
          <w:b/>
          <w:bCs/>
          <w:caps/>
        </w:rPr>
        <w:t>I.  Introduction</w:t>
      </w:r>
    </w:p>
    <w:p w14:paraId="2D85A9FF" w14:textId="77777777" w:rsidR="00E843DA" w:rsidRDefault="00000000">
      <w:pPr>
        <w:spacing w:after="100"/>
        <w:ind w:firstLine="220"/>
        <w:jc w:val="both"/>
      </w:pPr>
      <w:r>
        <w:t>Equity volatility forecasting is a cornerstone problem in quantitative finance with direct applications to risk management, derivative pricing, position sizing, and portfolio construction. Unlike directional price prediction, where the efficient market hypothesis imposes a near-random-walk ceiling on accuracy, volatility exhibits well-documented temporal clustering: calm periods tend to follow calm periods and turbulent periods tend to follow turbulent periods. This statistical regularity has supported five decades of academic and industry research, beginning with the autoregressive conditional heteroscedasticity (ARCH) model introduced by Engle [1] and extended by Bollerslev [2] into the GARCH family that remains the econometric standard. More recent work has extended these ideas with machine learning methods that can capture non-linearities and cross-asset interactions beyond the reach of classical parametric models.</w:t>
      </w:r>
    </w:p>
    <w:p w14:paraId="7BD7540E" w14:textId="77777777" w:rsidR="00E843DA" w:rsidRDefault="00000000">
      <w:pPr>
        <w:spacing w:after="100"/>
        <w:ind w:firstLine="220"/>
        <w:jc w:val="both"/>
      </w:pPr>
      <w:r>
        <w:t xml:space="preserve">Despite the maturity of this research area, the published literature is heavily skewed toward developed markets such as the United States, Western Europe, and Japan, with comparatively little coverage of emerging African markets in general and the Egyptian Stock Exchange in particular. The EGX </w:t>
      </w:r>
      <w:r>
        <w:t>presents a distinctive research opportunity for several reasons. It is one of the largest African exchanges by market capitalization, with active trading across more than two hundred listed companies. The Egyptian economy has experienced multiple currency-devaluation events over the past decade, in 2016, 2022, and 2024, each producing a structural shift in equity volatility regimes that complicates traditional time-series modeling. The exchange also offers well-documented liquidity, sectoral diversity, and a sufficiently long history (more than fifteen years of clean daily data) to support rigorous out-of-sample evaluation.</w:t>
      </w:r>
    </w:p>
    <w:p w14:paraId="0EC094AD" w14:textId="77777777" w:rsidR="00E843DA" w:rsidRDefault="00000000">
      <w:pPr>
        <w:spacing w:after="100"/>
        <w:ind w:firstLine="220"/>
        <w:jc w:val="both"/>
      </w:pPr>
      <w:r>
        <w:t>This project addresses the gap by building a distributed, end-to-end volatility forecasting pipeline for the EGX using Apache Spark [3] and its machine learning library MLlib [4]. The choice of a distributed framework is motivated directly by the analytical scope. The target dataset spans thirty-three individual equities, three market indices, and three macroeconomic series across roughly four thousand trading days, producing approximately three million (asset, date) observations after feature engineering. The feature set requires multiple rolling-window computations (volatility lags at five, ten, twenty, and sixty-day horizons), cross-asset joins (USD/EGP and Brent volatility merged into each stock’s panel), and partition-aware operations (per-sector aggregations) that scale poorly on single-machine pandas pipelines but map naturally onto Spark’s DataFrame and Window APIs. The pipeline is designed to scale linearly with additional tickers, longer histories, or finer time resolutions, providing a practical foundation for production use beyond the scope of this academic project.</w:t>
      </w:r>
    </w:p>
    <w:p w14:paraId="0D14606E" w14:textId="77777777" w:rsidR="00E843DA" w:rsidRDefault="00000000">
      <w:pPr>
        <w:spacing w:after="100"/>
        <w:ind w:firstLine="220"/>
        <w:jc w:val="both"/>
      </w:pPr>
      <w:r>
        <w:t>The objective of this work is framed using the SMART criterion. Specific: forecast next-five-day realized volatility for thirty-three EGX-listed equities using a Spark machine-learning pipeline that compares a linear baseline, a random forest, and a gradient-boosted tree regressor. Measurable: achieve at least a twenty percent reduction in root-mean-square error relative to a naive twenty-day historical persistence baseline on the out-of-sample test period from January 2024 through May 2026, with secondary criteria including mean absolute error, out-of-sample coefficient of determination, and per-sector error breakdowns. Achievable: the pipeline is implemented entirely in open-source tooling (Apache Spark, PySpark, MLlib) running in local mode on a single multi-core workstation, with a dataset of approximately one gigabyte after feature engineering. Relevant: the per-stock, per-day volatility forecasts produced by the pipeline are directly usable for risk-aware portfolio construction, options pricing, and dynamic position sizing in EGX-focused investment strategies. Time-bound: the deliverables follow the three project phases, concluding with a final IEEE-</w:t>
      </w:r>
      <w:r>
        <w:lastRenderedPageBreak/>
        <w:t>format paper and an open-source GitHub repository at the end of the semester.</w:t>
      </w:r>
    </w:p>
    <w:p w14:paraId="61C41C8C" w14:textId="77777777" w:rsidR="00E843DA" w:rsidRDefault="00000000">
      <w:pPr>
        <w:spacing w:after="100"/>
        <w:ind w:firstLine="220"/>
        <w:jc w:val="both"/>
      </w:pPr>
      <w:r>
        <w:t>The dataset is sourced entirely from Investing.com’s public historical data export and consists of thirty-eight CSV files spanning January 2010 through May 2026. The files are organized into four logical groups: three market indices (EGX 30, EGX 70 EWI, EGX 100 EWI), thirty-three individual equities covering seven sectors (banking, telecommunications, real estate, industrials, consumer goods, energy and materials, and tourism and healthcare), two macroeconomic series (USD/EGP exchange rate and Brent crude oil), and one international benchmark (the iShares MSCI Emerging Markets ETF). Each file contains daily observations with a uniform schema (Date, Price, Open, High, Low, Volume, Change Percent), simplifying ingestion and downstream feature engineering. Detailed dataset description, preprocessing requirements, and the data lifecycle are presented in Section III.</w:t>
      </w:r>
    </w:p>
    <w:p w14:paraId="3B8816BA" w14:textId="77777777" w:rsidR="00E843DA" w:rsidRDefault="00000000">
      <w:pPr>
        <w:spacing w:after="100"/>
        <w:ind w:firstLine="220"/>
        <w:jc w:val="both"/>
      </w:pPr>
      <w:r>
        <w:t>The originality of this work lies in three areas. First, it focuses on a relatively understudied emerging market with unique macroeconomic dynamics, contributing to the small body of academic literature on Egyptian equity risk. Second, it explicitly incorporates Egypt-specific macroeconomic covariates that are known drivers of local equity volatility but are largely absent from forecasting models trained on other markets. Third, it adopts a distributed compute architecture suited to operational deployment, in contrast to the single-machine econometric tooling that dominates existing EGX-focused research.</w:t>
      </w:r>
    </w:p>
    <w:p w14:paraId="6EDCBEAD" w14:textId="77777777" w:rsidR="00E843DA" w:rsidRDefault="00000000">
      <w:pPr>
        <w:spacing w:after="100"/>
        <w:ind w:firstLine="220"/>
        <w:jc w:val="both"/>
      </w:pPr>
      <w:r>
        <w:t>This paper is structured as follows. Section II reviews related work in volatility forecasting, machine learning for financial time series, and distributed computing in finance. Section III describes the proposed system architecture, dataset, preprocessing pipeline, feature engineering, models, and evaluation protocol. Section IV presents experimental results and discussion. Section V summarizes findings, limitations, and directions for future work.</w:t>
      </w:r>
    </w:p>
    <w:p w14:paraId="258BDC46" w14:textId="77777777" w:rsidR="00E843DA" w:rsidRDefault="00000000">
      <w:pPr>
        <w:spacing w:before="200" w:after="120"/>
        <w:jc w:val="center"/>
      </w:pPr>
      <w:r>
        <w:rPr>
          <w:b/>
          <w:bCs/>
          <w:caps/>
        </w:rPr>
        <w:t>II.  Related Work</w:t>
      </w:r>
    </w:p>
    <w:p w14:paraId="018E32CA" w14:textId="77777777" w:rsidR="00E843DA" w:rsidRDefault="00000000">
      <w:pPr>
        <w:spacing w:after="100"/>
        <w:ind w:firstLine="220"/>
        <w:jc w:val="both"/>
      </w:pPr>
      <w:r>
        <w:t>This section reviews prior work in three areas relevant to the project: classical and modern volatility forecasting methods, machine-learning approaches to financial time series, and distributed computing applications in finance. A complete treatment is provided in the Phase 2 deliverable; this section establishes the scope and structure.</w:t>
      </w:r>
    </w:p>
    <w:p w14:paraId="473F1C31" w14:textId="77777777" w:rsidR="00E843DA" w:rsidRDefault="00000000">
      <w:pPr>
        <w:spacing w:before="140" w:after="80"/>
      </w:pPr>
      <w:r>
        <w:rPr>
          <w:i/>
          <w:iCs/>
        </w:rPr>
        <w:t>A.  Classical Volatility Forecasting Models</w:t>
      </w:r>
    </w:p>
    <w:p w14:paraId="5B294F1B" w14:textId="77777777" w:rsidR="00E843DA" w:rsidRDefault="00000000">
      <w:pPr>
        <w:spacing w:after="100"/>
        <w:ind w:firstLine="220"/>
        <w:jc w:val="both"/>
      </w:pPr>
      <w:r>
        <w:t xml:space="preserve">The econometric foundation for volatility forecasting begins with the ARCH model of Engle [1] and the GARCH extension of Bollerslev [2], with subsequent variants (EGARCH, GJR-GARCH, and stochastic volatility models) addressing leverage effects, asymmetric responses, and latent state </w:t>
      </w:r>
      <w:r>
        <w:t>dynamics. Andersen and Bollerslev [5] established realized volatility as a model-free benchmark that closely tracks integrated variance and serves as the standard target variable in the modern literature.</w:t>
      </w:r>
    </w:p>
    <w:p w14:paraId="5ACC92CD" w14:textId="77777777" w:rsidR="00E843DA" w:rsidRDefault="00000000">
      <w:pPr>
        <w:spacing w:before="140" w:after="80"/>
      </w:pPr>
      <w:r>
        <w:rPr>
          <w:i/>
          <w:iCs/>
        </w:rPr>
        <w:t>B.  Machine Learning for Financial Time Series</w:t>
      </w:r>
    </w:p>
    <w:p w14:paraId="7528B410" w14:textId="77777777" w:rsidR="00E843DA" w:rsidRDefault="00000000">
      <w:pPr>
        <w:spacing w:after="100"/>
        <w:ind w:firstLine="220"/>
        <w:jc w:val="both"/>
      </w:pPr>
      <w:r>
        <w:t>More recent work applies tree-based ensembles, neural networks, and hybrid models to volatility and return forecasting, often outperforming classical GARCH-family models on emerging-market and high-dimensional data. This subsection will cover recent ML-based volatility forecasting work to be reviewed in Phase 2.</w:t>
      </w:r>
    </w:p>
    <w:p w14:paraId="3590B1BD" w14:textId="77777777" w:rsidR="00E843DA" w:rsidRDefault="00000000">
      <w:pPr>
        <w:spacing w:before="140" w:after="80"/>
      </w:pPr>
      <w:r>
        <w:rPr>
          <w:i/>
          <w:iCs/>
        </w:rPr>
        <w:t>C.  Distributed Computing in Finance</w:t>
      </w:r>
    </w:p>
    <w:p w14:paraId="0AFF771B" w14:textId="77777777" w:rsidR="00E843DA" w:rsidRDefault="00000000">
      <w:pPr>
        <w:spacing w:after="100"/>
        <w:ind w:firstLine="220"/>
        <w:jc w:val="both"/>
      </w:pPr>
      <w:r>
        <w:t>Apache Spark [3] and its machine learning library MLlib [4] have emerged as standard tools for large-scale financial data processing, supporting feature engineering, model training, and inference at scales beyond what single-machine tooling can handle. Prior applications include credit risk modeling, fraud detection, and large-scale portfolio analytics. This subsection will be expanded in Phase 2 with applications specifically relevant to volatility forecasting and emerging-market analysis.</w:t>
      </w:r>
    </w:p>
    <w:p w14:paraId="0588F950" w14:textId="77777777" w:rsidR="00E843DA" w:rsidRDefault="00000000">
      <w:pPr>
        <w:spacing w:before="200" w:after="120"/>
        <w:jc w:val="center"/>
      </w:pPr>
      <w:r>
        <w:rPr>
          <w:b/>
          <w:bCs/>
          <w:caps/>
        </w:rPr>
        <w:t>III.  Methodology</w:t>
      </w:r>
    </w:p>
    <w:p w14:paraId="72D135DF" w14:textId="77777777" w:rsidR="00E843DA" w:rsidRDefault="00000000">
      <w:pPr>
        <w:spacing w:after="100"/>
        <w:ind w:firstLine="220"/>
        <w:jc w:val="both"/>
      </w:pPr>
      <w:r>
        <w:t>This section describes the system architecture, dataset, preprocessing pipeline, feature engineering, models, and evaluation protocol. Detailed content will be developed in the Phase 2 deliverable; the present version establishes the planned structure.</w:t>
      </w:r>
    </w:p>
    <w:p w14:paraId="5F0C949C" w14:textId="77777777" w:rsidR="00E843DA" w:rsidRDefault="00000000">
      <w:pPr>
        <w:spacing w:before="140" w:after="80"/>
      </w:pPr>
      <w:r>
        <w:rPr>
          <w:i/>
          <w:iCs/>
        </w:rPr>
        <w:t>A.  Proposed Architecture</w:t>
      </w:r>
    </w:p>
    <w:p w14:paraId="00AE1465" w14:textId="77777777" w:rsidR="00E843DA" w:rsidRDefault="00000000">
      <w:pPr>
        <w:spacing w:after="100"/>
        <w:ind w:firstLine="220"/>
        <w:jc w:val="both"/>
      </w:pPr>
      <w:r>
        <w:t>The system follows a four-stage pipeline: (i) ingestion of raw CSV files into a Spark DataFrame, (ii) parsing and normalization of date, price, and volume fields, (iii) feature engineering through Spark Window functions and cross-asset joins, and (iv) model training and evaluation via Spark MLlib. A complete architecture diagram (Fig. 1) and discussion of design choices will be provided in Phase 2.</w:t>
      </w:r>
    </w:p>
    <w:p w14:paraId="31511380" w14:textId="77777777" w:rsidR="00E843DA" w:rsidRDefault="00000000">
      <w:pPr>
        <w:spacing w:before="140" w:after="80"/>
      </w:pPr>
      <w:r>
        <w:rPr>
          <w:i/>
          <w:iCs/>
        </w:rPr>
        <w:t>B.  Dataset</w:t>
      </w:r>
    </w:p>
    <w:p w14:paraId="0E65E0CF" w14:textId="77777777" w:rsidR="00E843DA" w:rsidRDefault="00000000">
      <w:pPr>
        <w:spacing w:after="100"/>
        <w:ind w:firstLine="220"/>
        <w:jc w:val="both"/>
      </w:pPr>
      <w:r>
        <w:t>As introduced in Section I, the dataset consists of thirty-eight daily-resolution CSV files from Investing.com covering January 2010 through May 2026. The data is organized into market indices (3 files), individual equities (33 files spanning seven sectors), macroeconomic series (USD/EGP, Brent oil), and an international benchmark (MSCI EM ETF). Raw size is approximately fifty to one hundred megabytes; after feature engineering the unified panel is expected to reach approximately one gigabyte. Full per-file metadata, sector classification, and data quality notes will be tabulated in Phase 2.</w:t>
      </w:r>
    </w:p>
    <w:p w14:paraId="756E12DD" w14:textId="77777777" w:rsidR="00E843DA" w:rsidRDefault="00000000">
      <w:pPr>
        <w:spacing w:before="140" w:after="80"/>
      </w:pPr>
      <w:r>
        <w:rPr>
          <w:i/>
          <w:iCs/>
        </w:rPr>
        <w:t>C.  Data Preprocessing</w:t>
      </w:r>
    </w:p>
    <w:p w14:paraId="1AD6B08B" w14:textId="77777777" w:rsidR="00E843DA" w:rsidRDefault="00000000">
      <w:pPr>
        <w:spacing w:after="100"/>
        <w:ind w:firstLine="220"/>
        <w:jc w:val="both"/>
      </w:pPr>
      <w:r>
        <w:t xml:space="preserve">Required preprocessing operations include (i) parsing dates from US format (MM/DD/YYYY) into </w:t>
      </w:r>
      <w:r>
        <w:lastRenderedPageBreak/>
        <w:t>ISO date objects, (ii) numeric parsing of price columns containing comma thousand separators, (iii) expansion of volume suffixes (K, M, B) into raw integers, (iv) percent-sign removal in the Change Percent column, (v) handling of trading halts including the approximately two-month closure of the EGX in early 2011, and (vi) conversion to log-returns space to eliminate level effects from the 2016, 2022, and 2024 currency devaluations. Implementation details and quality assurance steps will be presented in Phase 3.</w:t>
      </w:r>
    </w:p>
    <w:p w14:paraId="393F974B" w14:textId="77777777" w:rsidR="00E843DA" w:rsidRDefault="00000000">
      <w:pPr>
        <w:spacing w:before="140" w:after="80"/>
      </w:pPr>
      <w:r>
        <w:rPr>
          <w:i/>
          <w:iCs/>
        </w:rPr>
        <w:t>D.  Feature Engineering</w:t>
      </w:r>
    </w:p>
    <w:p w14:paraId="579BE712" w14:textId="77777777" w:rsidR="00E843DA" w:rsidRDefault="00000000">
      <w:pPr>
        <w:spacing w:after="100"/>
        <w:ind w:firstLine="220"/>
        <w:jc w:val="both"/>
      </w:pPr>
      <w:r>
        <w:t>The feature panel is built using Spark Window functions partitioned by stock and ordered by date. Planned features include lagged realized volatility at five, ten, twenty, and sixty-day horizons; lagged log-returns over multiple windows; volume-relative-to-rolling-mean indicators; high-low range statistics; cross-asset volatility from USD/EGP, Brent crude, and the EM benchmark; sector-level aggregate volatility; and calendar features (day of week, month-end indicators, Ramadan period flag). The complete feature catalog with formal definitions will be presented in Phase 3.</w:t>
      </w:r>
    </w:p>
    <w:p w14:paraId="12FC7AAE" w14:textId="77777777" w:rsidR="00E843DA" w:rsidRDefault="00000000">
      <w:pPr>
        <w:spacing w:before="140" w:after="80"/>
      </w:pPr>
      <w:r>
        <w:rPr>
          <w:i/>
          <w:iCs/>
        </w:rPr>
        <w:t>E.  Models</w:t>
      </w:r>
    </w:p>
    <w:p w14:paraId="7AFB1037" w14:textId="77777777" w:rsidR="00E843DA" w:rsidRDefault="00000000">
      <w:pPr>
        <w:spacing w:after="100"/>
        <w:ind w:firstLine="220"/>
        <w:jc w:val="both"/>
      </w:pPr>
      <w:r>
        <w:t>Three regression models are trained and compared using Spark MLlib: a linear regression baseline, a random forest regressor, and a gradient-boosted tree regressor. All three operate on the same engineered feature panel and target variable (next-five-day realized volatility). Hyperparameter selection is performed via time-aware cross-validation. Detailed model configurations, training procedures, and computational profiling will be reported in Phase 3.</w:t>
      </w:r>
    </w:p>
    <w:p w14:paraId="0CAA183A" w14:textId="77777777" w:rsidR="00E843DA" w:rsidRDefault="00000000">
      <w:pPr>
        <w:spacing w:before="140" w:after="80"/>
      </w:pPr>
      <w:r>
        <w:rPr>
          <w:i/>
          <w:iCs/>
        </w:rPr>
        <w:t>F.  Evaluation Protocol</w:t>
      </w:r>
    </w:p>
    <w:p w14:paraId="7470217D" w14:textId="77777777" w:rsidR="00E843DA" w:rsidRDefault="00000000">
      <w:pPr>
        <w:spacing w:after="100"/>
        <w:ind w:firstLine="220"/>
        <w:jc w:val="both"/>
      </w:pPr>
      <w:r>
        <w:t>Evaluation uses a strict time-based train/test split: training data covers January 2010 through December 2023, test data covers January 2024 through May 2026. The primary metric is root-mean-square error against realized five-day volatility. Secondary metrics include mean absolute error, out-of-sample coefficient of determination, and per-sector error breakdowns. The naive baseline is twenty-day historical persistence (using the trailing twenty-day realized volatility as the forecast). The success criterion is at least a twenty-percent RMSE reduction over this baseline.</w:t>
      </w:r>
    </w:p>
    <w:p w14:paraId="0CC1B000" w14:textId="77777777" w:rsidR="00E843DA" w:rsidRDefault="00000000">
      <w:pPr>
        <w:spacing w:before="200" w:after="120"/>
        <w:jc w:val="center"/>
      </w:pPr>
      <w:r>
        <w:rPr>
          <w:b/>
          <w:bCs/>
          <w:caps/>
        </w:rPr>
        <w:t>IV.  Results and Discussion</w:t>
      </w:r>
    </w:p>
    <w:p w14:paraId="7D899F93" w14:textId="77777777" w:rsidR="00E843DA" w:rsidRDefault="00000000">
      <w:pPr>
        <w:spacing w:after="100"/>
        <w:ind w:firstLine="220"/>
        <w:jc w:val="both"/>
      </w:pPr>
      <w:r>
        <w:t>This section will present the experimental results of the volatility forecasting pipeline, including model comparisons, per-sector performance breakdowns, error analysis around macroeconomic events, and discussion of practical implications. Content will be developed in the Phase 3 deliverable after model training is complete.</w:t>
      </w:r>
    </w:p>
    <w:p w14:paraId="23BBD7B8" w14:textId="77777777" w:rsidR="00E843DA" w:rsidRDefault="00000000">
      <w:pPr>
        <w:spacing w:before="200" w:after="120"/>
        <w:jc w:val="center"/>
      </w:pPr>
      <w:r>
        <w:rPr>
          <w:b/>
          <w:bCs/>
          <w:caps/>
        </w:rPr>
        <w:t>V.  Conclusion</w:t>
      </w:r>
    </w:p>
    <w:p w14:paraId="784F777F" w14:textId="77777777" w:rsidR="00E843DA" w:rsidRDefault="00000000">
      <w:pPr>
        <w:spacing w:after="100"/>
        <w:ind w:firstLine="220"/>
        <w:jc w:val="both"/>
      </w:pPr>
      <w:r>
        <w:t>This section will summarize the findings of the project, discuss limitations of the approach, identify directions for future work (such as intraday data, additional emerging markets, and graph-based feature representations), and reflect on the contribution to the academic and practitioner communities. Content will be developed in the Phase 3 deliverable.</w:t>
      </w:r>
    </w:p>
    <w:p w14:paraId="1BA8322F" w14:textId="77777777" w:rsidR="00E843DA" w:rsidRDefault="00000000">
      <w:pPr>
        <w:spacing w:before="200" w:after="120"/>
        <w:jc w:val="center"/>
      </w:pPr>
      <w:r>
        <w:rPr>
          <w:b/>
          <w:bCs/>
          <w:caps/>
        </w:rPr>
        <w:t>References</w:t>
      </w:r>
    </w:p>
    <w:p w14:paraId="1E99F00C" w14:textId="77777777" w:rsidR="00E843DA" w:rsidRDefault="00000000">
      <w:pPr>
        <w:spacing w:after="60" w:line="220" w:lineRule="auto"/>
        <w:ind w:left="220" w:hanging="220"/>
        <w:jc w:val="both"/>
      </w:pPr>
      <w:r>
        <w:t>[1] R. F. Engle, “Autoregressive conditional heteroscedasticity with estimates of the variance of United Kingdom inflation,” Econometrica, vol. 50, no. 4, pp. 987–1007, 1982.</w:t>
      </w:r>
    </w:p>
    <w:p w14:paraId="129AADF7" w14:textId="77777777" w:rsidR="00E843DA" w:rsidRDefault="00000000">
      <w:pPr>
        <w:spacing w:after="60" w:line="220" w:lineRule="auto"/>
        <w:ind w:left="220" w:hanging="220"/>
        <w:jc w:val="both"/>
      </w:pPr>
      <w:r>
        <w:t>[2] T. Bollerslev, “Generalized autoregressive conditional heteroskedasticity,” Journal of Econometrics, vol. 31, no. 3, pp. 307–327, 1986.</w:t>
      </w:r>
    </w:p>
    <w:p w14:paraId="531099A5" w14:textId="77777777" w:rsidR="00E843DA" w:rsidRDefault="00000000">
      <w:pPr>
        <w:spacing w:after="60" w:line="220" w:lineRule="auto"/>
        <w:ind w:left="220" w:hanging="220"/>
        <w:jc w:val="both"/>
      </w:pPr>
      <w:r>
        <w:t>[3] M. Zaharia et al., “Apache Spark: a unified engine for big data processing,” Communications of the ACM, vol. 59, no. 11, pp. 56–65, 2016.</w:t>
      </w:r>
    </w:p>
    <w:p w14:paraId="3EE342A2" w14:textId="77777777" w:rsidR="00E843DA" w:rsidRDefault="00000000">
      <w:pPr>
        <w:spacing w:after="60" w:line="220" w:lineRule="auto"/>
        <w:ind w:left="220" w:hanging="220"/>
        <w:jc w:val="both"/>
      </w:pPr>
      <w:r>
        <w:t>[4] X. Meng et al., “MLlib: machine learning in Apache Spark,” Journal of Machine Learning Research, vol. 17, no. 34, pp. 1–7, 2016.</w:t>
      </w:r>
    </w:p>
    <w:p w14:paraId="2F8005B6" w14:textId="77777777" w:rsidR="00E843DA" w:rsidRDefault="00000000">
      <w:pPr>
        <w:spacing w:after="60" w:line="220" w:lineRule="auto"/>
        <w:ind w:left="220" w:hanging="220"/>
        <w:jc w:val="both"/>
      </w:pPr>
      <w:r>
        <w:t>[5] T. G. Andersen and T. Bollerslev, “Answering the skeptics: yes, standard volatility models do provide accurate forecasts,” International Economic Review, vol. 39, no. 4, pp. 885–905, 1998.</w:t>
      </w:r>
    </w:p>
    <w:p w14:paraId="5D67EE2F" w14:textId="77777777" w:rsidR="00E843DA" w:rsidRDefault="00000000">
      <w:pPr>
        <w:spacing w:after="60" w:line="220" w:lineRule="auto"/>
        <w:ind w:left="220" w:hanging="220"/>
        <w:jc w:val="both"/>
      </w:pPr>
      <w:r>
        <w:t>[6] R. J. Hyndman and G. Athanasopoulos, Forecasting: Principles and Practice, 3rd ed. OTexts, 2021.</w:t>
      </w:r>
    </w:p>
    <w:sectPr w:rsidR="00E843DA">
      <w:type w:val="continuous"/>
      <w:pgSz w:w="11906" w:h="16838"/>
      <w:pgMar w:top="1440" w:right="1440" w:bottom="1440" w:left="144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730BD8"/>
    <w:multiLevelType w:val="hybridMultilevel"/>
    <w:tmpl w:val="E9529778"/>
    <w:lvl w:ilvl="0" w:tplc="589E083E">
      <w:start w:val="1"/>
      <w:numFmt w:val="bullet"/>
      <w:lvlText w:val="●"/>
      <w:lvlJc w:val="left"/>
      <w:pPr>
        <w:ind w:left="720" w:hanging="360"/>
      </w:pPr>
    </w:lvl>
    <w:lvl w:ilvl="1" w:tplc="8612D406">
      <w:start w:val="1"/>
      <w:numFmt w:val="bullet"/>
      <w:lvlText w:val="○"/>
      <w:lvlJc w:val="left"/>
      <w:pPr>
        <w:ind w:left="1440" w:hanging="360"/>
      </w:pPr>
    </w:lvl>
    <w:lvl w:ilvl="2" w:tplc="A3207DB6">
      <w:start w:val="1"/>
      <w:numFmt w:val="bullet"/>
      <w:lvlText w:val="■"/>
      <w:lvlJc w:val="left"/>
      <w:pPr>
        <w:ind w:left="2160" w:hanging="360"/>
      </w:pPr>
    </w:lvl>
    <w:lvl w:ilvl="3" w:tplc="12989502">
      <w:start w:val="1"/>
      <w:numFmt w:val="bullet"/>
      <w:lvlText w:val="●"/>
      <w:lvlJc w:val="left"/>
      <w:pPr>
        <w:ind w:left="2880" w:hanging="360"/>
      </w:pPr>
    </w:lvl>
    <w:lvl w:ilvl="4" w:tplc="EE8C35E4">
      <w:start w:val="1"/>
      <w:numFmt w:val="bullet"/>
      <w:lvlText w:val="○"/>
      <w:lvlJc w:val="left"/>
      <w:pPr>
        <w:ind w:left="3600" w:hanging="360"/>
      </w:pPr>
    </w:lvl>
    <w:lvl w:ilvl="5" w:tplc="ECFAD95E">
      <w:start w:val="1"/>
      <w:numFmt w:val="bullet"/>
      <w:lvlText w:val="■"/>
      <w:lvlJc w:val="left"/>
      <w:pPr>
        <w:ind w:left="4320" w:hanging="360"/>
      </w:pPr>
    </w:lvl>
    <w:lvl w:ilvl="6" w:tplc="A1888F68">
      <w:start w:val="1"/>
      <w:numFmt w:val="bullet"/>
      <w:lvlText w:val="●"/>
      <w:lvlJc w:val="left"/>
      <w:pPr>
        <w:ind w:left="5040" w:hanging="360"/>
      </w:pPr>
    </w:lvl>
    <w:lvl w:ilvl="7" w:tplc="0C021806">
      <w:start w:val="1"/>
      <w:numFmt w:val="bullet"/>
      <w:lvlText w:val="●"/>
      <w:lvlJc w:val="left"/>
      <w:pPr>
        <w:ind w:left="5760" w:hanging="360"/>
      </w:pPr>
    </w:lvl>
    <w:lvl w:ilvl="8" w:tplc="F4EA40CC">
      <w:start w:val="1"/>
      <w:numFmt w:val="bullet"/>
      <w:lvlText w:val="●"/>
      <w:lvlJc w:val="left"/>
      <w:pPr>
        <w:ind w:left="6480" w:hanging="360"/>
      </w:pPr>
    </w:lvl>
  </w:abstractNum>
  <w:num w:numId="1" w16cid:durableId="495803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3DA"/>
    <w:rsid w:val="000573B0"/>
    <w:rsid w:val="000D32EB"/>
    <w:rsid w:val="004854CE"/>
    <w:rsid w:val="00E843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7910"/>
  <w15:docId w15:val="{86834999-CC7F-4C66-B20C-60913C62F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2246</Words>
  <Characters>12807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EGX Volatility Forecasting - IEEE Format Paper</vt:lpstr>
    </vt:vector>
  </TitlesOfParts>
  <Company/>
  <LinksUpToDate>false</LinksUpToDate>
  <CharactersWithSpaces>15023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EGX Volatility Forecasting - IEEE Format Paper</dc:title>
  <dc:creator>Shehab</dc:creator>
  <cp:lastModifiedBy>Marwan Mohamed Ghazal</cp:lastModifiedBy>
  <cp:revision>2</cp:revision>
  <dcterms:created xsi:type="dcterms:W3CDTF">2026-05-05T12:33:00Z</dcterms:created>
  <dcterms:modified xsi:type="dcterms:W3CDTF">2026-05-15T12:59:00Z</dcterms:modified>
</cp:coreProperties>
</file>