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1500" w:hRule="exact"/>
        </w:trPr>
        <w:tc>
          <w:tcPr>
            <w:tcW w:type="dxa" w:w="9360"/>
            <w:tcBorders>
              <w:top w:val="none" w:color="1E2235" w:sz="0"/>
              <w:left w:val="none" w:color="1E2235" w:sz="0"/>
              <w:bottom w:val="none" w:color="1E2235" w:sz="0"/>
              <w:right w:val="none" w:color="1E2235" w:sz="0"/>
            </w:tcBorders>
            <w:shd w:fill="1E2235" w:val="clear"/>
            <w:tcMar>
              <w:top w:type="dxa" w:w="1200"/>
              <w:left w:type="dxa" w:w="720"/>
              <w:bottom w:type="dxa" w:w="800"/>
              <w:right w:type="dxa" w:w="720"/>
            </w:tcMar>
          </w:tcPr>
          <w:p>
            <w:pPr>
              <w:spacing w:after="200" w:before="0"/>
            </w:pPr>
            <w:r>
              <w:rPr>
                <w:rFonts w:ascii="Arial" w:cs="Arial" w:eastAsia="Arial" w:hAnsi="Arial"/>
                <w:b/>
                <w:bCs/>
                <w:color w:val="1EC99A"/>
                <w:sz w:val="44"/>
                <w:szCs w:val="44"/>
              </w:rPr>
              <w:t xml:space="preserve">Nabadat</w:t>
            </w:r>
            <w:r>
              <w:rPr>
                <w:rFonts w:ascii="Arial" w:cs="Arial" w:eastAsia="Arial" w:hAnsi="Arial"/>
                <w:b/>
                <w:bCs/>
                <w:color w:val="00B4D8"/>
                <w:sz w:val="44"/>
                <w:szCs w:val="44"/>
              </w:rPr>
              <w:t xml:space="preserve">CX</w:t>
            </w:r>
          </w:p>
          <w:p>
            <w:pPr>
              <w:spacing w:after="1200" w:before="0"/>
            </w:pPr>
            <w:r>
              <w:rPr>
                <w:rFonts w:ascii="Arial" w:cs="Arial" w:eastAsia="Arial" w:hAnsi="Arial"/>
                <w:color w:val="B8BFCE"/>
                <w:sz w:val="22"/>
                <w:szCs w:val="22"/>
              </w:rPr>
              <w:t xml:space="preserve">Voice of Customer Platform</w:t>
            </w:r>
          </w:p>
          <w:p>
            <w:pPr>
              <w:spacing w:after="80" w:before="0"/>
            </w:pPr>
            <w:r>
              <w:rPr>
                <w:rFonts w:ascii="Courier New" w:cs="Courier New" w:eastAsia="Courier New" w:hAnsi="Courier New"/>
                <w:b/>
                <w:bCs/>
                <w:color w:val="1EC99A"/>
                <w:sz w:val="22"/>
                <w:szCs w:val="22"/>
              </w:rPr>
              <w:t xml:space="preserve">MODULE  M-10</w:t>
            </w:r>
          </w:p>
          <w:p>
            <w:pPr>
              <w:spacing w:after="60" w:before="0"/>
            </w:pPr>
            <w:r>
              <w:rPr>
                <w:rFonts w:ascii="Arial" w:cs="Arial" w:eastAsia="Arial" w:hAnsi="Arial"/>
                <w:b/>
                <w:bCs/>
                <w:color w:val="FFFFFF"/>
                <w:sz w:val="56"/>
                <w:szCs w:val="56"/>
              </w:rPr>
              <w:t xml:space="preserve">User and Role Management</w:t>
            </w:r>
          </w:p>
          <w:p>
            <w:pPr>
              <w:spacing w:after="800" w:before="0"/>
            </w:pPr>
            <w:r>
              <w:rPr>
                <w:rFonts w:ascii="Arial" w:cs="Arial" w:eastAsia="Arial" w:hAnsi="Arial"/>
                <w:color w:val="00B4D8"/>
                <w:sz w:val="28"/>
                <w:szCs w:val="28"/>
              </w:rPr>
              <w:t xml:space="preserve">Pre-Spec Functional Requirements</w:t>
            </w:r>
          </w:p>
          <w:p>
            <w:pPr>
              <w:pBdr>
                <w:bottom w:val="single" w:color="1EC99A" w:sz="18" w:space="1"/>
              </w:pBdr>
              <w:spacing w:after="600" w:before="0"/>
            </w:pPr>
            <w:r>
              <w:t xml:space="preserve"/>
            </w:r>
          </w:p>
          <w:p>
            <w:pPr>
              <w:spacing w:after="60" w:before="0"/>
            </w:pPr>
            <w:r>
              <w:rPr>
                <w:rFonts w:ascii="Courier New" w:cs="Courier New" w:eastAsia="Courier New" w:hAnsi="Courier New"/>
                <w:color w:val="8892B0"/>
                <w:sz w:val="16"/>
                <w:szCs w:val="16"/>
              </w:rPr>
              <w:t xml:space="preserve">DOCUMENT</w:t>
            </w:r>
            <w:r>
              <w:rPr>
                <w:rFonts w:ascii="Arial" w:cs="Arial" w:eastAsia="Arial" w:hAnsi="Arial"/>
                <w:color w:val="FFFFFF"/>
                <w:sz w:val="20"/>
                <w:szCs w:val="20"/>
              </w:rPr>
              <w:t xml:space="preserve">    M-10 — User and Role Management — Pre-Spec v0.1</w:t>
            </w:r>
          </w:p>
          <w:p>
            <w:pPr>
              <w:spacing w:after="60" w:before="0"/>
            </w:pPr>
            <w:r>
              <w:rPr>
                <w:rFonts w:ascii="Courier New" w:cs="Courier New" w:eastAsia="Courier New" w:hAnsi="Courier New"/>
                <w:color w:val="8892B0"/>
                <w:sz w:val="16"/>
                <w:szCs w:val="16"/>
              </w:rPr>
              <w:t xml:space="preserve">STATUS    </w:t>
            </w:r>
            <w:r>
              <w:rPr>
                <w:rFonts w:ascii="Arial" w:cs="Arial" w:eastAsia="Arial" w:hAnsi="Arial"/>
                <w:color w:val="FFFFFF"/>
                <w:sz w:val="20"/>
                <w:szCs w:val="20"/>
              </w:rPr>
              <w:t xml:space="preserve">  Draft — for review and approval</w:t>
            </w:r>
          </w:p>
          <w:p>
            <w:pPr>
              <w:spacing w:after="60" w:before="0"/>
            </w:pPr>
            <w:r>
              <w:rPr>
                <w:rFonts w:ascii="Courier New" w:cs="Courier New" w:eastAsia="Courier New" w:hAnsi="Courier New"/>
                <w:color w:val="8892B0"/>
                <w:sz w:val="16"/>
                <w:szCs w:val="16"/>
              </w:rPr>
              <w:t xml:space="preserve">OWNER     </w:t>
            </w:r>
            <w:r>
              <w:rPr>
                <w:rFonts w:ascii="Arial" w:cs="Arial" w:eastAsia="Arial" w:hAnsi="Arial"/>
                <w:color w:val="FFFFFF"/>
                <w:sz w:val="20"/>
                <w:szCs w:val="20"/>
              </w:rPr>
              <w:t xml:space="preserve">  Quality Business Solutions  (QBS)</w:t>
            </w:r>
          </w:p>
          <w:p>
            <w:pPr>
              <w:spacing w:after="60" w:before="0"/>
            </w:pPr>
            <w:r>
              <w:rPr>
                <w:rFonts w:ascii="Courier New" w:cs="Courier New" w:eastAsia="Courier New" w:hAnsi="Courier New"/>
                <w:color w:val="8892B0"/>
                <w:sz w:val="16"/>
                <w:szCs w:val="16"/>
              </w:rPr>
              <w:t xml:space="preserve">AUDIENCE  </w:t>
            </w:r>
            <w:r>
              <w:rPr>
                <w:rFonts w:ascii="Arial" w:cs="Arial" w:eastAsia="Arial" w:hAnsi="Arial"/>
                <w:color w:val="FFFFFF"/>
                <w:sz w:val="20"/>
                <w:szCs w:val="20"/>
              </w:rPr>
              <w:t xml:space="preserve">  Product, BA, Engineering — pre-speckit review</w:t>
            </w:r>
          </w:p>
        </w:tc>
      </w:tr>
    </w:tbl>
    <w:p>
      <w:r>
        <w:br w:type="page"/>
      </w:r>
    </w:p>
    <w:p>
      <w:pPr>
        <w:pStyle w:val="Heading1"/>
        <w:spacing w:after="180" w:before="360"/>
      </w:pPr>
      <w:r>
        <w:rPr>
          <w:rFonts w:ascii="Arial" w:cs="Arial" w:eastAsia="Arial" w:hAnsi="Arial"/>
          <w:b/>
          <w:bCs/>
          <w:color w:val="1E2235"/>
          <w:sz w:val="32"/>
          <w:szCs w:val="32"/>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65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Document ID</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M-10 — User and Role Management — Pre-Spec v0.1</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Module ID</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M-10</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Module Domain</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Foundation and Administration (DOC-05A)</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Status</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Draft — pending stakeholder review and approval</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Source</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/speckit.specify input for Claude Code spec generation</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Purpose</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Structured, FR-numbered review surface for the M-10 specify command. Once approved, this document feeds the speckit-driven generation of the formal feature specification.</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Successor</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M-10 Spec 001 (and subsequent specs) generated by Claude Code from the approved /speckit.specify command.</w:t>
            </w:r>
          </w:p>
        </w:tc>
      </w:tr>
    </w:tbl>
    <w:p>
      <w:pPr>
        <w:pStyle w:val="Heading1"/>
        <w:spacing w:after="180" w:before="360"/>
      </w:pPr>
      <w:r>
        <w:rPr>
          <w:rFonts w:ascii="Arial" w:cs="Arial" w:eastAsia="Arial" w:hAnsi="Arial"/>
          <w:b/>
          <w:bCs/>
          <w:color w:val="1E2235"/>
          <w:sz w:val="32"/>
          <w:szCs w:val="32"/>
        </w:rPr>
        <w:t xml:space="preserve">2.  Module Overview</w:t>
      </w:r>
    </w:p>
    <w:p>
      <w:pPr>
        <w:spacing w:after="100" w:before="60" w:line="320"/>
        <w:jc w:val="left"/>
      </w:pPr>
      <w:r>
        <w:rPr>
          <w:rFonts w:ascii="Arial" w:cs="Arial" w:eastAsia="Arial" w:hAnsi="Arial"/>
          <w:b/>
          <w:bCs/>
          <w:i w:val="false"/>
          <w:iCs w:val="false"/>
          <w:color w:val="000000"/>
          <w:sz w:val="22"/>
          <w:szCs w:val="22"/>
        </w:rPr>
        <w:t xml:space="preserve">M-10 </w:t>
      </w:r>
      <w:r>
        <w:rPr>
          <w:rFonts w:ascii="Arial" w:cs="Arial" w:eastAsia="Arial" w:hAnsi="Arial"/>
          <w:b w:val="false"/>
          <w:bCs w:val="false"/>
          <w:i w:val="false"/>
          <w:iCs w:val="false"/>
          <w:color w:val="000000"/>
          <w:sz w:val="22"/>
          <w:szCs w:val="22"/>
        </w:rPr>
        <w:t xml:space="preserve">is the User and Role Management module of the Nabadat multi-tenant Voice of Customer platform. It operates entirely within a single tenant boundary: it has no cross-tenant visibility, does not manage platform-level users, and is not M-11.</w:t>
      </w:r>
    </w:p>
    <w:p>
      <w:pPr>
        <w:spacing w:after="100" w:before="60" w:line="320"/>
        <w:jc w:val="left"/>
      </w:pPr>
      <w:r>
        <w:rPr>
          <w:rFonts w:ascii="Arial" w:cs="Arial" w:eastAsia="Arial" w:hAnsi="Arial"/>
          <w:b/>
          <w:bCs/>
          <w:i w:val="false"/>
          <w:iCs w:val="false"/>
          <w:color w:val="000000"/>
          <w:sz w:val="22"/>
          <w:szCs w:val="22"/>
        </w:rPr>
        <w:t xml:space="preserve">M-10 owns three domains:</w:t>
      </w:r>
    </w:p>
    <w:p>
      <w:pPr>
        <w:pStyle w:val="ListParagraph"/>
        <w:numPr>
          <w:ilvl w:val="0"/>
          <w:numId w:val="2"/>
        </w:numPr>
        <w:spacing w:after="40" w:before="40" w:line="300"/>
      </w:pPr>
      <w:r>
        <w:rPr>
          <w:rFonts w:ascii="Arial" w:cs="Arial" w:eastAsia="Arial" w:hAnsi="Arial"/>
          <w:b/>
          <w:bCs/>
          <w:i w:val="false"/>
          <w:iCs w:val="false"/>
          <w:color w:val="000000"/>
          <w:sz w:val="22"/>
          <w:szCs w:val="22"/>
        </w:rPr>
        <w:t xml:space="preserve">Authentication</w:t>
      </w:r>
      <w:r>
        <w:rPr>
          <w:rFonts w:ascii="Arial" w:cs="Arial" w:eastAsia="Arial" w:hAnsi="Arial"/>
          <w:b w:val="false"/>
          <w:bCs w:val="false"/>
          <w:i w:val="false"/>
          <w:iCs w:val="false"/>
          <w:color w:val="000000"/>
          <w:sz w:val="22"/>
          <w:szCs w:val="22"/>
        </w:rPr>
        <w:t xml:space="preserve"> — establishing tenant-side user sessions through credential and MFA verification, with SSO-ready scaffolding deferred to a future phase.</w:t>
      </w:r>
    </w:p>
    <w:p>
      <w:pPr>
        <w:pStyle w:val="ListParagraph"/>
        <w:numPr>
          <w:ilvl w:val="0"/>
          <w:numId w:val="2"/>
        </w:numPr>
        <w:spacing w:after="40" w:before="40" w:line="300"/>
      </w:pPr>
      <w:r>
        <w:rPr>
          <w:rFonts w:ascii="Arial" w:cs="Arial" w:eastAsia="Arial" w:hAnsi="Arial"/>
          <w:b/>
          <w:bCs/>
          <w:i w:val="false"/>
          <w:iCs w:val="false"/>
          <w:color w:val="000000"/>
          <w:sz w:val="22"/>
          <w:szCs w:val="22"/>
        </w:rPr>
        <w:t xml:space="preserve">Authorization</w:t>
      </w:r>
      <w:r>
        <w:rPr>
          <w:rFonts w:ascii="Arial" w:cs="Arial" w:eastAsia="Arial" w:hAnsi="Arial"/>
          <w:b w:val="false"/>
          <w:bCs w:val="false"/>
          <w:i w:val="false"/>
          <w:iCs w:val="false"/>
          <w:color w:val="000000"/>
          <w:sz w:val="22"/>
          <w:szCs w:val="22"/>
        </w:rPr>
        <w:t xml:space="preserve"> — composing per-user permission sets from the DOC-02 modular permission catalogue, applying persona baselines, custom rules, data scope filters, and the organisational hierarchy cascade.</w:t>
      </w:r>
    </w:p>
    <w:p>
      <w:pPr>
        <w:pStyle w:val="ListParagraph"/>
        <w:numPr>
          <w:ilvl w:val="0"/>
          <w:numId w:val="2"/>
        </w:numPr>
        <w:spacing w:after="40" w:before="40" w:line="300"/>
      </w:pPr>
      <w:r>
        <w:rPr>
          <w:rFonts w:ascii="Arial" w:cs="Arial" w:eastAsia="Arial" w:hAnsi="Arial"/>
          <w:b/>
          <w:bCs/>
          <w:i w:val="false"/>
          <w:iCs w:val="false"/>
          <w:color w:val="000000"/>
          <w:sz w:val="22"/>
          <w:szCs w:val="22"/>
        </w:rPr>
        <w:t xml:space="preserve">Auditing</w:t>
      </w:r>
      <w:r>
        <w:rPr>
          <w:rFonts w:ascii="Arial" w:cs="Arial" w:eastAsia="Arial" w:hAnsi="Arial"/>
          <w:b w:val="false"/>
          <w:bCs w:val="false"/>
          <w:i w:val="false"/>
          <w:iCs w:val="false"/>
          <w:color w:val="000000"/>
          <w:sz w:val="22"/>
          <w:szCs w:val="22"/>
        </w:rPr>
        <w:t xml:space="preserve"> — capturing an immutable, transactionally-bound, tenant-scoped audit trail for every change to any system entity within the tenant.</w:t>
      </w:r>
    </w:p>
    <w:p>
      <w:pPr>
        <w:pStyle w:val="Heading2"/>
        <w:spacing w:after="120" w:before="280"/>
      </w:pPr>
      <w:r>
        <w:rPr>
          <w:rFonts w:ascii="Arial" w:cs="Arial" w:eastAsia="Arial" w:hAnsi="Arial"/>
          <w:b/>
          <w:bCs/>
          <w:color w:val="1E2235"/>
          <w:sz w:val="26"/>
          <w:szCs w:val="26"/>
        </w:rPr>
        <w:t xml:space="preserve">2.1  Boundary Statement</w:t>
      </w:r>
    </w:p>
    <w:p>
      <w:pPr>
        <w:spacing w:after="100" w:before="60" w:line="320"/>
        <w:jc w:val="left"/>
      </w:pPr>
      <w:r>
        <w:rPr>
          <w:rFonts w:ascii="Arial" w:cs="Arial" w:eastAsia="Arial" w:hAnsi="Arial"/>
          <w:b w:val="false"/>
          <w:bCs w:val="false"/>
          <w:i w:val="false"/>
          <w:iCs w:val="false"/>
          <w:color w:val="000000"/>
          <w:sz w:val="22"/>
          <w:szCs w:val="22"/>
        </w:rPr>
        <w:t xml:space="preserve">M-10 is the tenant-side authority for who can sign in, what they can do, and what was changed. It is not the catalogue of permissions itself, it is not the integration pipeline that delivers data scope parameters, and it is not platform-level user management. Each of those is owned by an adjacent module under a defined contract.</w:t>
      </w:r>
    </w:p>
    <w:p>
      <w:pPr>
        <w:pStyle w:val="Heading1"/>
        <w:spacing w:after="180" w:before="360"/>
      </w:pPr>
      <w:r>
        <w:rPr>
          <w:rFonts w:ascii="Arial" w:cs="Arial" w:eastAsia="Arial" w:hAnsi="Arial"/>
          <w:b/>
          <w:bCs/>
          <w:color w:val="1E2235"/>
          <w:sz w:val="32"/>
          <w:szCs w:val="32"/>
        </w:rPr>
        <w:t xml:space="preserve">3.  Out of Scope</w:t>
      </w:r>
    </w:p>
    <w:p>
      <w:pPr>
        <w:spacing w:after="100" w:before="60" w:line="320"/>
        <w:jc w:val="left"/>
      </w:pPr>
      <w:r>
        <w:rPr>
          <w:rFonts w:ascii="Arial" w:cs="Arial" w:eastAsia="Arial" w:hAnsi="Arial"/>
          <w:b w:val="false"/>
          <w:bCs w:val="false"/>
          <w:i w:val="false"/>
          <w:iCs w:val="false"/>
          <w:color w:val="000000"/>
          <w:sz w:val="22"/>
          <w:szCs w:val="22"/>
        </w:rPr>
        <w:t xml:space="preserve">The following are explicitly out of scope for M-10. They are listed here to prevent scope drift during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Out-of-Scope Item</w:t>
            </w:r>
          </w:p>
        </w:tc>
        <w:tc>
          <w:tcPr>
            <w:tcW w:type="dxa" w:w="65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Owner / Reason</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M-11 Platform User Management</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Platform-level (QBS-side) user management and its authentication infrastructure are owned by M-11. M-10 has no visibility into M-11 users or sessions.</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DOC-02 Permission Catalogue Definitions</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The nine permission modules and their action grammar are defined and maintained in DOC-02. M-10 consumes these definitions but does not author or modify them.</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Cross-Tenant User Management</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M-10 has no cross-tenant capability. A user provisioned in Tenant A is invisible to Tenant B.</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M-13 Integration Orchestration</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M-10 consumes M-13's parameter output (e.g., the branch parameter and its allowed values) through a defined integration contract. The integration pipeline that produces those parameters is owned by M-13.</w:t>
            </w:r>
          </w:p>
        </w:tc>
      </w:tr>
    </w:tbl>
    <w:p>
      <w:pPr>
        <w:pStyle w:val="Heading1"/>
        <w:spacing w:after="180" w:before="360"/>
      </w:pPr>
      <w:r>
        <w:rPr>
          <w:rFonts w:ascii="Arial" w:cs="Arial" w:eastAsia="Arial" w:hAnsi="Arial"/>
          <w:b/>
          <w:bCs/>
          <w:color w:val="1E2235"/>
          <w:sz w:val="32"/>
          <w:szCs w:val="32"/>
        </w:rPr>
        <w:t xml:space="preserve">4.  Authentication Requirements</w:t>
      </w:r>
    </w:p>
    <w:p>
      <w:pPr>
        <w:spacing w:after="100" w:before="60" w:line="320"/>
        <w:jc w:val="left"/>
      </w:pPr>
      <w:r>
        <w:rPr>
          <w:rFonts w:ascii="Arial" w:cs="Arial" w:eastAsia="Arial" w:hAnsi="Arial"/>
          <w:b w:val="false"/>
          <w:bCs w:val="false"/>
          <w:i w:val="false"/>
          <w:iCs w:val="false"/>
          <w:color w:val="000000"/>
          <w:sz w:val="22"/>
          <w:szCs w:val="22"/>
        </w:rPr>
        <w:t xml:space="preserve">Tenant-side user sign-in. Establishes the session that downstream authorization and audit checks reference.</w:t>
      </w:r>
    </w:p>
    <w:p>
      <w:pPr>
        <w:pStyle w:val="Heading2"/>
        <w:spacing w:after="120" w:before="280"/>
      </w:pPr>
      <w:r>
        <w:rPr>
          <w:rFonts w:ascii="Arial" w:cs="Arial" w:eastAsia="Arial" w:hAnsi="Arial"/>
          <w:b/>
          <w:bCs/>
          <w:color w:val="1E2235"/>
          <w:sz w:val="26"/>
          <w:szCs w:val="26"/>
        </w:rPr>
        <w:t xml:space="preserve">4.1  Credential and MFA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FR-M10-AUTH-001</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system must allow tenant users to authenticate using a username and password.</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FR-M10-AUTH-002</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Multi-factor authentication using a TOTP-based authenticator app (e.g., Google Authenticator) is mandatory for every tenant user.</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FR-M10-AUTH-003</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system must not establish a session until both credential verification and the MFA challenge succeed within the same authentication exchange.</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FR-M10-AUTH-004</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First-time users must complete MFA enrolment before any session is created on their behalf.</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FR-M10-AUTH-005</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Users whose MFA has been reset must re-complete MFA enrolment before any new session is created.</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FR-M10-AUTH-006</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user record must carry an MFA enrolment status flag from creation, so that the enrolment requirement can be enforced at the routing layer before any tenant capability is exposed.</w:t>
            </w:r>
          </w:p>
        </w:tc>
      </w:tr>
    </w:tbl>
    <w:p>
      <w:pPr>
        <w:pStyle w:val="Heading2"/>
        <w:spacing w:after="120" w:before="280"/>
      </w:pPr>
      <w:r>
        <w:rPr>
          <w:rFonts w:ascii="Arial" w:cs="Arial" w:eastAsia="Arial" w:hAnsi="Arial"/>
          <w:b/>
          <w:bCs/>
          <w:color w:val="1E2235"/>
          <w:sz w:val="26"/>
          <w:szCs w:val="26"/>
        </w:rPr>
        <w:t xml:space="preserve">4.2  SSO Forward Compatibility (Phase 1 scaffolding only)</w:t>
      </w:r>
    </w:p>
    <w:p>
      <w:pPr>
        <w:spacing w:after="100" w:before="60" w:line="320"/>
        <w:jc w:val="left"/>
      </w:pPr>
      <w:r>
        <w:rPr>
          <w:rFonts w:ascii="Arial" w:cs="Arial" w:eastAsia="Arial" w:hAnsi="Arial"/>
          <w:b/>
          <w:bCs/>
          <w:i w:val="false"/>
          <w:iCs w:val="false"/>
          <w:color w:val="000000"/>
          <w:sz w:val="22"/>
          <w:szCs w:val="22"/>
        </w:rPr>
        <w:t xml:space="preserve">SSO is not executed in Phase 1. </w:t>
      </w:r>
      <w:r>
        <w:rPr>
          <w:rFonts w:ascii="Arial" w:cs="Arial" w:eastAsia="Arial" w:hAnsi="Arial"/>
          <w:b w:val="false"/>
          <w:bCs w:val="false"/>
          <w:i w:val="false"/>
          <w:iCs w:val="false"/>
          <w:color w:val="000000"/>
          <w:sz w:val="22"/>
          <w:szCs w:val="22"/>
        </w:rPr>
        <w:t xml:space="preserve">However, the data model and configuration surface must be fully forward-compatible so that SSO can be activated without structural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FR-M10-AUTH-007</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SSO scaffolding must accommodate, at minimum, the following provider types without code change to the M-10 core: directory-based login, Google OAuth/OIDC, built-in internal authentication, SAML 2.0 federation, and Nafath (the Saudi national digital identity service).</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FR-M10-AUTH-008</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SSO provider configuration must be stored per tenant as a structured, extensible identity provider record. No provider logic may be hardcoded in M-10.</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FR-M10-AUTH-009</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identity provider record must be versioned and tenant-scoped, so that providers can be added, replaced, or deprecated per tenant in a future phase without affecting other tenants.</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FR-M10-AUTH-010</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Phase 1 must not expose SSO configuration in the tenant administration surface. The data model exists; the surface is hidden until SSO is activated in a later phase.</w:t>
            </w:r>
          </w:p>
        </w:tc>
      </w:tr>
    </w:tbl>
    <w:p>
      <w:pPr>
        <w:pStyle w:val="Heading1"/>
        <w:spacing w:after="180" w:before="360"/>
      </w:pPr>
      <w:r>
        <w:rPr>
          <w:rFonts w:ascii="Arial" w:cs="Arial" w:eastAsia="Arial" w:hAnsi="Arial"/>
          <w:b/>
          <w:bCs/>
          <w:color w:val="1E2235"/>
          <w:sz w:val="32"/>
          <w:szCs w:val="32"/>
        </w:rPr>
        <w:t xml:space="preserve">5.  Authorization Requirements</w:t>
      </w:r>
    </w:p>
    <w:p>
      <w:pPr>
        <w:spacing w:after="100" w:before="60" w:line="320"/>
        <w:jc w:val="left"/>
      </w:pPr>
      <w:r>
        <w:rPr>
          <w:rFonts w:ascii="Arial" w:cs="Arial" w:eastAsia="Arial" w:hAnsi="Arial"/>
          <w:b w:val="false"/>
          <w:bCs w:val="false"/>
          <w:i w:val="false"/>
          <w:iCs w:val="false"/>
          <w:color w:val="000000"/>
          <w:sz w:val="22"/>
          <w:szCs w:val="22"/>
        </w:rPr>
        <w:t xml:space="preserve">M-10 owns the assembly of per-user permission sets from the DOC-02 catalogue, the persona baseline, custom rules, data scope filters from M-13, and the organisational hierarchy cascade.</w:t>
      </w:r>
    </w:p>
    <w:p>
      <w:pPr>
        <w:pStyle w:val="Heading2"/>
        <w:spacing w:after="120" w:before="280"/>
      </w:pPr>
      <w:r>
        <w:rPr>
          <w:rFonts w:ascii="Arial" w:cs="Arial" w:eastAsia="Arial" w:hAnsi="Arial"/>
          <w:b/>
          <w:bCs/>
          <w:color w:val="1E2235"/>
          <w:sz w:val="26"/>
          <w:szCs w:val="26"/>
        </w:rPr>
        <w:t xml:space="preserve">5.1  Permission Catalogue Reference</w:t>
      </w:r>
    </w:p>
    <w:p>
      <w:pPr>
        <w:spacing w:after="100" w:before="60" w:line="320"/>
        <w:jc w:val="left"/>
      </w:pPr>
      <w:r>
        <w:rPr>
          <w:rFonts w:ascii="Arial" w:cs="Arial" w:eastAsia="Arial" w:hAnsi="Arial"/>
          <w:b w:val="false"/>
          <w:bCs w:val="false"/>
          <w:i w:val="false"/>
          <w:iCs w:val="false"/>
          <w:color w:val="000000"/>
          <w:sz w:val="22"/>
          <w:szCs w:val="22"/>
        </w:rPr>
        <w:t xml:space="preserve">The DOC-02 modular permission catalogue defines nine permission modules. M-10 references — but does not own — these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Permission Module (DOC-02)</w:t>
            </w:r>
          </w:p>
        </w:tc>
        <w:tc>
          <w:tcPr>
            <w:tcW w:type="dxa" w:w="65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Functional Domain</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1.  Survey Builder</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Authoring and managing surveys.</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2.  Channel Management</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Configuring and operating distribution channels.</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3.  Audience Management</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Defining and managing audience segments and contacts.</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4.  Analytics and Reporting</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Accessing dashboards, charts, and analytical surfaces.</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5.  Case Management</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Creating, working, and closing cases.</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6.  Alerts and Notifications</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Configuring and receiving alerts and notification rules.</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7.  KPI Configuration</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Defining and maintaining KPI structures, formulas, thresholds.</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8.  User Management</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Managing tenant users, permission sets, and custom rules.</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9.  Tenant Configuration</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Tenant-level settings, branding, language defaults, feature flags.</w:t>
            </w:r>
          </w:p>
        </w:tc>
      </w:tr>
    </w:tbl>
    <w:p>
      <w:pPr>
        <w:pStyle w:val="Heading2"/>
        <w:spacing w:after="120" w:before="280"/>
      </w:pPr>
      <w:r>
        <w:rPr>
          <w:rFonts w:ascii="Arial" w:cs="Arial" w:eastAsia="Arial" w:hAnsi="Arial"/>
          <w:b/>
          <w:bCs/>
          <w:color w:val="1E2235"/>
          <w:sz w:val="26"/>
          <w:szCs w:val="26"/>
        </w:rPr>
        <w:t xml:space="preserve">5.2  Permission Set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FR-M10-AUTHZ-001</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M-10 must compose per-user permission sets from the DOC-02 permission modules without modifying the catalogue definitions themselves.</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FR-M10-AUTHZ-002</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system must expose a predefined authorization matrix mapping each platform persona (P-01 through P-08) to default permission module access levels. This matrix is the baseline used at user provisioning.</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FR-M10-AUTHZ-003</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Only persona P-01 (CX Program Manager) may create users or modify permission sets within a tenant. No other persona may perform user-management or permission-modification actions.</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FR-M10-AUTHZ-004</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P-01 restriction on user creation and permission modification must be enforced at the data layer, not only in the user interface. UI-only enforcement is non-compliant.</w:t>
            </w:r>
          </w:p>
        </w:tc>
      </w:tr>
    </w:tbl>
    <w:p>
      <w:pPr>
        <w:pStyle w:val="Heading3"/>
        <w:spacing w:after="100" w:before="220"/>
      </w:pPr>
      <w:r>
        <w:rPr>
          <w:rFonts w:ascii="Arial" w:cs="Arial" w:eastAsia="Arial" w:hAnsi="Arial"/>
          <w:b/>
          <w:bCs/>
          <w:color w:val="1E2235"/>
          <w:sz w:val="22"/>
          <w:szCs w:val="22"/>
        </w:rPr>
        <w:t xml:space="preserve">5.2.1  Persona Authorization Baseline</w:t>
      </w:r>
    </w:p>
    <w:p>
      <w:pPr>
        <w:spacing w:after="100" w:before="60" w:line="320"/>
        <w:jc w:val="left"/>
      </w:pPr>
      <w:r>
        <w:rPr>
          <w:rFonts w:ascii="Arial" w:cs="Arial" w:eastAsia="Arial" w:hAnsi="Arial"/>
          <w:b w:val="false"/>
          <w:bCs w:val="false"/>
          <w:i w:val="false"/>
          <w:iCs w:val="false"/>
          <w:color w:val="000000"/>
          <w:sz w:val="22"/>
          <w:szCs w:val="22"/>
        </w:rPr>
        <w:t xml:space="preserve">The persona-to-module access mapping (P-01..P-08) is fixed for Phase 1 and is referenced by FR-M10-AUTHZ-002. The detailed matrix is maintained in DOC-02; the table below records persona scope as it pertains to M-10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Persona</w:t>
            </w:r>
          </w:p>
        </w:tc>
        <w:tc>
          <w:tcPr>
            <w:tcW w:type="dxa" w:w="35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w:t>
            </w:r>
          </w:p>
        </w:tc>
        <w:tc>
          <w:tcPr>
            <w:tcW w:type="dxa" w:w="45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M-10 User Mgmt Capability</w:t>
            </w:r>
          </w:p>
        </w:tc>
      </w:tr>
      <w:tr>
        <w:tc>
          <w:tcPr>
            <w:tcW w:type="dxa" w:w="13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P-01</w:t>
            </w:r>
          </w:p>
        </w:tc>
        <w:tc>
          <w:tcPr>
            <w:tcW w:type="dxa" w:w="35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CX Program Manager</w:t>
            </w:r>
          </w:p>
        </w:tc>
        <w:tc>
          <w:tcPr>
            <w:tcW w:type="dxa" w:w="4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Create users · Modify permission sets · Define custom rules</w:t>
            </w:r>
          </w:p>
        </w:tc>
      </w:tr>
      <w:tr>
        <w:tc>
          <w:tcPr>
            <w:tcW w:type="dxa" w:w="13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P-02</w:t>
            </w:r>
          </w:p>
        </w:tc>
        <w:tc>
          <w:tcPr>
            <w:tcW w:type="dxa" w:w="35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Survey Designer</w:t>
            </w:r>
          </w:p>
        </w:tc>
        <w:tc>
          <w:tcPr>
            <w:tcW w:type="dxa" w:w="4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No user-management capability</w:t>
            </w:r>
          </w:p>
        </w:tc>
      </w:tr>
      <w:tr>
        <w:tc>
          <w:tcPr>
            <w:tcW w:type="dxa" w:w="13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P-03</w:t>
            </w:r>
          </w:p>
        </w:tc>
        <w:tc>
          <w:tcPr>
            <w:tcW w:type="dxa" w:w="35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Channel Operator</w:t>
            </w:r>
          </w:p>
        </w:tc>
        <w:tc>
          <w:tcPr>
            <w:tcW w:type="dxa" w:w="4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No user-management capability</w:t>
            </w:r>
          </w:p>
        </w:tc>
      </w:tr>
      <w:tr>
        <w:tc>
          <w:tcPr>
            <w:tcW w:type="dxa" w:w="13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P-04</w:t>
            </w:r>
          </w:p>
        </w:tc>
        <w:tc>
          <w:tcPr>
            <w:tcW w:type="dxa" w:w="35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Audience Manager</w:t>
            </w:r>
          </w:p>
        </w:tc>
        <w:tc>
          <w:tcPr>
            <w:tcW w:type="dxa" w:w="4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No user-management capability</w:t>
            </w:r>
          </w:p>
        </w:tc>
      </w:tr>
      <w:tr>
        <w:tc>
          <w:tcPr>
            <w:tcW w:type="dxa" w:w="13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P-05</w:t>
            </w:r>
          </w:p>
        </w:tc>
        <w:tc>
          <w:tcPr>
            <w:tcW w:type="dxa" w:w="35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Insights Analyst</w:t>
            </w:r>
          </w:p>
        </w:tc>
        <w:tc>
          <w:tcPr>
            <w:tcW w:type="dxa" w:w="4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No user-management capability</w:t>
            </w:r>
          </w:p>
        </w:tc>
      </w:tr>
      <w:tr>
        <w:tc>
          <w:tcPr>
            <w:tcW w:type="dxa" w:w="13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P-06</w:t>
            </w:r>
          </w:p>
        </w:tc>
        <w:tc>
          <w:tcPr>
            <w:tcW w:type="dxa" w:w="35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Case Worker</w:t>
            </w:r>
          </w:p>
        </w:tc>
        <w:tc>
          <w:tcPr>
            <w:tcW w:type="dxa" w:w="4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No user-management capability</w:t>
            </w:r>
          </w:p>
        </w:tc>
      </w:tr>
      <w:tr>
        <w:tc>
          <w:tcPr>
            <w:tcW w:type="dxa" w:w="13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P-07</w:t>
            </w:r>
          </w:p>
        </w:tc>
        <w:tc>
          <w:tcPr>
            <w:tcW w:type="dxa" w:w="35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Tenant Administrator</w:t>
            </w:r>
          </w:p>
        </w:tc>
        <w:tc>
          <w:tcPr>
            <w:tcW w:type="dxa" w:w="4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sz w:val="20"/>
                <w:szCs w:val="20"/>
              </w:rPr>
              <w:t xml:space="preserve">No user-management capability (per spec)</w:t>
            </w:r>
          </w:p>
        </w:tc>
      </w:tr>
      <w:tr>
        <w:tc>
          <w:tcPr>
            <w:tcW w:type="dxa" w:w="13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P-08</w:t>
            </w:r>
          </w:p>
        </w:tc>
        <w:tc>
          <w:tcPr>
            <w:tcW w:type="dxa" w:w="35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Read-Only Viewer</w:t>
            </w:r>
          </w:p>
        </w:tc>
        <w:tc>
          <w:tcPr>
            <w:tcW w:type="dxa" w:w="4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sz w:val="20"/>
                <w:szCs w:val="20"/>
              </w:rPr>
              <w:t xml:space="preserve">No user-management capability</w:t>
            </w:r>
          </w:p>
        </w:tc>
      </w:tr>
    </w:tbl>
    <w:p>
      <w:pPr>
        <w:spacing w:after="100" w:before="60" w:line="320"/>
        <w:jc w:val="left"/>
      </w:pPr>
      <w:r>
        <w:rPr>
          <w:rFonts w:ascii="Arial" w:cs="Arial" w:eastAsia="Arial" w:hAnsi="Arial"/>
          <w:b/>
          <w:bCs/>
          <w:i/>
          <w:iCs/>
          <w:color w:val="000000"/>
          <w:sz w:val="22"/>
          <w:szCs w:val="22"/>
        </w:rPr>
        <w:t xml:space="preserve">Note. </w:t>
      </w:r>
      <w:r>
        <w:rPr>
          <w:rFonts w:ascii="Arial" w:cs="Arial" w:eastAsia="Arial" w:hAnsi="Arial"/>
          <w:b w:val="false"/>
          <w:bCs w:val="false"/>
          <w:i/>
          <w:iCs/>
          <w:color w:val="7A8196"/>
          <w:sz w:val="22"/>
          <w:szCs w:val="22"/>
        </w:rPr>
        <w:t xml:space="preserve">The persona names above (P-02..P-08) are placeholders pending DOC-02 confirmation. Only P-01's user-management exclusivity is fixed by the speckit input. Persona role labels must be reconciled with DOC-02 before this document is finalised.</w:t>
      </w:r>
    </w:p>
    <w:p>
      <w:pPr>
        <w:pStyle w:val="Heading2"/>
        <w:spacing w:after="120" w:before="280"/>
      </w:pPr>
      <w:r>
        <w:rPr>
          <w:rFonts w:ascii="Arial" w:cs="Arial" w:eastAsia="Arial" w:hAnsi="Arial"/>
          <w:b/>
          <w:bCs/>
          <w:color w:val="1E2235"/>
          <w:sz w:val="26"/>
          <w:szCs w:val="26"/>
        </w:rPr>
        <w:t xml:space="preserve">5.3  Custom Authorization Rules</w:t>
      </w:r>
    </w:p>
    <w:p>
      <w:pPr>
        <w:spacing w:after="100" w:before="60" w:line="320"/>
        <w:jc w:val="left"/>
      </w:pPr>
      <w:r>
        <w:rPr>
          <w:rFonts w:ascii="Arial" w:cs="Arial" w:eastAsia="Arial" w:hAnsi="Arial"/>
          <w:b w:val="false"/>
          <w:bCs w:val="false"/>
          <w:i w:val="false"/>
          <w:iCs w:val="false"/>
          <w:color w:val="000000"/>
          <w:sz w:val="22"/>
          <w:szCs w:val="22"/>
        </w:rPr>
        <w:t xml:space="preserve">Administrators (P-01) must be able to define rules that go beyond the predefined persona profile. Custom rules support three orthogonal capabilities.</w:t>
      </w:r>
    </w:p>
    <w:p>
      <w:pPr>
        <w:pStyle w:val="Heading3"/>
        <w:spacing w:after="100" w:before="220"/>
      </w:pPr>
      <w:r>
        <w:rPr>
          <w:rFonts w:ascii="Arial" w:cs="Arial" w:eastAsia="Arial" w:hAnsi="Arial"/>
          <w:b/>
          <w:bCs/>
          <w:color w:val="1E2235"/>
          <w:sz w:val="22"/>
          <w:szCs w:val="22"/>
        </w:rPr>
        <w:t xml:space="preserve">5.3.1  Action-level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FR-M10-AUTHZ-005</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Custom rules must support defining which actions a specific user may perform — including, at minimum, creating surveys, updating surveys, adding data, and deleting data — covering any action exposed by any of the nine DOC-02 permission modules.</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FR-M10-AUTHZ-006</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Action-level custom rules must be additive or restrictive relative to the persona baseline; both directions must be expressible.</w:t>
            </w:r>
          </w:p>
        </w:tc>
      </w:tr>
    </w:tbl>
    <w:p>
      <w:pPr>
        <w:pStyle w:val="Heading3"/>
        <w:spacing w:after="100" w:before="220"/>
      </w:pPr>
      <w:r>
        <w:rPr>
          <w:rFonts w:ascii="Arial" w:cs="Arial" w:eastAsia="Arial" w:hAnsi="Arial"/>
          <w:b/>
          <w:bCs/>
          <w:color w:val="1E2235"/>
          <w:sz w:val="22"/>
          <w:szCs w:val="22"/>
        </w:rPr>
        <w:t xml:space="preserve">5.3.2  Data Visibility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FR-M10-AUTHZ-007</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Custom rules must support restricting which data records a user may see, beyond what the persona baseline grants.</w:t>
            </w:r>
          </w:p>
        </w:tc>
      </w:tr>
    </w:tbl>
    <w:p>
      <w:pPr>
        <w:pStyle w:val="Heading3"/>
        <w:spacing w:after="100" w:before="220"/>
      </w:pPr>
      <w:r>
        <w:rPr>
          <w:rFonts w:ascii="Arial" w:cs="Arial" w:eastAsia="Arial" w:hAnsi="Arial"/>
          <w:b/>
          <w:bCs/>
          <w:color w:val="1E2235"/>
          <w:sz w:val="22"/>
          <w:szCs w:val="22"/>
        </w:rPr>
        <w:t xml:space="preserve">5.3.3  Data Scope Filters from M-13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FR-M10-AUTHZ-008</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Custom rules must support data scope filters based on structured parameter sets received from M-13 (Integration Hub, Phase 1) through a defined integration contract.</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FR-M10-AUTHZ-009</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Each parameter has a predefined name and a predefined value set. Example: a 'branch' parameter with allowed values { Riyadh, Jeddah, Dammam }.</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FR-M10-AUTHZ-010</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 user may be granted access to one or more values of a given parameter. Multi-value grants must be supported natively.</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FR-M10-AUTHZ-011</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When a data scope filter is assigned, every data surface — including but not limited to NPS charts, CSAT charts, dashboards, list views, and exports — must be automatically filtered to only the permitted values. No surface is exempt.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FR-M10-AUTHZ-012</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M-10 stores and enforces filter assignments. M-13 supplies the parameter definitions and value sets. The boundary between the two modules is governed by a defined integration contract.</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FR-M10-AUTHZ-013</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If M-13 cannot supply a parameter definition that a stored filter assignment references, M-10 must fail-closed for that user-surface combination — the user must not see unfiltered data as a fallback.</w:t>
            </w:r>
          </w:p>
        </w:tc>
      </w:tr>
    </w:tbl>
    <w:p>
      <w:pPr>
        <w:pStyle w:val="Heading2"/>
        <w:spacing w:after="120" w:before="280"/>
      </w:pPr>
      <w:r>
        <w:rPr>
          <w:rFonts w:ascii="Arial" w:cs="Arial" w:eastAsia="Arial" w:hAnsi="Arial"/>
          <w:b/>
          <w:bCs/>
          <w:color w:val="1E2235"/>
          <w:sz w:val="26"/>
          <w:szCs w:val="26"/>
        </w:rPr>
        <w:t xml:space="preserve">5.4  Organisational Hierarchy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FR-M10-AUTHZ-014</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Data scope must cascade through the tenant organisational hierarchy. A user assigned to a hierarchy node sees that node and all descendant nodes.</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FR-M10-AUTHZ-015</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 user must never see sibling nodes or ancestor nodes of their assigned node, regardless of any other rule.</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FR-M10-AUTHZ-016</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downward-cascade rule is absolute. No custom authorization rule, data scope filter, or persona override may grant visibility outside the assigned subtree.</w:t>
            </w:r>
          </w:p>
        </w:tc>
      </w:tr>
    </w:tbl>
    <w:p>
      <w:pPr>
        <w:pStyle w:val="Heading2"/>
        <w:spacing w:after="120" w:before="280"/>
      </w:pPr>
      <w:r>
        <w:rPr>
          <w:rFonts w:ascii="Arial" w:cs="Arial" w:eastAsia="Arial" w:hAnsi="Arial"/>
          <w:b/>
          <w:bCs/>
          <w:color w:val="1E2235"/>
          <w:sz w:val="26"/>
          <w:szCs w:val="26"/>
        </w:rPr>
        <w:t xml:space="preserve">5.5  Enforcement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FR-M10-AUTHZ-017</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system must enforce default-deny: a user with no permission module assigned for a capability has zero access to that capability.</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FR-M10-AUTHZ-018</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There must be no implicit or inherited permission fallback. Absence of a grant is denial.</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FR-M10-AUTHZ-019</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Permission checks must be enforced at the boundary of every user-facing action by the module exposing that action.</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FR-M10-AUTHZ-020</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No module may skip enforcement on the assumption that an upstream caller already verified. Every module is responsible for its own boundary.</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FR-M10-AUTHZ-021</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Permission changes must take effect at the next session refresh or sooner.</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FR-M10-AUTHZ-022</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 revoked permission must not remain exercisable by an in-progress session. Revocation must propagate to live sessions within the session-refresh window.</w:t>
            </w:r>
          </w:p>
        </w:tc>
      </w:tr>
    </w:tbl>
    <w:p>
      <w:pPr>
        <w:pStyle w:val="Heading1"/>
        <w:spacing w:after="180" w:before="360"/>
      </w:pPr>
      <w:r>
        <w:rPr>
          <w:rFonts w:ascii="Arial" w:cs="Arial" w:eastAsia="Arial" w:hAnsi="Arial"/>
          <w:b/>
          <w:bCs/>
          <w:color w:val="1E2235"/>
          <w:sz w:val="32"/>
          <w:szCs w:val="32"/>
        </w:rPr>
        <w:t xml:space="preserve">6.  Auditing Requirements</w:t>
      </w:r>
    </w:p>
    <w:p>
      <w:pPr>
        <w:spacing w:after="100" w:before="60" w:line="320"/>
        <w:jc w:val="left"/>
      </w:pPr>
      <w:r>
        <w:rPr>
          <w:rFonts w:ascii="Arial" w:cs="Arial" w:eastAsia="Arial" w:hAnsi="Arial"/>
          <w:b w:val="false"/>
          <w:bCs w:val="false"/>
          <w:i w:val="false"/>
          <w:iCs w:val="false"/>
          <w:color w:val="000000"/>
          <w:sz w:val="22"/>
          <w:szCs w:val="22"/>
        </w:rPr>
        <w:t xml:space="preserve">M-10 maintains a complete and immutable audit trail for all changes made to any system entity within the tenant. The audit trail is the source of truth for who changed what and when.</w:t>
      </w:r>
    </w:p>
    <w:p>
      <w:pPr>
        <w:pStyle w:val="Heading2"/>
        <w:spacing w:after="120" w:before="280"/>
      </w:pPr>
      <w:r>
        <w:rPr>
          <w:rFonts w:ascii="Arial" w:cs="Arial" w:eastAsia="Arial" w:hAnsi="Arial"/>
          <w:b/>
          <w:bCs/>
          <w:color w:val="1E2235"/>
          <w:sz w:val="26"/>
          <w:szCs w:val="26"/>
        </w:rPr>
        <w:t xml:space="preserve">6.1  Audit Record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FR-M10-AUDIT-001</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Every audit record must capture all of the following fields: actor identity, action type, entity type, specific record identifier, full prior value (before the change), full new value (after the change), and the UTC timestamp of the change.</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FR-M10-AUDIT-002</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Prior and new values must be captured in full — partial-diff or summary capture is non-compliant. The record must be sufficient to reconstruct the change without reference to any other source.</w:t>
            </w:r>
          </w:p>
        </w:tc>
      </w:tr>
    </w:tbl>
    <w:p>
      <w:pPr>
        <w:pStyle w:val="Heading2"/>
        <w:spacing w:after="120" w:before="280"/>
      </w:pPr>
      <w:r>
        <w:rPr>
          <w:rFonts w:ascii="Arial" w:cs="Arial" w:eastAsia="Arial" w:hAnsi="Arial"/>
          <w:b/>
          <w:bCs/>
          <w:color w:val="1E2235"/>
          <w:sz w:val="26"/>
          <w:szCs w:val="26"/>
        </w:rPr>
        <w:t xml:space="preserve">6.2  Immutability and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FR-M10-AUDIT-003</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Audit records must be append-only and immutable.</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FR-M10-AUDIT-004</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Corrections to a prior audit record must be expressed as a new audit event that references the prior record. The original record must never be modified or deleted.</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FR-M10-AUDIT-005</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The audit store must reject any update or delete operation against an existing audit record at the data layer.</w:t>
            </w:r>
          </w:p>
        </w:tc>
      </w:tr>
    </w:tbl>
    <w:p>
      <w:pPr>
        <w:pStyle w:val="Heading2"/>
        <w:spacing w:after="120" w:before="280"/>
      </w:pPr>
      <w:r>
        <w:rPr>
          <w:rFonts w:ascii="Arial" w:cs="Arial" w:eastAsia="Arial" w:hAnsi="Arial"/>
          <w:b/>
          <w:bCs/>
          <w:color w:val="1E2235"/>
          <w:sz w:val="26"/>
          <w:szCs w:val="26"/>
        </w:rPr>
        <w:t xml:space="preserve">6.3  Transactional 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FR-M10-AUDIT-006</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Audit emission must occur within the same database transaction as the triggering action. A committed business change without a corresponding audit entry is non-compliant.</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FR-M10-AUDIT-007</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If the audit emission fails, the triggering action must also fail and the transaction must roll back. There is no scenario in which a change commits and its audit does not.</w:t>
            </w:r>
          </w:p>
        </w:tc>
      </w:tr>
    </w:tbl>
    <w:p>
      <w:pPr>
        <w:pStyle w:val="Heading2"/>
        <w:spacing w:after="120" w:before="280"/>
      </w:pPr>
      <w:r>
        <w:rPr>
          <w:rFonts w:ascii="Arial" w:cs="Arial" w:eastAsia="Arial" w:hAnsi="Arial"/>
          <w:b/>
          <w:bCs/>
          <w:color w:val="1E2235"/>
          <w:sz w:val="26"/>
          <w:szCs w:val="26"/>
        </w:rPr>
        <w:t xml:space="preserve">6.4  Tenant Scope and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FR-M10-AUDIT-008</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Audit data is tenant-scoped. Audit records from one tenant must never be visible to another tenant.</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FR-M10-AUDIT-009</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Audit data must not leave the tenant's data residency boundary. Cross-region replication, exports, or aggregation that would breach residency is prohibited.</w:t>
            </w:r>
          </w:p>
        </w:tc>
      </w:tr>
    </w:tbl>
    <w:p>
      <w:pPr>
        <w:pStyle w:val="Heading2"/>
        <w:spacing w:after="120" w:before="280"/>
      </w:pPr>
      <w:r>
        <w:rPr>
          <w:rFonts w:ascii="Arial" w:cs="Arial" w:eastAsia="Arial" w:hAnsi="Arial"/>
          <w:b/>
          <w:bCs/>
          <w:color w:val="1E2235"/>
          <w:sz w:val="26"/>
          <w:szCs w:val="26"/>
        </w:rPr>
        <w:t xml:space="preserve">6.5  Mandatory Audit Coverage</w:t>
      </w:r>
    </w:p>
    <w:p>
      <w:pPr>
        <w:spacing w:after="100" w:before="60" w:line="320"/>
        <w:jc w:val="left"/>
      </w:pPr>
      <w:r>
        <w:rPr>
          <w:rFonts w:ascii="Arial" w:cs="Arial" w:eastAsia="Arial" w:hAnsi="Arial"/>
          <w:b w:val="false"/>
          <w:bCs w:val="false"/>
          <w:i w:val="false"/>
          <w:iCs w:val="false"/>
          <w:color w:val="000000"/>
          <w:sz w:val="22"/>
          <w:szCs w:val="22"/>
        </w:rPr>
        <w:t xml:space="preserve">In addition to general entity-change audit, the following M-10 events must each produce an audit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ID</w:t>
            </w:r>
          </w:p>
        </w:tc>
        <w:tc>
          <w:tcPr>
            <w:tcW w:type="dxa" w:w="76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FR-M10-AUDIT-010</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Every user-management action (user create, update, deactivate, delete, MFA reset).</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FR-M10-AUDIT-011</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Every permission assignment (granting a permission module or action to a user).</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FR-M10-AUDIT-012</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Every permission modification (changing the actions a user may perform).</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FR-M10-AUDIT-013</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Every permission revocation (removing a permission from a user).</w:t>
            </w:r>
          </w:p>
        </w:tc>
      </w:tr>
      <w:tr>
        <w:trPr>
          <w:cantSplit w:val="false"/>
        </w:trPr>
        <w:tc>
          <w:tcPr>
            <w:tcW w:type="dxa" w:w="17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FR-M10-AUDIT-014</w:t>
            </w:r>
          </w:p>
        </w:tc>
        <w:tc>
          <w:tcPr>
            <w:tcW w:type="dxa" w:w="76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Every session event (sign-in, sign-out, MFA challenge result, session refresh, session termination).</w:t>
            </w:r>
          </w:p>
        </w:tc>
      </w:tr>
      <w:tr>
        <w:trPr>
          <w:cantSplit w:val="false"/>
        </w:trPr>
        <w:tc>
          <w:tcPr>
            <w:tcW w:type="dxa" w:w="17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Courier New" w:cs="Courier New" w:eastAsia="Courier New" w:hAnsi="Courier New"/>
                <w:b/>
                <w:bCs/>
                <w:color w:val="1E2235"/>
                <w:sz w:val="18"/>
                <w:szCs w:val="18"/>
              </w:rPr>
              <w:t xml:space="preserve">FR-M10-AUDIT-015</w:t>
            </w:r>
          </w:p>
        </w:tc>
        <w:tc>
          <w:tcPr>
            <w:tcW w:type="dxa" w:w="76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color w:val="000000"/>
                <w:sz w:val="20"/>
                <w:szCs w:val="20"/>
              </w:rPr>
              <w:t xml:space="preserve">Every data scope change (assignment, modification, or removal of a data scope filter or hierarchy-node assignment).</w:t>
            </w:r>
          </w:p>
        </w:tc>
      </w:tr>
    </w:tbl>
    <w:p>
      <w:pPr>
        <w:pStyle w:val="Heading1"/>
        <w:spacing w:after="180" w:before="360"/>
      </w:pPr>
      <w:r>
        <w:rPr>
          <w:rFonts w:ascii="Arial" w:cs="Arial" w:eastAsia="Arial" w:hAnsi="Arial"/>
          <w:b/>
          <w:bCs/>
          <w:color w:val="1E2235"/>
          <w:sz w:val="32"/>
          <w:szCs w:val="32"/>
        </w:rPr>
        <w:t xml:space="preserve">7.  Cross-Module Dependencies</w:t>
      </w:r>
    </w:p>
    <w:p>
      <w:pPr>
        <w:spacing w:after="100" w:before="60" w:line="320"/>
        <w:jc w:val="left"/>
      </w:pPr>
      <w:r>
        <w:rPr>
          <w:rFonts w:ascii="Arial" w:cs="Arial" w:eastAsia="Arial" w:hAnsi="Arial"/>
          <w:b w:val="false"/>
          <w:bCs w:val="false"/>
          <w:i w:val="false"/>
          <w:iCs w:val="false"/>
          <w:color w:val="000000"/>
          <w:sz w:val="22"/>
          <w:szCs w:val="22"/>
        </w:rPr>
        <w:t xml:space="preserve">M-10 has tightly defined contracts with three other modules. These contracts must be in place before M-10 can operate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Module / Source</w:t>
            </w:r>
          </w:p>
        </w:tc>
        <w:tc>
          <w:tcPr>
            <w:tcW w:type="dxa" w:w="65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Contract</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DOC-02 — Persona Catalogue</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Source of the nine permission modules referenced in §5.1 and the P-01..P-08 persona definitions referenced in §5.2.1. Consumed read-only by M-10.</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M-13 — Integration Hub (Phase 1)</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Supplier of structured parameter definitions and allowed value sets used by data scope filters (§5.3.3). Consumed by M-10 through a defined integration contract; M-10 does not own M-13's pipeline.</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Tenant Organisational Hierarchy</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M-10 consumes the tenant org hierarchy to apply the cascade rule (§5.4). The owning module of the hierarchy must expose the structure through a stable contract.</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M-11 — Platform Administration</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Adjacent, not coupled. M-10 has no read or write contract with M-11. The two modules share no users, no sessions, and no audit stream.</w:t>
            </w:r>
          </w:p>
        </w:tc>
      </w:tr>
    </w:tbl>
    <w:p>
      <w:pPr>
        <w:pStyle w:val="Heading1"/>
        <w:spacing w:after="180" w:before="360"/>
      </w:pPr>
      <w:r>
        <w:rPr>
          <w:rFonts w:ascii="Arial" w:cs="Arial" w:eastAsia="Arial" w:hAnsi="Arial"/>
          <w:b/>
          <w:bCs/>
          <w:color w:val="1E2235"/>
          <w:sz w:val="32"/>
          <w:szCs w:val="32"/>
        </w:rPr>
        <w:t xml:space="preserve">8.  Open Items and Clarifications</w:t>
      </w:r>
    </w:p>
    <w:p>
      <w:pPr>
        <w:spacing w:after="100" w:before="60" w:line="320"/>
        <w:jc w:val="left"/>
      </w:pPr>
      <w:r>
        <w:rPr>
          <w:rFonts w:ascii="Arial" w:cs="Arial" w:eastAsia="Arial" w:hAnsi="Arial"/>
          <w:b/>
          <w:bCs/>
          <w:i w:val="false"/>
          <w:iCs w:val="false"/>
          <w:color w:val="000000"/>
          <w:sz w:val="22"/>
          <w:szCs w:val="22"/>
        </w:rPr>
        <w:t xml:space="preserve">The following items are not specified by the source speckit input and must be resolved before, or during, formal specification. </w:t>
      </w:r>
      <w:r>
        <w:rPr>
          <w:rFonts w:ascii="Arial" w:cs="Arial" w:eastAsia="Arial" w:hAnsi="Arial"/>
          <w:b w:val="false"/>
          <w:bCs w:val="false"/>
          <w:i w:val="false"/>
          <w:iCs w:val="false"/>
          <w:color w:val="000000"/>
          <w:sz w:val="22"/>
          <w:szCs w:val="22"/>
        </w:rPr>
        <w:t xml:space="preserve">They are recorded here so that they cannot be silently skipped during downstream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Open Item</w:t>
            </w:r>
          </w:p>
        </w:tc>
        <w:tc>
          <w:tcPr>
            <w:tcW w:type="dxa" w:w="65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 and resolution required before</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O-01  Persona role labels</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P-02..P-08 role labels in §5.2.1 are placeholders. DOC-02 must confirm each persona's name and default access level before the persona matrix is locked.</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O-02  Session refresh window</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FR-M10-AUTHZ-021 says 'next session refresh or sooner'. The maximum acceptable propagation window for revocation must be set as a non-functional requirement (e.g., ≤ 5 minutes).</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O-03  MFA backup mechanism</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TOTP is mandated; recovery codes, backup MFA channels, and admin-assisted MFA reset flow are not specified. Required before live operation.</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O-04  Audit retention</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Append-only and immutability are specified, but minimum retention period and archival strategy are not. Required for residency compliance design.</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O-05  M-13 integration contract version</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The contract that supplies parameter definitions and value sets to M-10 must be versioned. Behaviour on contract-version mismatch (FR-M10-AUTHZ-013) needs an explicit policy.</w:t>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O-06  Hierarchy ownership</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The owning module of the tenant organisational hierarchy is referenced but not named. Resolution of this boundary is required before M-10 can integrate the cascade.</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O-07  Custom rule conflict resolution</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When persona baseline, custom action rule, data visibility rule, data scope filter, and hierarchy cascade interact, conflict resolution order must be specified. The current rules imply hierarchy is absolute; the order among the others is unspecified.</w:t>
            </w:r>
          </w:p>
        </w:tc>
      </w:tr>
    </w:tbl>
    <w:p>
      <w:pPr>
        <w:pStyle w:val="Heading1"/>
        <w:spacing w:after="180" w:before="360"/>
      </w:pPr>
      <w:r>
        <w:rPr>
          <w:rFonts w:ascii="Arial" w:cs="Arial" w:eastAsia="Arial" w:hAnsi="Arial"/>
          <w:b/>
          <w:bCs/>
          <w:color w:val="1E2235"/>
          <w:sz w:val="32"/>
          <w:szCs w:val="32"/>
        </w:rPr>
        <w:t xml:space="preserve">9.  Review and Approval</w:t>
      </w:r>
    </w:p>
    <w:p>
      <w:pPr>
        <w:spacing w:after="100" w:before="60" w:line="320"/>
        <w:jc w:val="left"/>
      </w:pPr>
      <w:r>
        <w:rPr>
          <w:rFonts w:ascii="Arial" w:cs="Arial" w:eastAsia="Arial" w:hAnsi="Arial"/>
          <w:b w:val="false"/>
          <w:bCs w:val="false"/>
          <w:i w:val="false"/>
          <w:iCs w:val="false"/>
          <w:color w:val="000000"/>
          <w:sz w:val="22"/>
          <w:szCs w:val="22"/>
        </w:rPr>
        <w:t xml:space="preserve">This document is a pre-spec review surface. Approval here authorises the speckit-driven generation of the formal M-10 feature specification by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Reviewer / Field</w:t>
            </w:r>
          </w:p>
        </w:tc>
        <w:tc>
          <w:tcPr>
            <w:tcW w:type="dxa" w:w="6560"/>
            <w:tcBorders>
              <w:top w:val="single" w:color="1E2235" w:sz="4"/>
              <w:left w:val="single" w:color="1E2235" w:sz="4"/>
              <w:bottom w:val="single" w:color="1E2235" w:sz="4"/>
              <w:right w:val="single" w:color="1E2235" w:sz="4"/>
            </w:tcBorders>
            <w:shd w:fill="1E2235"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Signature / Date</w:t>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Reviewed by — Product Owner</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Reviewed by — Lead Engineer</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Reviewed by — Security / Compliance</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
            </w:r>
          </w:p>
        </w:tc>
      </w:tr>
      <w:tr>
        <w:tc>
          <w:tcPr>
            <w:tcW w:type="dxa" w:w="280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Approval date</w:t>
            </w:r>
          </w:p>
        </w:tc>
        <w:tc>
          <w:tcPr>
            <w:tcW w:type="dxa" w:w="6560"/>
            <w:tcBorders>
              <w:top w:val="single" w:color="D5D9E2" w:sz="2"/>
              <w:left w:val="single" w:color="D5D9E2" w:sz="2"/>
              <w:bottom w:val="single" w:color="D5D9E2" w:sz="2"/>
              <w:right w:val="single" w:color="D5D9E2" w:sz="2"/>
            </w:tcBorders>
            <w:shd w:fill="F5F7FB" w:val="clear"/>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
            </w:r>
          </w:p>
        </w:tc>
      </w:tr>
      <w:tr>
        <w:tc>
          <w:tcPr>
            <w:tcW w:type="dxa" w:w="280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pPr>
            <w:r>
              <w:rPr>
                <w:rFonts w:ascii="Arial" w:cs="Arial" w:eastAsia="Arial" w:hAnsi="Arial"/>
                <w:b/>
                <w:bCs/>
                <w:color w:val="1E2235"/>
                <w:sz w:val="20"/>
                <w:szCs w:val="20"/>
              </w:rPr>
              <w:t xml:space="preserve">Resulting speckit run</w:t>
            </w:r>
          </w:p>
        </w:tc>
        <w:tc>
          <w:tcPr>
            <w:tcW w:type="dxa" w:w="6560"/>
            <w:tcBorders>
              <w:top w:val="single" w:color="D5D9E2" w:sz="2"/>
              <w:left w:val="single" w:color="D5D9E2" w:sz="2"/>
              <w:bottom w:val="single" w:color="D5D9E2" w:sz="2"/>
              <w:right w:val="single" w:color="D5D9E2" w:sz="2"/>
            </w:tcBorders>
            <w:tcMar>
              <w:top w:type="dxa" w:w="100"/>
              <w:left w:type="dxa" w:w="140"/>
              <w:bottom w:type="dxa" w:w="100"/>
              <w:right w:type="dxa" w:w="140"/>
            </w:tcMar>
            <w:vAlign w:val="top"/>
          </w:tcPr>
          <w:p>
            <w:pPr>
              <w:spacing w:after="0" w:before="0" w:line="300"/>
            </w:pPr>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C99A" w:sz="6" w:space="4"/>
      </w:pBdr>
      <w:tabs>
        <w:tab w:val="center" w:pos="4680"/>
        <w:tab w:val="right" w:pos="9360"/>
      </w:tabs>
      <w:spacing w:after="0" w:before="0"/>
    </w:pPr>
    <w:r>
      <w:rPr>
        <w:rFonts w:ascii="Arial" w:cs="Arial" w:eastAsia="Arial" w:hAnsi="Arial"/>
        <w:color w:val="7A8196"/>
        <w:sz w:val="16"/>
        <w:szCs w:val="16"/>
      </w:rPr>
      <w:t xml:space="preserve">CONFIDENTIAL  ·  Quality Business Solutions</w:t>
    </w:r>
    <w:r>
      <w:rPr>
        <w:rFonts w:ascii="Arial" w:cs="Arial" w:eastAsia="Arial" w:hAnsi="Arial"/>
        <w:color w:val="7A8196"/>
        <w:sz w:val="16"/>
        <w:szCs w:val="16"/>
      </w:rPr>
      <w:t xml:space="preserve">	Draft — for review</w:t>
    </w:r>
    <w:r>
      <w:rPr>
        <w:rFonts w:ascii="Arial" w:cs="Arial" w:eastAsia="Arial" w:hAnsi="Arial"/>
        <w:color w:val="7A8196"/>
        <w:sz w:val="16"/>
        <w:szCs w:val="16"/>
      </w:rPr>
      <w:t xml:space="preserve">	Page </w:t>
    </w:r>
    <w:r>
      <w:rPr>
        <w:rFonts w:ascii="Arial" w:cs="Arial" w:eastAsia="Arial" w:hAnsi="Arial"/>
        <w:b/>
        <w:bCs/>
        <w:color w:val="1E2235"/>
        <w:sz w:val="16"/>
        <w:szCs w:val="16"/>
      </w:rPr>
      <w:fldChar w:fldCharType="begin"/>
      <w:instrText xml:space="preserve">PAGE</w:instrText>
      <w:fldChar w:fldCharType="separate"/>
      <w:fldChar w:fldCharType="end"/>
    </w:r>
    <w:r>
      <w:rPr>
        <w:rFonts w:ascii="Arial" w:cs="Arial" w:eastAsia="Arial" w:hAnsi="Arial"/>
        <w:color w:val="7A8196"/>
        <w:sz w:val="16"/>
        <w:szCs w:val="16"/>
      </w:rPr>
      <w:t xml:space="preserve"> of </w:t>
    </w:r>
    <w:r>
      <w:rPr>
        <w:rFonts w:ascii="Arial" w:cs="Arial" w:eastAsia="Arial" w:hAnsi="Arial"/>
        <w:b/>
        <w:bCs/>
        <w:color w:val="1E223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C99A" w:sz="6" w:space="4"/>
      </w:pBdr>
      <w:spacing w:after="60" w:before="0"/>
      <w:jc w:val="left"/>
    </w:pPr>
    <w:r>
      <w:rPr>
        <w:rFonts w:ascii="Arial" w:cs="Arial" w:eastAsia="Arial" w:hAnsi="Arial"/>
        <w:b/>
        <w:bCs/>
        <w:color w:val="1EC99A"/>
        <w:sz w:val="18"/>
        <w:szCs w:val="18"/>
      </w:rPr>
      <w:t xml:space="preserve">Nabadat</w:t>
    </w:r>
    <w:r>
      <w:rPr>
        <w:rFonts w:ascii="Arial" w:cs="Arial" w:eastAsia="Arial" w:hAnsi="Arial"/>
        <w:b/>
        <w:bCs/>
        <w:color w:val="00B4D8"/>
        <w:sz w:val="18"/>
        <w:szCs w:val="18"/>
      </w:rPr>
      <w:t xml:space="preserve">CX</w:t>
    </w:r>
    <w:r>
      <w:rPr>
        <w:rFonts w:ascii="Arial" w:cs="Arial" w:eastAsia="Arial" w:hAnsi="Arial"/>
        <w:color w:val="7A8196"/>
        <w:sz w:val="16"/>
        <w:szCs w:val="16"/>
      </w:rPr>
      <w:t xml:space="preserve">    ·    M-10 User and Role Management — Pre-Spec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23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235"/>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E22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Nabadat M-10 — User and Role Management — Pre-Spec</dc:title>
  <dc:creator>Quality Business Solutions</dc:creator>
  <dc:description>Pre-spec functional requirements for Nabadat module M-10</dc:description>
  <cp:lastModifiedBy>Un-named</cp:lastModifiedBy>
  <cp:revision>1</cp:revision>
  <dcterms:created xsi:type="dcterms:W3CDTF">2026-05-09T11:41:12.355Z</dcterms:created>
  <dcterms:modified xsi:type="dcterms:W3CDTF">2026-05-09T11:41:12.355Z</dcterms:modified>
</cp:coreProperties>
</file>

<file path=docProps/custom.xml><?xml version="1.0" encoding="utf-8"?>
<Properties xmlns="http://schemas.openxmlformats.org/officeDocument/2006/custom-properties" xmlns:vt="http://schemas.openxmlformats.org/officeDocument/2006/docPropsVTypes"/>
</file>