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276"/>
        <w:jc w:val="center"/>
      </w:pPr>
      <w:r>
        <w:rPr>
          <w:rFonts w:ascii="Times New Roman" w:cs="Times New Roman" w:eastAsia="Times New Roman" w:hAnsi="Times New Roman"/>
          <w:b/>
          <w:bCs/>
          <w:i w:val="false"/>
          <w:iCs w:val="false"/>
          <w:sz w:val="28"/>
          <w:szCs w:val="28"/>
        </w:rPr>
        <w:t xml:space="preserve">BEYOND URL ANALYSIS: EVALUATING CONTENT-BASED PHISHING DETECTION USING HTML STRUCTURAL FEATURES</w:t>
      </w:r>
    </w:p>
    <w:p>
      <w:pPr>
        <w:spacing w:after="80" w:before="80" w:line="276"/>
        <w:jc w:val="center"/>
      </w:pPr>
      <w:r>
        <w:rPr>
          <w:rFonts w:ascii="Times New Roman" w:cs="Times New Roman" w:eastAsia="Times New Roman" w:hAnsi="Times New Roman"/>
          <w:b/>
          <w:bCs/>
          <w:sz w:val="20"/>
          <w:szCs w:val="20"/>
        </w:rPr>
        <w:t xml:space="preserve">Yousif A. Al-Haj</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b/>
          <w:bCs/>
          <w:sz w:val="20"/>
          <w:szCs w:val="20"/>
        </w:rPr>
        <w:t xml:space="preserve">, Marwan M. Al-Falah</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b/>
          <w:bCs/>
          <w:sz w:val="20"/>
          <w:szCs w:val="20"/>
        </w:rPr>
        <w:t xml:space="preserve">, Naif Mohammed</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b/>
          <w:bCs/>
          <w:sz w:val="20"/>
          <w:szCs w:val="20"/>
        </w:rPr>
        <w:t xml:space="preserve">, E. S. Gebel</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b/>
          <w:bCs/>
          <w:sz w:val="20"/>
          <w:szCs w:val="20"/>
        </w:rPr>
        <w:t xml:space="preserve">, and Abdulrahman Mohammed Hussein Obaid</w:t>
      </w:r>
      <w:r>
        <w:rPr>
          <w:rFonts w:ascii="Times New Roman" w:cs="Times New Roman" w:eastAsia="Times New Roman" w:hAnsi="Times New Roman"/>
          <w:sz w:val="18"/>
          <w:szCs w:val="18"/>
          <w:vertAlign w:val="superscript"/>
        </w:rPr>
        <w:t xml:space="preserve">4</w:t>
      </w:r>
    </w:p>
    <w:p>
      <w:pPr>
        <w:spacing w:after="20" w:before="20" w:line="276"/>
        <w:jc w:val="center"/>
      </w:pPr>
      <w:r>
        <w:rPr>
          <w:rFonts w:ascii="Times New Roman" w:cs="Times New Roman" w:eastAsia="Times New Roman" w:hAnsi="Times New Roman"/>
          <w:b w:val="false"/>
          <w:bCs w:val="false"/>
          <w:i w:val="false"/>
          <w:iCs w:val="false"/>
          <w:sz w:val="16"/>
          <w:szCs w:val="16"/>
        </w:rPr>
        <w:t xml:space="preserve">1 21 University for Medical and Applied Sciences, Department of Artificial Intelligence; Sana'a, Yemen</w:t>
      </w:r>
    </w:p>
    <w:p>
      <w:pPr>
        <w:spacing w:after="20" w:before="20" w:line="276"/>
        <w:jc w:val="center"/>
      </w:pPr>
      <w:r>
        <w:rPr>
          <w:rFonts w:ascii="Times New Roman" w:cs="Times New Roman" w:eastAsia="Times New Roman" w:hAnsi="Times New Roman"/>
          <w:b w:val="false"/>
          <w:bCs w:val="false"/>
          <w:i w:val="false"/>
          <w:iCs w:val="false"/>
          <w:sz w:val="16"/>
          <w:szCs w:val="16"/>
        </w:rPr>
        <w:t xml:space="preserve">2 Peter the Great St. Petersburg Polytechnic University (SPbPU), Institute of Computer Science and Cybersecurity (ICCS); St. Petersburg, Russia</w:t>
      </w:r>
    </w:p>
    <w:p>
      <w:pPr>
        <w:spacing w:after="20" w:before="20" w:line="276"/>
        <w:jc w:val="center"/>
      </w:pPr>
      <w:r>
        <w:rPr>
          <w:rFonts w:ascii="Times New Roman" w:cs="Times New Roman" w:eastAsia="Times New Roman" w:hAnsi="Times New Roman"/>
          <w:b w:val="false"/>
          <w:bCs w:val="false"/>
          <w:i w:val="false"/>
          <w:iCs w:val="false"/>
          <w:sz w:val="16"/>
          <w:szCs w:val="16"/>
        </w:rPr>
        <w:t xml:space="preserve">3 Peter the Great St. Petersburg Polytechnic University (SPbPU), ICCS, Associate Professor; St. Petersburg, Russia</w:t>
      </w:r>
    </w:p>
    <w:p>
      <w:pPr>
        <w:spacing w:after="20" w:before="20" w:line="276"/>
        <w:jc w:val="center"/>
      </w:pPr>
      <w:r>
        <w:rPr>
          <w:rFonts w:ascii="Times New Roman" w:cs="Times New Roman" w:eastAsia="Times New Roman" w:hAnsi="Times New Roman"/>
          <w:b w:val="false"/>
          <w:bCs w:val="false"/>
          <w:i w:val="false"/>
          <w:iCs w:val="false"/>
          <w:sz w:val="16"/>
          <w:szCs w:val="16"/>
        </w:rPr>
        <w:t xml:space="preserve">4 21 University for Medical and Applied Sciences, Department of Information Technology, Assistant Professor; Sana'a, Yemen</w:t>
      </w:r>
    </w:p>
    <w:p>
      <w:pPr>
        <w:spacing w:after="20" w:before="20" w:line="276"/>
        <w:jc w:val="center"/>
      </w:pPr>
      <w:r>
        <w:rPr>
          <w:rFonts w:ascii="Times New Roman" w:cs="Times New Roman" w:eastAsia="Times New Roman" w:hAnsi="Times New Roman"/>
          <w:b w:val="false"/>
          <w:bCs w:val="false"/>
          <w:i w:val="false"/>
          <w:iCs w:val="false"/>
          <w:sz w:val="16"/>
          <w:szCs w:val="16"/>
        </w:rPr>
        <w:t xml:space="preserve">* Corresponding author: yalhaj@gmail.com</w:t>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Abstract</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Phishing websites continue to threaten internet users despite decades of detection research. Most published work combines URL features, network signals, and content analysis, which makes it difficult to know how much of the detection capability comes from each source. We address this question by evaluating what HTML content features can do on their own, without any URL or network information. Our dataset contains 40,000 webpages, evenly split between 20,000 phishing pages from PhishTank and 20,000 legitimate pages from Tranco, all collected through live retrieval in early 2026. We extract 15 features from each page, covering text properties, structural element counts, and hyperlink patterns. Seven supervised classifiers are evaluated under stratified 5-fold cross-validation.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Random Forest produced the strongest results, with an F1-score of 0.940 (±0.002) on the phishing class and an ROC-AUC of 0.983 (±0.001), achieving a balanced false-negative rate of 0.065 and false-positive rate of 0.053. Permutation importance and SHAP analysis revealed that four features—n_links, n_scripts, n_images, and title_len—carry most of the predictive signal, while three binary credential-harvesting indicators contribute almost nothing. An ablation study confirmed that a compact 5-feature subset retains nearly the full performance (F1 = 0.926). Per-class SHAP showed that the same features push the model in opposite directions depending on the true label, and qualitative error analysis identified the failure modes: structurally rich phishing pages that mimic legitimate sites and resource-heavy legitimate pages that resemble phishing footprints. The contribution of this paper is not a new architecture or a record-breaking score; it is a focused, interpretable picture of how far HTML content alone can take phishing detection, and where it stops working.</w:t>
      </w:r>
    </w:p>
    <w:p>
      <w:pPr>
        <w:spacing w:after="200" w:before="80" w:line="276"/>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Phishing Detection; Content-Based Detection; HTML Feature Extraction; Machine Learning; Model Interpretability; Cybersecurity</w:t>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I. INTRODUCTION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Phishing remains one of the most stubborn problems in applied cybersecurity. The Anti-Phishing Working Group reported more than one million phishing attacks in a single recent quarter, continuing a long upward trend [17]. Verizon's 2024 Data Breach Investigations Report places social engineering, mostly phishing, among the top initial-access vectors across nearly every industry sector [18]. Defenders have responded with a steady stream of detection techniques: URL-based classifiers, hybrid systems that combine URLs with HTML, deep learning models that consume entire raw documents, and visual similarity methods. Reported accuracies regularly exceed 95% under controlled conditions [5].</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These numbers, however, often hide an important detail. When researchers combine URL lexical features with HTML content and reputation signals, the resulting model is genuinely strong—but it is hard to tell how much of that strength comes from each piece. URL features in particular can dominate, because phishing URLs frequently contain telltale lexical patterns. The role of HTML content alone, separated from everything else, is much less clear. This matters in practice: in deployment scenarios where the URL has already been rewritten by a redirect service, or where the page is being inspected after a click, the URL signal may be partially or wholly unavailable.</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This paper takes a deliberately narrow question and answers it carefully: how well can HTML content features classify phishing pages on their own, which features matter, and where do they fail? We are not proposing a new architecture or claiming a benchmark record. We are providing a clean, interpretable measurement of what static HTML structure can do in isolation, using a balanced 40,000-page dataset collected through live retrieval. Our contributions are:</w:t>
      </w:r>
    </w:p>
    <w:p>
      <w:pPr>
        <w:spacing w:after="40" w:before="40" w:line="276"/>
        <w:jc w:val="both"/>
      </w:pPr>
      <w:r>
        <w:rPr>
          <w:rFonts w:ascii="Times New Roman" w:cs="Times New Roman" w:eastAsia="Times New Roman" w:hAnsi="Times New Roman"/>
          <w:b w:val="false"/>
          <w:bCs w:val="false"/>
          <w:i w:val="false"/>
          <w:iCs w:val="false"/>
          <w:sz w:val="20"/>
          <w:szCs w:val="20"/>
        </w:rPr>
        <w:t xml:space="preserve">1) We construct a balanced dataset of 40,000 webpages (20,000 phishing from PhishTank, 20,000 legitimate from Tranco) through live HTTP retrieval, documenting the full collection pipeline including success rates and failure modes.</w:t>
      </w:r>
    </w:p>
    <w:p>
      <w:pPr>
        <w:spacing w:after="40" w:before="40" w:line="276"/>
        <w:jc w:val="both"/>
      </w:pPr>
      <w:r>
        <w:rPr>
          <w:rFonts w:ascii="Times New Roman" w:cs="Times New Roman" w:eastAsia="Times New Roman" w:hAnsi="Times New Roman"/>
          <w:b w:val="false"/>
          <w:bCs w:val="false"/>
          <w:i w:val="false"/>
          <w:iCs w:val="false"/>
          <w:sz w:val="20"/>
          <w:szCs w:val="20"/>
        </w:rPr>
        <w:t xml:space="preserve">2) We evaluate seven supervised classifiers using a 15-dimensional feature vector derived only from HTML content, with no URL lexical features, reputation lookups, or network signals.</w:t>
      </w:r>
    </w:p>
    <w:p>
      <w:pPr>
        <w:spacing w:after="40" w:before="40" w:line="276"/>
        <w:jc w:val="both"/>
      </w:pPr>
      <w:r>
        <w:rPr>
          <w:rFonts w:ascii="Times New Roman" w:cs="Times New Roman" w:eastAsia="Times New Roman" w:hAnsi="Times New Roman"/>
          <w:b w:val="false"/>
          <w:bCs w:val="false"/>
          <w:i w:val="false"/>
          <w:iCs w:val="false"/>
          <w:sz w:val="20"/>
          <w:szCs w:val="20"/>
        </w:rPr>
        <w:t xml:space="preserve">3) We report fold-by-fold variability, per-class precision/recall, and aggregated false-negative and false-positive trade-offs rather than mean accuracy alone.</w:t>
      </w:r>
    </w:p>
    <w:p>
      <w:pPr>
        <w:spacing w:after="40" w:before="40" w:line="276"/>
        <w:jc w:val="both"/>
      </w:pPr>
      <w:r>
        <w:rPr>
          <w:rFonts w:ascii="Times New Roman" w:cs="Times New Roman" w:eastAsia="Times New Roman" w:hAnsi="Times New Roman"/>
          <w:b w:val="false"/>
          <w:bCs w:val="false"/>
          <w:i w:val="false"/>
          <w:iCs w:val="false"/>
          <w:sz w:val="20"/>
          <w:szCs w:val="20"/>
        </w:rPr>
        <w:t xml:space="preserve">4) We provide a feature-level interpretability analysis that combines permutation importance, global and class-specific SHAP, dependence plots, ablation with reduced feature subsets, and qualitative error analysis to characterize when and why the content-only representation succeeds or fails.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The rest of the paper is organized as follows. Section II reviews related work. Section III describes the methodology. Section IV presents the experimental results. Section V discusses what these results mean. Section VI lists the limitations of the study. Section VII concludes.</w:t>
      </w:r>
    </w:p>
    <w:p>
      <w:r>
        <w:br w:type="page"/>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II. RELATED WORK</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Phishing detection has moved through several research generations, from blacklists and heuristic rules to classical machine learning and, more recently, deep learning. We organize the discussion around four threads that are relevant to our setup.</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A. URL-Based and Hybrid Approaches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Early machine-learning systems extracted lexical features from URLs themselves, such as length, special-character density, and the presence of brand-imitating substrings. These methods perform well within their training distribution but are known to degrade sharply on different datasets. Mia and colleagues [8] documented drops of around 20% in F1 when URL-based classifiers were tested across datasets. Hybrid systems that add HTML and resource information to URL features have become the dominant paradigm because they pool multiple signals [6, 7]. The downside is that the contribution of each signal becomes entangled with the others.</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B. Content-Based and HTML-Based Detection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Several studies have shown that HTML structure alone carries useful information. Pages that ask for credentials, mimic banking interfaces, or chain through multiple redirects often share structural patterns that pure URL inspection misses. Privacy-preserving approaches that operate on hashed HTML representations have demonstrated this, though they typically use deep learning on full documents rather than handcrafted feature vectors [6]. Çolhak and coauthors [12] applied multi-model HTML analysis to phishing detection. Most of this work focuses on aggregate accuracy and rarely separates out per-class behavior, fold variability, or feature contributions.</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C. Deep Learning and Comparison to Our Setup</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Deep learning baselines on phishing typically report higher accuracy than the methods we evaluate. Zara et al. [5] reported above 95% accuracy with deep learning on combined HTML and URL features. Murhej and Nallasivan [7] reported above 96% with EfficientNet and BERT on a richer feature set. Our F1 of 0.940 with 15 handcrafted HTML features is below these numbers, and that gap is expected. Two effects are at work: deep models can learn arbitrarily rich representations from raw documents, and most baselines also use URL lexical features that we deliberately exclude. The point of our study is not to outperform these systems but to measure what HTML content alone, in classical ML form, can accomplish on its own.</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D. Interpretability and the Gap We Address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Few content-based studies report class-specific feature interpretation, ablation analysis showing which features actually matter, or qualitative error analysis on misclassified samples. Mia and coauthors [8] used XAI techniques but on URL features, not HTML. Most other work treats interpretability as an afterthought. Our paper closes this gap by combining permutation importance, global SHAP, per-class SHAP, dependence plots, ablation, and qualitative error analysis on the same dataset and model. Table 1 places our work in the context of representative prior studies.</w:t>
      </w:r>
    </w:p>
    <w:p>
      <w:pPr>
        <w:spacing w:after="80" w:before="200" w:line="276"/>
        <w:jc w:val="center"/>
      </w:pPr>
      <w:r>
        <w:rPr>
          <w:rFonts w:ascii="Times New Roman" w:cs="Times New Roman" w:eastAsia="Times New Roman" w:hAnsi="Times New Roman"/>
          <w:b/>
          <w:bCs/>
          <w:i w:val="false"/>
          <w:iCs w:val="false"/>
          <w:sz w:val="18"/>
          <w:szCs w:val="18"/>
        </w:rPr>
        <w:t xml:space="preserve">Table 1. Comparison with Representative Prior Work on Phishing 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100"/>
        <w:gridCol w:w="600"/>
        <w:gridCol w:w="600"/>
        <w:gridCol w:w="600"/>
        <w:gridCol w:w="1200"/>
        <w:gridCol w:w="1100"/>
        <w:gridCol w:w="1100"/>
      </w:tblGrid>
      <w:tr>
        <w:tc>
          <w:tcPr>
            <w:tcW w:type="dxa" w:w="13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Study</w:t>
            </w:r>
          </w:p>
        </w:tc>
        <w:tc>
          <w:tcPr>
            <w:tcW w:type="dxa" w:w="14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Dataset</w:t>
            </w:r>
          </w:p>
        </w:tc>
        <w:tc>
          <w:tcPr>
            <w:tcW w:type="dxa" w:w="11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Features</w:t>
            </w:r>
          </w:p>
        </w:tc>
        <w:tc>
          <w:tcPr>
            <w:tcW w:type="dxa" w:w="6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URL?</w:t>
            </w:r>
          </w:p>
        </w:tc>
        <w:tc>
          <w:tcPr>
            <w:tcW w:type="dxa" w:w="6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HTML?</w:t>
            </w:r>
          </w:p>
        </w:tc>
        <w:tc>
          <w:tcPr>
            <w:tcW w:type="dxa" w:w="6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DL?</w:t>
            </w:r>
          </w:p>
        </w:tc>
        <w:tc>
          <w:tcPr>
            <w:tcW w:type="dxa" w:w="12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Interpret.</w:t>
            </w:r>
          </w:p>
        </w:tc>
        <w:tc>
          <w:tcPr>
            <w:tcW w:type="dxa" w:w="11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Eval.</w:t>
            </w:r>
          </w:p>
        </w:tc>
        <w:tc>
          <w:tcPr>
            <w:tcW w:type="dxa" w:w="11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Result</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Zara et al. [5]</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Custom crawl</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HTML + URL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Train/Test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&gt;95% Acc</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Çolhak et al. [12]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PhishTank+Alexa</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HTML content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No</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CV</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~97% Acc</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Murhej et al. [7]</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Custom</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Combined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Train/Test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&gt;96% Acc</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Mia et al. [8]</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Multiple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URL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No</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XAI</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Cross-data</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~20% drop</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This work</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PhishTank+Tranco</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HTML only (d=15)</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No</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Yes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SHAP+Abl.</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Strat. 5-fold</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F1=0.940</w:t>
            </w:r>
          </w:p>
        </w:tc>
      </w:tr>
    </w:tbl>
    <w:p>
      <w:r>
        <w:br w:type="page"/>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III. METHODOLOGY</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A. Problem Definition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We treat phishing detection as a binary classification problem. Given a feature vector x ∈ ℝ¹⁵ computed from a webpage's HTML source, a classifier learns f(x) → y, with y = 1 indicating a phishing page and y = 0 a legitimate one. The vector dimension is fixed at d = 15. No URL string, reputation data, or network telemetry enters the model. Training and testing are performed on data drawn from the same collection, so the results characterize within-distribution performance. We do not evaluate temporal generalization, cross-dataset transfer, or adversarial robustness; these are listed in Section VI as future work.</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B. Data Collection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Phishing pages were drawn from PhishTank's verified online feed and legitimate pages from the Tranco top-domain ranking. Both lists were retrieved during a single collection window between January and March 2026. Pages were fetched live with a five-second connection timeout, ten-second read timeout, and a single retry per URL. We discarded pages that returned HTTP errors, were truncated, contained fewer than 256 bytes of HTML, or duplicated either an existing URL or an existing HTML hash.</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From 56,492 candidate phishing URLs, we successfully retrieved 20,000 unique pages, a success rate of approximately 67% after accounting for duplicates and retries. From the Tranco top 100,000 domains, we retrieved 20,000 unique legitimate pages at a success rate of approximately 26% (the lower rate reflects domains that redirect, refuse non-browser clients, or serve interstitial pages). Table 2 summarizes the pipeline.</w:t>
      </w:r>
    </w:p>
    <w:p>
      <w:pPr>
        <w:spacing w:after="80" w:before="200" w:line="276"/>
        <w:jc w:val="center"/>
      </w:pPr>
      <w:r>
        <w:rPr>
          <w:rFonts w:ascii="Times New Roman" w:cs="Times New Roman" w:eastAsia="Times New Roman" w:hAnsi="Times New Roman"/>
          <w:b/>
          <w:bCs/>
          <w:i w:val="false"/>
          <w:iCs w:val="false"/>
          <w:sz w:val="18"/>
          <w:szCs w:val="18"/>
        </w:rPr>
        <w:t xml:space="preserve">Table 2. Dataset Collection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Stage</w:t>
            </w:r>
          </w:p>
        </w:tc>
        <w:tc>
          <w:tcPr>
            <w:tcW w:type="dxa" w:w="294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Phishing</w:t>
            </w:r>
          </w:p>
        </w:tc>
        <w:tc>
          <w:tcPr>
            <w:tcW w:type="dxa" w:w="294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Legitimate</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Candidate URLs available</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56,492</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Total fetch attempts</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29,169</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76,383</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Failed fetches (errors, timeouts)</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9,169</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56,383</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Successful retrievals</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20,000</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Final samples used</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20,000</w:t>
            </w:r>
          </w:p>
        </w:tc>
        <w:tc>
          <w:tcPr>
            <w:tcW w:type="dxa" w:w="2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20,000</w:t>
            </w:r>
          </w:p>
        </w:tc>
      </w:tr>
    </w:tbl>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The final dataset contains 40,000 webpages with a balanced class distribution: 20,000 phishing (50.0%) and 20,000 legitimate (50.0%). The balanced design eliminates the class-imbalance confound that has complicated interpretation in prior studies. Stratified 5-fold cross-validation preserves this proportion in every fold. No SMOTE, class weighting, or other resampling was applied. Continuous features were z-score normalized using parameters estimated from the training fold only, preventing leakage.</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C. Feature Extraction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Each page is represented by 15 features grouped into three categories: textual (4 features), structural (8 features), and hyperlink/resource (3 features). Table 3 specifies all of them.</w:t>
      </w:r>
    </w:p>
    <w:p>
      <w:pPr>
        <w:spacing w:after="80" w:before="200" w:line="276"/>
        <w:jc w:val="center"/>
      </w:pPr>
      <w:r>
        <w:rPr>
          <w:rFonts w:ascii="Times New Roman" w:cs="Times New Roman" w:eastAsia="Times New Roman" w:hAnsi="Times New Roman"/>
          <w:b/>
          <w:bCs/>
          <w:i w:val="false"/>
          <w:iCs w:val="false"/>
          <w:sz w:val="18"/>
          <w:szCs w:val="18"/>
        </w:rPr>
        <w:t xml:space="preserve">Table 3. The 15 HTML-Derived Content Features (d = 15)</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4500"/>
      </w:tblGrid>
      <w:tr>
        <w:tc>
          <w:tcPr>
            <w:tcW w:type="dxa" w:w="5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w:t>
            </w:r>
          </w:p>
        </w:tc>
        <w:tc>
          <w:tcPr>
            <w:tcW w:type="dxa" w:w="17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Feature</w:t>
            </w:r>
          </w:p>
        </w:tc>
        <w:tc>
          <w:tcPr>
            <w:tcW w:type="dxa" w:w="10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Category</w:t>
            </w:r>
          </w:p>
        </w:tc>
        <w:tc>
          <w:tcPr>
            <w:tcW w:type="dxa" w:w="6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Type</w:t>
            </w:r>
          </w:p>
        </w:tc>
        <w:tc>
          <w:tcPr>
            <w:tcW w:type="dxa" w:w="45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Definition / Extraction Rule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n_links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Hyperlink</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Count of all &lt;a href&gt; elements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n_scripts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Structural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Count of &lt;script&gt; tags (inline + external)</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n_images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Structural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Count of &lt;img&gt; tags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title_len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Textual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Character length of &lt;title&gt; tag content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n_iframes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Structural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Count of &lt;iframe&gt; tags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text_len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Textual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Character count of visible body text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7</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word_count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Textual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Whitespace-separated tokens in visible text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8</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n_inputs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Structural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Count of &lt;input&gt; elements (any type)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9</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n_external_links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Hyperlink</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Links pointing to a different registered domain</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keyword_hits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Textual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Count of distinct phishing keywords present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11</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external_link_ratio</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Hyperlink</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Float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n_external_links / n_links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n_forms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Structural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Int</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Count of &lt;form&gt; elements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13</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has_email_field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Structural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Bin</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 if &lt;input type='email'&gt; exists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has_submit_field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Structural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Bin</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 if submit button exists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has_password_field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Structural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Bin</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 if &lt;input type='password'&gt; exists</w:t>
            </w:r>
          </w:p>
        </w:tc>
      </w:tr>
    </w:tbl>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Visible text was extracted after removing script, style, noscript, and hidden elements. External links were identified by comparing registered domains using tldextract v5.1. The phishing keyword list contains: verify, login, password, update, bank, account, confirm, secure. Binary features were retained as 0/1 indicators without normalization.</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D. Models and Evaluation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We evaluate seven supervised classifiers covering the standard taxonomy: Gaussian Naive Bayes, RBF-kernel SVM, k-Nearest Neighbors, Decision Tree, Random Forest, AdaBoost, and a Multi-Layer Perceptron. All seven use scikit-learn 1.3 default hyperparameters with two documented exceptions: SVC was instantiated with probability=True so that ROC-AUC could be computed, and MLPClassifier used max_iter=500 to ensure convergence. Random Forest and AdaBoost both used n_estimators=100. We did not perform grid or random search hyperparameter tuning. The reason is methodological: tuning on a fixed dataset can inflate apparent performance and complicates interpretation of feature contributions. Reporting the default-hyperparameter baseline gives a clean reference point that can be improved by tuning if a downstream user wishes.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All metrics are reported as mean and standard deviation over five stratified folds. Precision, recall, and F1 are computed for the positive (phishing) class with average='binary' and pos_label=1. We also report accuracy, ROC-AUC, false-negative rate, and false-positive rate. Confusion matrices were aggregated across all out-of-fold predictions. With only five fold-level observations per classifier, the two-sided exact Wilcoxon signed-rank test cannot reach p &lt; 0.05 (the minimum attainable p-value is 0.0625), so model comparisons are reported as fold-by-fold dominance counts with the corresponding p-values for reference but without claims of statistical significance.</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E. Implementation and Reproducibility</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All experiments use Python 3.11 with scikit-learn 1.8, pandas 3.0, numpy 2.4, BeautifulSoup4 4.12, Requests 2.31, tldextract 5.1, and shap 0.51. The notebook, requirements.txt, README, and complete results (CSV tables, PNG and PDF figures, metadata.json) are publicly available at the GitHub repository listed in the references [19]. The random seed is fixed at 42 throughout. Train-fold-only normalization is implemented via scikit-learn's ColumnTransformer inside the cross-validation loop.</w:t>
      </w:r>
    </w:p>
    <w:p>
      <w:r>
        <w:br w:type="page"/>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IV. EXPERIMENTAL EVALUATION</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A. Overall Performance</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Table 4 reports the cross-validation performance of all seven classifiers. Random Forest achieves the highest mean F1 (0.940 ± 0.002) and the highest ROC-AUC (0.983 ± 0.001) with the lowest variance among the top performers. Decision Tree comes second on F1 (0.921), then KNN (0.913) and MLP (0.908). The standard deviations across folds are remarkably tight, all between 0.001 and 0.004, indicating that classifier behavior is stable across the five splits. Gaussian Naive Bayes anchors the bottom: it achieves the highest recall (0.973) but at a cost—a 0.349 false-positive rate that is operationally unusable.</w:t>
      </w:r>
    </w:p>
    <w:p>
      <w:pPr>
        <w:spacing w:after="80" w:before="200" w:line="276"/>
        <w:jc w:val="center"/>
      </w:pPr>
      <w:r>
        <w:rPr>
          <w:rFonts w:ascii="Times New Roman" w:cs="Times New Roman" w:eastAsia="Times New Roman" w:hAnsi="Times New Roman"/>
          <w:b/>
          <w:bCs/>
          <w:i w:val="false"/>
          <w:iCs w:val="false"/>
          <w:sz w:val="18"/>
          <w:szCs w:val="18"/>
        </w:rPr>
        <w:t xml:space="preserve">Table 4. Performance Comparison (Mean ± SD, Positive-Class Metrics, 5 Folds)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100"/>
        <w:gridCol w:w="770"/>
        <w:gridCol w:w="770"/>
        <w:gridCol w:w="700"/>
        <w:gridCol w:w="800"/>
        <w:gridCol w:w="800"/>
        <w:gridCol w:w="680"/>
        <w:gridCol w:w="680"/>
        <w:gridCol w:w="750"/>
        <w:gridCol w:w="750"/>
      </w:tblGrid>
      <w:tr>
        <w:tc>
          <w:tcPr>
            <w:tcW w:type="dxa" w:w="11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Model</w:t>
            </w:r>
          </w:p>
        </w:tc>
        <w:tc>
          <w:tcPr>
            <w:tcW w:type="dxa" w:w="77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Acc</w:t>
            </w:r>
          </w:p>
        </w:tc>
        <w:tc>
          <w:tcPr>
            <w:tcW w:type="dxa" w:w="77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Prec</w:t>
            </w:r>
          </w:p>
        </w:tc>
        <w:tc>
          <w:tcPr>
            <w:tcW w:type="dxa" w:w="7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Recall</w:t>
            </w:r>
          </w:p>
        </w:tc>
        <w:tc>
          <w:tcPr>
            <w:tcW w:type="dxa" w:w="8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F1</w:t>
            </w:r>
          </w:p>
        </w:tc>
        <w:tc>
          <w:tcPr>
            <w:tcW w:type="dxa" w:w="8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AUC</w:t>
            </w:r>
          </w:p>
        </w:tc>
        <w:tc>
          <w:tcPr>
            <w:tcW w:type="dxa" w:w="6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FNR</w:t>
            </w:r>
          </w:p>
        </w:tc>
        <w:tc>
          <w:tcPr>
            <w:tcW w:type="dxa" w:w="6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FPR</w:t>
            </w:r>
          </w:p>
        </w:tc>
        <w:tc>
          <w:tcPr>
            <w:tcW w:type="dxa" w:w="75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F1 SD</w:t>
            </w:r>
          </w:p>
        </w:tc>
        <w:tc>
          <w:tcPr>
            <w:tcW w:type="dxa" w:w="75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AUC SD</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Random Forest</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0.941</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0.946</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0.935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0.940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0.983</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0.065</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0.053</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Decision Tree</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0.920</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0.912</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0.930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0.921</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0.929</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0.070</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0.089</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KNN</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0.914</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0.927</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0.899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0.913</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0.956</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0.101</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0.071</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0.004</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MLP</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0.904</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0.875</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0.943</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0.908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0.970</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0.057</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0.135</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SVM-RBF</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0.889</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0.852</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0.942</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0.894</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0.945</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0.058</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0.164</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0.004</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0.003</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AdaBoost</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0.885</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0.841</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0.892</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0.957</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0.051</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0.179</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0.004</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0.003</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Gaussian NB</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0.812</w:t>
            </w:r>
          </w:p>
        </w:tc>
        <w:tc>
          <w:tcPr>
            <w:tcW w:type="dxa" w:w="7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0.736</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0.973</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0.838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0.885</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0.027</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0.349</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0.003</w:t>
            </w:r>
          </w:p>
        </w:tc>
        <w:tc>
          <w:tcPr>
            <w:tcW w:type="dxa" w:w="7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0.004</w:t>
            </w:r>
          </w:p>
        </w:tc>
      </w:tr>
    </w:tbl>
    <w:p>
      <w:pPr>
        <w:pStyle w:val="Heading2"/>
        <w:spacing w:after="120" w:before="200" w:line="276"/>
        <w:jc w:val="left"/>
      </w:pPr>
      <w:r>
        <w:rPr>
          <w:rFonts w:ascii="Times New Roman" w:cs="Times New Roman" w:eastAsia="Times New Roman" w:hAnsi="Times New Roman"/>
          <w:b/>
          <w:bCs/>
          <w:i w:val="false"/>
          <w:iCs w:val="false"/>
          <w:sz w:val="22"/>
          <w:szCs w:val="22"/>
        </w:rPr>
        <w:t xml:space="preserve">B. Descriptive Model Comparison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Random Forest beat every other classifier on F1 in all five folds (5/5 wins against each competitor). With only five paired observations, the exact two-sided Wilcoxon test produces p = 0.0625 in all comparisons, which is the smallest p-value the test can produce at this sample size. We therefore describe Random Forest's advantage as consistent and substantial in magnitude (multi-percentage-point gaps in mean F1) but cannot establish formal significance at α = 0.05. A 10×5 repeated stratified k-fold protocol would generate the 50 paired observations needed for a proper significance test, and we recommend this for follow-up work.</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C. ROC Analysis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Figure 1 shows the ROC curves for all seven classifiers. Each curve is computed from the concatenated out-of-fold predictions across all five folds, not the arithmetic mean of per-fold curves. Random Forest dominates over the entire range of operating thresholds. The MLP curve approaches Random Forest at high false-positive rates but lags at the operating points most relevant to deployment.</w:t>
      </w:r>
    </w:p>
    <w:p>
      <w:pPr>
        <w:spacing w:after="120" w:before="80" w:line="276"/>
        <w:jc w:val="center"/>
      </w:pPr>
      <w:r>
        <w:rPr>
          <w:rFonts w:ascii="Times New Roman" w:cs="Times New Roman" w:eastAsia="Times New Roman" w:hAnsi="Times New Roman"/>
          <w:b w:val="false"/>
          <w:bCs w:val="false"/>
          <w:i/>
          <w:iCs/>
          <w:sz w:val="18"/>
          <w:szCs w:val="18"/>
        </w:rPr>
        <w:t xml:space="preserve">Figure 1. ROC curves for the seven classifiers, computed from aggregated out-of-fold predictions across the five stratified cross-validation folds. AUC values are shown in the legend.</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D. Aggregated Confusion Matrices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Table 5 presents aggregated confusion matrix counts from all 40,000 out-of-fold predictions, normalized to N = 600 per model for proportional comparison. The metrics in the right-hand columns are computed from the full raw counts. Random Forest produces the most balanced error distribution: 16 false positives and 20 false negatives per 600 samples. Gaussian NB highlights the cost of recall-only optimization—only 8 false negatives but 105 false positives.</w:t>
      </w:r>
    </w:p>
    <w:p>
      <w:pPr>
        <w:spacing w:after="80" w:before="200" w:line="276"/>
        <w:jc w:val="center"/>
      </w:pPr>
      <w:r>
        <w:rPr>
          <w:rFonts w:ascii="Times New Roman" w:cs="Times New Roman" w:eastAsia="Times New Roman" w:hAnsi="Times New Roman"/>
          <w:b/>
          <w:bCs/>
          <w:i w:val="false"/>
          <w:iCs w:val="false"/>
          <w:sz w:val="18"/>
          <w:szCs w:val="18"/>
        </w:rPr>
        <w:t xml:space="preserve">Table 5. Aggregated Confusion Matrix (Counts Normalized to N=600; Metrics from Full Dataset)</w:t>
      </w:r>
    </w:p>
    <w:tbl>
      <w:tblPr>
        <w:tblW w:type="dxa" w:w="7620"/>
        <w:tblBorders>
          <w:top w:val="single" w:color="auto" w:sz="4"/>
          <w:left w:val="single" w:color="auto" w:sz="4"/>
          <w:bottom w:val="single" w:color="auto" w:sz="4"/>
          <w:right w:val="single" w:color="auto" w:sz="4"/>
          <w:insideH w:val="single" w:color="auto" w:sz="4"/>
          <w:insideV w:val="single" w:color="auto" w:sz="4"/>
        </w:tblBorders>
      </w:tblPr>
      <w:tblGrid>
        <w:gridCol w:w="1000"/>
        <w:gridCol w:w="500"/>
        <w:gridCol w:w="580"/>
        <w:gridCol w:w="580"/>
        <w:gridCol w:w="580"/>
        <w:gridCol w:w="580"/>
        <w:gridCol w:w="780"/>
        <w:gridCol w:w="780"/>
        <w:gridCol w:w="780"/>
        <w:gridCol w:w="780"/>
        <w:gridCol w:w="680"/>
      </w:tblGrid>
      <w:tr>
        <w:tc>
          <w:tcPr>
            <w:tcW w:type="dxa" w:w="10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Model</w:t>
            </w:r>
          </w:p>
        </w:tc>
        <w:tc>
          <w:tcPr>
            <w:tcW w:type="dxa" w:w="5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N</w:t>
            </w:r>
          </w:p>
        </w:tc>
        <w:tc>
          <w:tcPr>
            <w:tcW w:type="dxa" w:w="5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TN</w:t>
            </w:r>
          </w:p>
        </w:tc>
        <w:tc>
          <w:tcPr>
            <w:tcW w:type="dxa" w:w="5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FP</w:t>
            </w:r>
          </w:p>
        </w:tc>
        <w:tc>
          <w:tcPr>
            <w:tcW w:type="dxa" w:w="5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FN</w:t>
            </w:r>
          </w:p>
        </w:tc>
        <w:tc>
          <w:tcPr>
            <w:tcW w:type="dxa" w:w="5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TP</w:t>
            </w:r>
          </w:p>
        </w:tc>
        <w:tc>
          <w:tcPr>
            <w:tcW w:type="dxa" w:w="7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Acc</w:t>
            </w:r>
          </w:p>
        </w:tc>
        <w:tc>
          <w:tcPr>
            <w:tcW w:type="dxa" w:w="7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Prec</w:t>
            </w:r>
          </w:p>
        </w:tc>
        <w:tc>
          <w:tcPr>
            <w:tcW w:type="dxa" w:w="7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Recall</w:t>
            </w:r>
          </w:p>
        </w:tc>
        <w:tc>
          <w:tcPr>
            <w:tcW w:type="dxa" w:w="7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F1</w:t>
            </w:r>
          </w:p>
        </w:tc>
        <w:tc>
          <w:tcPr>
            <w:tcW w:type="dxa" w:w="68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FPR</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Rnd. Forest</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600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284</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16</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280</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0.941</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0.946</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0.935</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0.940</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0.053</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Dec. Tree</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600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273</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27</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21</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279</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0.920</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0.912</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0.930</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0.921</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0.089</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KNN</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600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279</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21</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30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270</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0.914</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0.927</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0.899</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0.913</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0.071</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MLP</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600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260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40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17</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283</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0.904</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0.875</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0.943</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0.908</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0.135</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SVM-RBF</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600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251</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49</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17</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283</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0.889</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0.852</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0.942</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0.894</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0.164</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AdaBoost</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600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246</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54</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15</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285</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0.885</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0.841</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0.949</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0.892</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0.179</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Gaussian NB</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600</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195</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105</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8</w:t>
            </w:r>
          </w:p>
        </w:tc>
        <w:tc>
          <w:tcPr>
            <w:tcW w:type="dxa" w:w="5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292</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0.812</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0.736</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0.973</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0.838</w:t>
            </w:r>
          </w:p>
        </w:tc>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0.349</w:t>
            </w:r>
          </w:p>
        </w:tc>
      </w:tr>
    </w:tbl>
    <w:p>
      <w:pPr>
        <w:pStyle w:val="Heading2"/>
        <w:spacing w:after="120" w:before="200" w:line="276"/>
        <w:jc w:val="left"/>
      </w:pPr>
      <w:r>
        <w:rPr>
          <w:rFonts w:ascii="Times New Roman" w:cs="Times New Roman" w:eastAsia="Times New Roman" w:hAnsi="Times New Roman"/>
          <w:b/>
          <w:bCs/>
          <w:i w:val="false"/>
          <w:iCs w:val="false"/>
          <w:sz w:val="22"/>
          <w:szCs w:val="22"/>
        </w:rPr>
        <w:t xml:space="preserve">E. Feature Importance</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Table 6 presents the permutation importance ranking for Random Forest. Four features dominate: n_links (0.200), n_scripts (0.141), n_images (0.082), and title_len (0.081). Together they account for roughly two-thirds of the total ranked importance. Three features at the bottom—has_email_field, has_submit_field, and has_password_field—are essentially flat at ≤0.002. This is a striking result given that credential-harvesting indicators are intuitively associated with phishing: in this dataset, structural counts of links, scripts, and images carry far more discriminative information than the binary presence of credential-input fields.</w:t>
      </w:r>
    </w:p>
    <w:p>
      <w:pPr>
        <w:spacing w:after="80" w:before="200" w:line="276"/>
        <w:jc w:val="center"/>
      </w:pPr>
      <w:r>
        <w:rPr>
          <w:rFonts w:ascii="Times New Roman" w:cs="Times New Roman" w:eastAsia="Times New Roman" w:hAnsi="Times New Roman"/>
          <w:b/>
          <w:bCs/>
          <w:i w:val="false"/>
          <w:iCs w:val="false"/>
          <w:sz w:val="18"/>
          <w:szCs w:val="18"/>
        </w:rPr>
        <w:t xml:space="preserve">Table 6. Permutation Feature Importance (Random Forest)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000"/>
      </w:tblGrid>
      <w:tr>
        <w:tc>
          <w:tcPr>
            <w:tcW w:type="dxa" w:w="8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Rank</w:t>
            </w:r>
          </w:p>
        </w:tc>
        <w:tc>
          <w:tcPr>
            <w:tcW w:type="dxa" w:w="22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Feature</w:t>
            </w:r>
          </w:p>
        </w:tc>
        <w:tc>
          <w:tcPr>
            <w:tcW w:type="dxa" w:w="20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Importance (Mean)</w:t>
            </w:r>
          </w:p>
        </w:tc>
        <w:tc>
          <w:tcPr>
            <w:tcW w:type="dxa" w:w="20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Importance (SD)</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n_links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0.200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n_scripts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0.141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n_images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0.082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title_len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0.081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n_iframes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0.057</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text_len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0.042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word_count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0.029</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8</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n_inputs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0.027</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n_external_links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0.023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keyword_hits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0.014</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0.000</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external_link_ratio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0.013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0.000</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n_forms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0.008</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has_email_field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0.000</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has_submit_field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0.000</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15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has_password_field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0.000</w:t>
            </w:r>
          </w:p>
        </w:tc>
      </w:tr>
    </w:tbl>
    <w:p>
      <w:pPr>
        <w:pStyle w:val="Heading2"/>
        <w:spacing w:after="120" w:before="200" w:line="276"/>
        <w:jc w:val="left"/>
      </w:pPr>
      <w:r>
        <w:rPr>
          <w:rFonts w:ascii="Times New Roman" w:cs="Times New Roman" w:eastAsia="Times New Roman" w:hAnsi="Times New Roman"/>
          <w:b/>
          <w:bCs/>
          <w:i w:val="false"/>
          <w:iCs w:val="false"/>
          <w:sz w:val="22"/>
          <w:szCs w:val="22"/>
        </w:rPr>
        <w:t xml:space="preserve">F. Class-Specific SHAP Analysis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Figure 2 shows the global SHAP summary for the phishing-class output of the Random Forest. Figures 3a and 3b decompose this into per-class views. The class-specific analysis reveals an important asymmetry that the global view obscures: high values of n_links and n_scripts push the model toward predicting legitimate (Figure 3b shows red points clustered on the positive SHAP side for the legitimate class), while low values push it toward phishing (Figure 3a shows blue points on the negative side for the phishing class). The same features therefore play opposite directional roles depending on the class context—a pattern that simple importance ranking cannot reveal. Figure 4 presents SHAP dependence plots for n_links, word_count, and text_len, showing non-linear thresholding behavior and visible interaction effects.</w:t>
      </w:r>
    </w:p>
    <w:p>
      <w:pPr>
        <w:spacing w:after="80" w:before="80" w:line="276"/>
        <w:jc w:val="center"/>
      </w:pPr>
      <w:r>
        <w:rPr>
          <w:rFonts w:ascii="Times New Roman" w:cs="Times New Roman" w:eastAsia="Times New Roman" w:hAnsi="Times New Roman"/>
          <w:b w:val="false"/>
          <w:bCs w:val="false"/>
          <w:i/>
          <w:iCs/>
          <w:sz w:val="18"/>
          <w:szCs w:val="18"/>
        </w:rPr>
        <w:t xml:space="preserve">Figure 2. Global SHAP summary for Random Forest (phishing-class output). Each point is one sample; horizontal position is the SHAP value; color encodes feature value (red = high, blue = low).</w:t>
      </w:r>
    </w:p>
    <w:p>
      <w:pPr>
        <w:spacing w:after="80" w:before="40" w:line="276"/>
        <w:jc w:val="center"/>
      </w:pPr>
      <w:r>
        <w:rPr>
          <w:rFonts w:ascii="Times New Roman" w:cs="Times New Roman" w:eastAsia="Times New Roman" w:hAnsi="Times New Roman"/>
          <w:b w:val="false"/>
          <w:bCs w:val="false"/>
          <w:i/>
          <w:iCs/>
          <w:sz w:val="18"/>
          <w:szCs w:val="18"/>
        </w:rPr>
        <w:t xml:space="preserve">Figure 3a. SHAP summary for phishing pages (class = 1). Low values of n_links and n_external_links push the model toward predicting phishing.</w:t>
      </w:r>
    </w:p>
    <w:p>
      <w:pPr>
        <w:spacing w:after="80" w:before="40" w:line="276"/>
        <w:jc w:val="center"/>
      </w:pPr>
      <w:r>
        <w:rPr>
          <w:rFonts w:ascii="Times New Roman" w:cs="Times New Roman" w:eastAsia="Times New Roman" w:hAnsi="Times New Roman"/>
          <w:b w:val="false"/>
          <w:bCs w:val="false"/>
          <w:i/>
          <w:iCs/>
          <w:sz w:val="18"/>
          <w:szCs w:val="18"/>
        </w:rPr>
        <w:t xml:space="preserve">Figure 3b. SHAP summary for legitimate pages (class = 0). High values of n_links and n_external_links push the model toward the legitimate class.</w:t>
      </w:r>
    </w:p>
    <w:p>
      <w:pPr>
        <w:spacing w:after="120" w:before="40" w:line="276"/>
        <w:jc w:val="center"/>
      </w:pPr>
      <w:r>
        <w:rPr>
          <w:rFonts w:ascii="Times New Roman" w:cs="Times New Roman" w:eastAsia="Times New Roman" w:hAnsi="Times New Roman"/>
          <w:b w:val="false"/>
          <w:bCs w:val="false"/>
          <w:i/>
          <w:iCs/>
          <w:sz w:val="18"/>
          <w:szCs w:val="18"/>
        </w:rPr>
        <w:t xml:space="preserve">Figure 4. SHAP dependence plots for the top-3 phishing-ranked features: n_links, word_count, and text_len.</w:t>
      </w:r>
    </w:p>
    <w:p>
      <w:pPr>
        <w:pStyle w:val="Heading2"/>
        <w:spacing w:after="120" w:before="200" w:line="276"/>
        <w:jc w:val="left"/>
      </w:pPr>
      <w:r>
        <w:rPr>
          <w:rFonts w:ascii="Times New Roman" w:cs="Times New Roman" w:eastAsia="Times New Roman" w:hAnsi="Times New Roman"/>
          <w:b/>
          <w:bCs/>
          <w:i w:val="false"/>
          <w:iCs w:val="false"/>
          <w:sz w:val="22"/>
          <w:szCs w:val="22"/>
        </w:rPr>
        <w:t xml:space="preserve">G. Ablation Study</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Table 7 reports Random Forest performance under reduced feature subsets. Using only the top 3 features (n_links, n_scripts, n_images) yields F1 = 0.908, just 3.2 percentage points below the full 15-feature model. Top-5 and Top-8 subsets close most of the remaining gap. The marginal gain from features beyond rank 8 is below 0.5 points of F1, confirming the concentration observed in the importance table.</w:t>
      </w:r>
    </w:p>
    <w:p>
      <w:pPr>
        <w:spacing w:after="80" w:before="200" w:line="276"/>
        <w:jc w:val="center"/>
      </w:pPr>
      <w:r>
        <w:rPr>
          <w:rFonts w:ascii="Times New Roman" w:cs="Times New Roman" w:eastAsia="Times New Roman" w:hAnsi="Times New Roman"/>
          <w:b/>
          <w:bCs/>
          <w:i w:val="false"/>
          <w:iCs w:val="false"/>
          <w:sz w:val="18"/>
          <w:szCs w:val="18"/>
        </w:rPr>
        <w:t xml:space="preserve">Table 7. Ablation Study: Random Forest with Reduced Feature Subsets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200"/>
        <w:gridCol w:w="1600"/>
        <w:gridCol w:w="1400"/>
      </w:tblGrid>
      <w:tr>
        <w:tc>
          <w:tcPr>
            <w:tcW w:type="dxa" w:w="20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Subset</w:t>
            </w:r>
          </w:p>
        </w:tc>
        <w:tc>
          <w:tcPr>
            <w:tcW w:type="dxa" w:w="12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 Feat</w:t>
            </w:r>
          </w:p>
        </w:tc>
        <w:tc>
          <w:tcPr>
            <w:tcW w:type="dxa" w:w="16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Mean F1</w:t>
            </w:r>
          </w:p>
        </w:tc>
        <w:tc>
          <w:tcPr>
            <w:tcW w:type="dxa" w:w="12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F1 SD</w:t>
            </w:r>
          </w:p>
        </w:tc>
        <w:tc>
          <w:tcPr>
            <w:tcW w:type="dxa" w:w="16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Mean AUC</w:t>
            </w:r>
          </w:p>
        </w:tc>
        <w:tc>
          <w:tcPr>
            <w:tcW w:type="dxa" w:w="1400"/>
            <w:tcBorders>
              <w:top w:val="single" w:color="BBBBBB" w:sz="1"/>
              <w:left w:val="single" w:color="BBBBBB" w:sz="1"/>
              <w:bottom w:val="single" w:color="BBBBBB" w:sz="1"/>
              <w:right w:val="single" w:color="BBBBBB" w:sz="1"/>
            </w:tcBorders>
            <w:shd w:fill="2E5D8E"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17"/>
                <w:szCs w:val="17"/>
              </w:rPr>
              <w:t xml:space="preserve">AUC SD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Top-3</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0.908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0.970</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Top-5</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0.926</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0.977</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Top-8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8</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0.937</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0.982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sz w:val="17"/>
                <w:szCs w:val="17"/>
              </w:rPr>
              <w:t xml:space="preserve">0.001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All-15</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15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0.940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0.002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0.983</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17"/>
                <w:szCs w:val="17"/>
              </w:rPr>
              <w:t xml:space="default">0.001</w:t>
            </w:r>
          </w:p>
        </w:tc>
      </w:tr>
    </w:tbl>
    <w:p>
      <w:pPr>
        <w:pStyle w:val="Heading2"/>
        <w:spacing w:after="120" w:before="200" w:line="276"/>
        <w:jc w:val="left"/>
      </w:pPr>
      <w:r>
        <w:rPr>
          <w:rFonts w:ascii="Times New Roman" w:cs="Times New Roman" w:eastAsia="Times New Roman" w:hAnsi="Times New Roman"/>
          <w:b/>
          <w:bCs/>
          <w:i w:val="false"/>
          <w:iCs w:val="false"/>
          <w:sz w:val="22"/>
          <w:szCs w:val="22"/>
        </w:rPr>
        <w:t xml:space="preserve">H. Qualitative Error Analysis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Random Forest produced 1,306 false negatives and 1,061 false positives across all out-of-fold predictions. The 1,306 missed phishing pages are not random failures; they cluster around two structural patterns. The first pattern is sparse, login-style pages with very few links and almost no scripts—pages whose structural footprint resembles minimalist legitimate landing pages. The second is the opposite: phishing pages that mirror the layout of real sites with many images, scripts, and external CDN links, making them statistically indistinguishable from genuine portals. The 1,061 false positives are dominated by legitimate pages with unusually heavy resource footprints: news sites loaded with third-party trackers, e-commerce pages pulling from many CDNs, and login portals whose structure overlaps with phishing kit templates.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Figure 5 shows the mean feature values across the FN, FP, and TP groups for Random Forest, confirming these patterns visually. False negatives have markedly higher text_len, word_count, and n_links than correctly detected phishing pages, supporting the observation that missed phishing pages are structurally richer than the typical phishing footprint.</w:t>
      </w:r>
    </w:p>
    <w:p>
      <w:pPr>
        <w:spacing w:after="120" w:before="80" w:line="276"/>
        <w:jc w:val="center"/>
      </w:pPr>
      <w:r>
        <w:rPr>
          <w:rFonts w:ascii="Times New Roman" w:cs="Times New Roman" w:eastAsia="Times New Roman" w:hAnsi="Times New Roman"/>
          <w:b w:val="false"/>
          <w:bCs w:val="false"/>
          <w:i/>
          <w:iCs/>
          <w:sz w:val="18"/>
          <w:szCs w:val="18"/>
        </w:rPr>
        <w:t xml:space="preserve">Figure 5. Mean feature values across three Random Forest prediction outcomes: false negatives (missed phishing), false positives (incorrectly flagged legitimate pages), and true positives (correctly detected phishing). Top features by permutation importance are shown.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On computational cost: feature extraction with BeautifulSoup4 takes 50–150 ms per page on standard CPU hardware. Random Forest inference on the 15-dimensional vector is under 1 ms. The complete pipeline is suitable as a lightweight pre-filter in production environments, ahead of more expensive deep-learning or visual analyzers.</w:t>
      </w:r>
    </w:p>
    <w:p>
      <w:r>
        <w:br w:type="page"/>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V. DISCUSSION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Three findings deserve emphasis. First, HTML content alone is sufficient to discriminate phishing from legitimate pages with high accuracy in a within-distribution setting; Random Forest achieved F1 = 0.940 and AUC = 0.983 without any URL or network signals. This suggests that content-only detection has more capacity than commonly assumed and is worth deploying as a complementary layer alongside URL-based classifiers.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Second, the predictive signal is highly concentrated. Three structural features—n_links, n_scripts, n_images—and one textual feature, title_len, account for the bulk of the model's discriminative power. The credential-harvesting binary indicators that intuition would put at the top of the list are nearly inert. This finding has practical consequences: a stripped-down 5-feature extractor retains 0.926 F1 (1.4 points below full), which is attractive in resource-constrained settings.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Third, the per-class SHAP analysis adds something the global ranking cannot. The same features push the model in opposite directions depending on the true class context: low link counts push toward phishing, high counts push toward legitimate. This directional asymmetry explains both error types observed. Phishing pages that mimic the structural complexity of legitimate sites land in the legitimate region of feature space; legitimate pages with unusually heavy resource loads stray into the phishing region. The model is learning a structural prior that is well-calibrated for the average case but predictably fails at the tails.</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The contribution of this paper is the structured, interpretable picture itself, not a new model or a benchmark record. We measured what HTML content can do on its own, identified which features carry the load, characterized the failure modes, and quantified the trade-offs. This is the kind of empirical groundwork that informed feature engineering and deployment decisions need.</w:t>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VI. LIMITATIONS AND FUTURE WORK</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Several limitations bound the conclusions. The dataset is balanced by design (50:50), which does not reflect the natural class distribution of webpages on the open internet. We chose this design to eliminate the imbalance confound and isolate the feature-level question, but it means the reported numbers are not directly comparable to operational deployment metrics. Live retrieval introduces survivorship bias: phishing pages that expire quickly are underrepresented because we cannot fetch them. The 67% phishing fetch success rate after the resume cycle is high relative to typical short-lived phishing campaigns, suggesting our sample skews toward longer-lived phishing infrastructure.</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Hyperparameters were left at scikit-learn defaults to establish a clean baseline. Systematic tuning with nested cross-validation would likely improve SVM-RBF and MLP results in particular and could shift the model ranking. We did not perform temporal validation (training on older data, testing on newer), cross-dataset evaluation, or adversarial perturbation experiments. Statistical inference is constrained by the five-fold design, as discussed in Section IV.B. The features capture only static HTML; pages whose key content is rendered by JavaScript after page load are not fully characterized.</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Future work should: (1) repeat the evaluation with temporal splits using PhishTank archives spanning multiple years; (2) test cross-dataset transfer to other phishing collections; (3) construct adversarial test sets including LLM-generated phishing pages to measure how well the structural prior holds against modern attack tooling; (4) evaluate browser-rendered content with headless rendering pipelines; (5) perform 10×5 repeated CV with nested hyperparameter tuning; and (6) study class-imbalance handling strategies in deployment-realistic distributions.</w:t>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VII. CONCLUSION</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This paper presented a focused empirical study of standalone HTML content features for phishing detection. On a balanced 40,000-page dataset, Random Forest achieved F1 = 0.940 and AUC = 0.983 using a 15-dimensional feature vector containing no URL or network information. Permutation importance and SHAP analysis showed that four structural and textual features carry most of the predictive signal, and three credential-harvesting indicators contribute almost nothing. A 5-feature subset retained F1 = 0.926, confirming feature concentration. Per-class SHAP and qualitative error analysis identified the failure modes: structurally rich phishing pages and resource-heavy legitimate pages whose feature profiles overlap.</w:t>
      </w:r>
    </w:p>
    <w:p>
      <w:pPr>
        <w:spacing w:after="120" w:before="120" w:line="276"/>
        <w:ind w:firstLine="360"/>
        <w:jc w:val="both"/>
      </w:pPr>
      <w:r>
        <w:rPr>
          <w:rFonts w:ascii="Times New Roman" w:cs="Times New Roman" w:eastAsia="Times New Roman" w:hAnsi="Times New Roman"/>
          <w:b w:val="false"/>
          <w:bCs w:val="false"/>
          <w:i w:val="false"/>
          <w:iCs w:val="false"/>
          <w:sz w:val="20"/>
          <w:szCs w:val="20"/>
        </w:rPr>
        <w:t xml:space="preserve">The value of these results lies in the interpretive picture rather than in any single number. We do not claim a new architecture, a benchmark record, or robustness to AI-generated phishing. We claim a clean measurement of what static HTML structure can do on its own, where it stops working, and what features matter most. Future work that extends this picture across time, across datasets, and against adversarial inputs is needed before generalization claims can be made.</w:t>
      </w:r>
    </w:p>
    <w:p>
      <w:r>
        <w:br w:type="page"/>
      </w:r>
    </w:p>
    <w:p>
      <w:pPr>
        <w:pStyle w:val="Heading1"/>
        <w:spacing w:after="200" w:before="300" w:line="276"/>
        <w:jc w:val="left"/>
      </w:pPr>
      <w:r>
        <w:rPr>
          <w:rFonts w:ascii="Times New Roman" w:cs="Times New Roman" w:eastAsia="Times New Roman" w:hAnsi="Times New Roman"/>
          <w:b/>
          <w:bCs/>
          <w:i w:val="false"/>
          <w:iCs w:val="false"/>
          <w:sz w:val="26"/>
          <w:szCs w:val="26"/>
        </w:rPr>
        <w:t xml:space="preserve">REFERENCES</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 Kulkarni, A. et al. (2025). From ML to LLM: Evaluating the Robustness of Phishing Webpage Detection Models. arXiv:2407.20361.</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[2] Wang, M. et al. (2024). Phishing webpage detection based on global and local visual similarity. Expert Syst. Appl., 252.</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[3] Chen, F. et al. (2025). SoK: Exposing the Generation and Detection Gaps in LLM-Generated Phishing. arXiv:2508.21457.</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[4] Rao, R. S. et al. (2025). A hybrid super learner ensemble for phishing detection on mobile devices. Sci. Reports, 15(1).</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[5] Zara, U. et al. (2024). Phishing Website Detection Using Deep Learning Models. IEEE Access, 12, 167072–167087.</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[6] Privacy-Preserving Phishing Detection in HTML. (2024). IEEE Conference Proceedings.</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[7] Murhej, M. &amp; Nallasivan, G. (2025). Component features based enhanced phishing website detection. Frontiers in Computer Science, 7.</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[8] Mia, M. et al. (2025). Can Features for Phishing URL Detection Be Trusted Across Diverse Datasets? NSysS 2024, 137–145.</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[9] Wilk-Jakubowski, J. L. et al. (2025). Machine Learning and Neural Networks for Phishing Detection: A Systematic Review. Electronics, 14(18).</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[10] Popescul, D. &amp; Radu, L. D. (2025). AI in phishing detection: a bibliometric review. Frontiers in AI, 8.</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[11] Linh, D. M. &amp; Hung, T. C. (2025). A feature-engineered dataset of benign and malicious URLs. Data in Brief, 63.</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[12] Çolhak, F. et al. (2024). Phishing Website Detection through Multi-Model Analysis of HTML Content. arXiv:2401.04820.</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[13] Ji, F. et al. (2025). Evaluating Visual Similarity-based Phishing Detection Models. arXiv:2405.19598.</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[14] Manguli, K. et al. (2025). GraPhish: A graph-based approach for phishing detection. JISA, 94.</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[15] Rahebi, M. &amp; Rahebi, J. (2025). An explainable hybrid deep learning-optimization framework for phishing detection. ASEJ, 16(12).</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[16] Goldenits, G. et al. (2025). Small Language Models for Phishing Website Detection. arXiv:2511.15434.</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[17] Anti-Phishing Working Group. (2024). Phishing Activity Trends Report. https://apwg.org</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[18] Verizon. (2024). 2024 Data Breach Investigations Report. Verizon Enterprise Solutions.</w:t>
      </w:r>
    </w:p>
    <w:p>
      <w:pPr>
        <w:spacing w:after="30" w:before="30" w:line="276"/>
        <w:jc w:val="left"/>
      </w:pPr>
      <w:r>
        <w:rPr>
          <w:rFonts w:ascii="Times New Roman" w:cs="Times New Roman" w:eastAsia="Times New Roman" w:hAnsi="Times New Roman"/>
          <w:b w:val="false"/>
          <w:bCs w:val="false"/>
          <w:i w:val="false"/>
          <w:iCs w:val="false"/>
          <w:sz w:val="18"/>
          <w:szCs w:val="18"/>
        </w:rPr>
        <w:t xml:space="preserve">[19] Al-Falah, M. (2026). Code repository: https://github.com/MarwanMAlfalah/ai</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2026-05-03T23:25:27.146Z</dcterms:created>
  <dcterms:modified xsi:type="dcterms:W3CDTF">2026-05-03T23:25:27.163Z</dcterms:modified>
</cp:coreProperties>
</file>

<file path=docProps/custom.xml><?xml version="1.0" encoding="utf-8"?>
<Properties xmlns="http://schemas.openxmlformats.org/officeDocument/2006/custom-properties" xmlns:vt="http://schemas.openxmlformats.org/officeDocument/2006/docPropsVTypes"/>
</file>