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280"/>
        <w:jc w:val="center"/>
      </w:pPr>
      <w:r>
        <w:rPr>
          <w:rFonts w:ascii="Times New Roman" w:cs="Times New Roman" w:eastAsia="Times New Roman" w:hAnsi="Times New Roman"/>
          <w:b/>
          <w:bCs/>
          <w:i w:val="false"/>
          <w:iCs w:val="false"/>
          <w:sz w:val="32"/>
          <w:szCs w:val="32"/>
        </w:rPr>
        <w:t xml:space="preserve">RESPONSE TO REVIEWERS</w:t>
      </w:r>
    </w:p>
    <w:p>
      <w:pPr>
        <w:spacing w:after="80" w:before="100" w:line="280"/>
        <w:jc w:val="center"/>
      </w:pPr>
      <w:r>
        <w:rPr>
          <w:rFonts w:ascii="Times New Roman" w:cs="Times New Roman" w:eastAsia="Times New Roman" w:hAnsi="Times New Roman"/>
          <w:b w:val="false"/>
          <w:bCs w:val="false"/>
          <w:i/>
          <w:iCs/>
          <w:sz w:val="22"/>
          <w:szCs w:val="22"/>
        </w:rPr>
        <w:t xml:space="preserve">Beyond URL Analysis: Evaluating Content-Based Phishing Detection Using HTML Structural Features</w:t>
      </w:r>
    </w:p>
    <w:p>
      <w:pPr>
        <w:spacing w:after="80" w:before="100" w:line="280"/>
        <w:jc w:val="center"/>
      </w:pPr>
      <w:r>
        <w:rPr>
          <w:rFonts w:ascii="Times New Roman" w:cs="Times New Roman" w:eastAsia="Times New Roman" w:hAnsi="Times New Roman"/>
          <w:b w:val="false"/>
          <w:bCs w:val="false"/>
          <w:i w:val="false"/>
          <w:iCs w:val="false"/>
          <w:sz w:val="20"/>
          <w:szCs w:val="20"/>
        </w:rPr>
        <w:t xml:space="preserve">Submitted to: Journal of Artificial Intelligence Topics and Applications (AITA)</w:t>
      </w:r>
    </w:p>
    <w:p>
      <w:pPr>
        <w:spacing w:after="240" w:before="100" w:line="280"/>
        <w:jc w:val="center"/>
      </w:pPr>
      <w:r>
        <w:rPr>
          <w:rFonts w:ascii="Times New Roman" w:cs="Times New Roman" w:eastAsia="Times New Roman" w:hAnsi="Times New Roman"/>
          <w:b w:val="false"/>
          <w:bCs w:val="false"/>
          <w:i w:val="false"/>
          <w:iCs w:val="false"/>
          <w:sz w:val="20"/>
          <w:szCs w:val="20"/>
        </w:rPr>
        <w:t xml:space="preserve">Authors: Al-Haj, Al-Falah, Mohammed, Gebel, Obaid</w:t>
      </w:r>
    </w:p>
    <w:p>
      <w:pPr>
        <w:pStyle w:val="Heading1"/>
        <w:spacing w:after="200" w:before="360" w:line="280"/>
        <w:jc w:val="left"/>
      </w:pPr>
      <w:r>
        <w:rPr>
          <w:rFonts w:ascii="Times New Roman" w:cs="Times New Roman" w:eastAsia="Times New Roman" w:hAnsi="Times New Roman"/>
          <w:b/>
          <w:bCs/>
          <w:i w:val="false"/>
          <w:iCs w:val="false"/>
          <w:sz w:val="28"/>
          <w:szCs w:val="28"/>
        </w:rPr>
        <w:t xml:space="preserve">Dear Editor and Reviewers,</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We thank the editor and the two reviewers for the careful and thorough reading of our submission. The reviewers' comments identified important weaknesses in the original framing, methodology, and presentation, and have substantially shaped the revision. In particular, we agreed with the central observation in Reviewer 2 Part I, point 1: the original title and abstract claimed to address "AI-generated phishing" and "the Age of AI," but our experiments did not include AI-generated content. Rather than retrofit experiments to support those claims, we have repositioned the paper as what it actually is: a focused empirical and interpretable study of standalone HTML content features.</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In response to the reviewers' comments we have:</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Removed all claims about AI-generated phishing and structural robustness, and rewritten the title, abstract, introduction, and conclusion to match the actual experimental scope.</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Re-collected the dataset using live retrieval, producing a balanced 40,000-page corpus (20,000 phishing + 20,000 legitimate) that eliminates the imbalance confound.</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Replaced the invalid Wilcoxon p &lt; 0.05 claim with an honest descriptive comparison that explains why p &lt; 0.05 is unattainable with five folds.</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Added explicit per-class precision, recall, and F1 for all seven classifiers.</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Added a complete ablation study with reduced feature subsets (Top-3, Top-5, Top-8, All-15).</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Added per-class SHAP analysis (Figures 3a and 3b) and SHAP dependence plots (Figure 4).</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Added a qualitative error analysis section with feature-profile comparison (Figure 5).</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Added a quantitative comparison table with prior work (Table 1) and explained why our F1 is below deep-learning baselines that include URL features.</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Documented all non-default hyperparameters, fixed Figure 1 with axis labels and legend, corrected typographical errors, and standardized affiliation formatting.</w:t>
      </w:r>
    </w:p>
    <w:p>
      <w:pPr>
        <w:spacing w:after="30" w:before="30" w:line="280"/>
        <w:jc w:val="both"/>
      </w:pPr>
      <w:r>
        <w:rPr>
          <w:rFonts w:ascii="Times New Roman" w:cs="Times New Roman" w:eastAsia="Times New Roman" w:hAnsi="Times New Roman"/>
          <w:b w:val="false"/>
          <w:bCs w:val="false"/>
          <w:i w:val="false"/>
          <w:iCs w:val="false"/>
          <w:sz w:val="22"/>
          <w:szCs w:val="22"/>
        </w:rPr>
        <w:t xml:space="preserve">• Released the complete code, requirements.txt, and results on a public GitHub repository.</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We respond to each comment in turn below. Reviewer comments are quoted in red italics; our responses appear in standard text and the changes made appear in green.</w:t>
      </w:r>
    </w:p>
    <w:p>
      <w:r>
        <w:br w:type="page"/>
      </w:r>
    </w:p>
    <w:p>
      <w:pPr>
        <w:pStyle w:val="Heading1"/>
        <w:spacing w:after="200" w:before="360" w:line="280"/>
        <w:jc w:val="left"/>
      </w:pPr>
      <w:r>
        <w:rPr>
          <w:rFonts w:ascii="Times New Roman" w:cs="Times New Roman" w:eastAsia="Times New Roman" w:hAnsi="Times New Roman"/>
          <w:b/>
          <w:bCs/>
          <w:i w:val="false"/>
          <w:iCs w:val="false"/>
          <w:sz w:val="28"/>
          <w:szCs w:val="28"/>
        </w:rPr>
        <w:t xml:space="preserve">Reviewer 1</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1.1: Feature extraction details vague</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“Clarify exact feature extraction process for reproducibility, as details are vague.”</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We agree that the original Section III.C lacked the specificity needed for reproduction. Section III.C of the revised paper now includes Table 3, which lists all 15 features with name, category, type, and exact extraction rule. The text below the table specifies that visible text is extracted after removing script, style, noscript, and hidden elements; that external links are identified by comparing registered domains using tldextract v5.1; and that the phishing keyword list is enumerated explicitly. The complete extraction code is available in the public repository at the GitHub URL listed in reference [19].</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III.C was rewritten to include Table 3 (full feature specification with 15 entries). The keyword list, parsing library versions, and external-link comparison logic are now stated explicitly. The full implementation is available in the GitHub repository.</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1.2: No hyperparameter tuning</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“No hyperparameter tuning performed; justify or include grid search results.”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This is a fair point and we have addressed it by adding an explicit justification rather than retrofitting tuning. The revised Section III.D states that scikit-learn defaults were used to establish a clean reference baseline that can be improved by tuning if a downstream user wishes. We list the two documented exceptions (probability=True for SVC to enable ROC-AUC; max_iter=500 for MLP to ensure convergence). We also acknowledge in Section VI (Limitations) that systematic tuning with nested cross-validation is expected to improve SVM-RBF and MLP results in particular and may shift the model ranking. We deliberately chose to leave hyperparameter tuning for a follow-up study because tuning on a fixed dataset can inflate apparent performance and complicate interpretation of feature contributions, which is the central concern of this paper.</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III.D now contains an explicit justification for the default-hyperparameter design choice. The two non-default settings are documented. Section VI lists nested-CV hyperparameter tuning as future work.</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1.3: Class imbalance unaddressed</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“Dataset imbalance (10k phishing vs 16k legit) unaddressed; report class weights used.”</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We have addressed this directly by re-collecting the dataset to be balanced. The revised dataset contains 20,000 phishing and 20,000 legitimate pages (50:50). This eliminates the imbalance confound entirely and makes per-class metrics directly comparable. Section III.B documents the rationale and Table 2 shows the collection pipeline. We did not apply SMOTE, class weighting, or other resampling, because the natural collection produced a balanced corpus after we extended the phishing collection from PhishTank's full feed.</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III.B and Table 2 reflect the new balanced 40,000-page dataset. Per-class precision, recall, and F1 are reported for all seven classifiers in the per-class classification reports following Table 5.</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1.4: No DL baseline comparison</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“No comparison to recent deep learning baselines on content-based detection.”</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II.C of the revised paper now provides this comparison. We acknowledge explicitly that our F1 of 0.940 is below the &gt;95% accuracy reported by deep-learning baselines such as Zara et al. [5] and Murhej et al. [7]. We explain that two effects produce this gap: deep models can learn arbitrarily rich representations from raw documents, and most deep-learning baselines additionally use URL lexical features that we deliberately exclude. The point of our study is not to outperform those systems but to measure what HTML content alone, in classical ML form, can accomplish on its own. Table 1 quantitatively positions our work against five representative prior studies.</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II.C added with explicit DL baseline discussion. Table 1 added (Section II.D) with quantitative comparison across five representative studies.</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1.5: No temporal/cross-dataset validation despite robustness claims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“Lacks temporal/cross-dataset validation despite claiming robustness to AI phishing.”</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This is the most important comment we received and we agree with it completely. The original paper's robustness claims and AI-phishing framing were not supported by the experiments performed. We have removed all such claims from the title, abstract, introduction, methodology, and conclusion. The revised paper is positioned as a within-distribution empirical study of standalone HTML content features. Section VI (Limitations and Future Work) explicitly states that we did not perform temporal validation, cross-dataset transfer, or adversarial perturbation experiments, and lists these as future work. The new title "Beyond URL Analysis: Evaluating Content-Based Phishing Detection Using HTML Structural Features" reflects the actual scope.</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Title changed. Abstract, introduction, and conclusion rewritten without robustness or AI-phishing claims. Section VI lists temporal validation, cross-dataset evaluation, and adversarial testing as future work, with specific details for each.</w:t>
      </w:r>
    </w:p>
    <w:p>
      <w:r>
        <w:br w:type="page"/>
      </w:r>
    </w:p>
    <w:p>
      <w:pPr>
        <w:pStyle w:val="Heading1"/>
        <w:spacing w:after="200" w:before="360" w:line="280"/>
        <w:jc w:val="left"/>
      </w:pPr>
      <w:r>
        <w:rPr>
          <w:rFonts w:ascii="Times New Roman" w:cs="Times New Roman" w:eastAsia="Times New Roman" w:hAnsi="Times New Roman"/>
          <w:b/>
          <w:bCs/>
          <w:i w:val="false"/>
          <w:iCs w:val="false"/>
          <w:sz w:val="28"/>
          <w:szCs w:val="28"/>
        </w:rPr>
        <w:t xml:space="preserve">Reviewer 2 — Part I</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 AI-phishing framing misaligned with experiments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“Title and abstract claim to address 'AI-generated phishing' and 'the Age of AI,' but the dataset contains only traditional PhishTank samples with no AI-generated content. This is a fundamental misalignment between stated objectives and actual experiments. Either collect and test on actual LLM-generated phishing pages, or remove all AI-related claims and reframe as a traditional content-based detection study.”</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We accept this critique fully. The original framing was misleading. Rather than retrofitting experiments on LLM-generated content (which would have required a separate study), we chose the second option: removing all AI-related claims and reframing the paper as what it actually is. The new title and abstract make no reference to AI-generated phishing or the “Age of AI.” The introduction now poses a focused empirical question: how well can standalone HTML content features classify phishing pages, which features matter, and where do they fail? Future work to test against LLM-generated phishing is listed in Section VI.</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Title, abstract, keywords, introduction, and conclusion fully rewritten. All AI-phishing language removed. The repositioned paper is consistent with the experiments performed.</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2.2: Section III.C lacks complete feature specifications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“Section III.C lists three feature categories but lacks complete specifications. Provide the exact number of features (dimension d), detailed extraction algorithms, mathematical formulations, and preprocessing steps for reproducibility.”</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III is now substantially expanded. Section III.A explicitly states the dimension d = 15 in the problem definition. Section III.C contains Table 3 with full per-feature specification (name, category, type, extraction rule) for all 15 features. Section III.B documents the data collection pipeline with timeouts, retries, byte limits, and deduplication strategy. Section III.D documents the preprocessing pipeline (z-score for continuous features estimated from training fold only, pass-through for binary features) and the exact metric definitions. The complete code is in the GitHub repository [19].</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III rewritten end-to-end. Table 3 added with all 15 feature definitions. Preprocessing, metric computation, and library versions specified explicitly. GitHub repository linked in reference [19].</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2.3: Robustness claims not substantiated</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“'Structural robustness' evaluation relies only on standard k-fold cross-validation. Section IV.F admits 'robustness is tested via resampling stability... not adversarial webpage generation.' Conduct temporal validation (train on older data, test on recent), cross-dataset testing, and adversarial perturbation experiments to substantiate robustness claims.”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As noted in our response to Reviewer 1 (comment 1.5), we have removed all robustness claims rather than attempting to substantiate them with experiments that were not performed. The revised paper does not use the words “robustness,” “resilient,” or “AI-generated” as descriptors of our experimental contribution. Section VI explicitly lists temporal validation, cross-dataset testing, and adversarial perturbation experiments as future work and explains why each is needed before generalization claims can be made.</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All robustness language removed from title, abstract, introduction, and conclusion. Section VI lists the three experiments above as required future work.</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2.4: Class imbalance handling</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“Dataset has 60:40 legitimate-to-phishing ratio without discussion of imbalance handling. Report per-class metrics separately, explain imbalance handling strategies (SMOTE, class weights, or resampling), and discuss impact on results.”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The revised dataset is balanced 50:50 (20,000 phishing / 20,000 legitimate), eliminating the imbalance issue. Per-class precision, recall, and F1 are reported separately for all seven classifiers (after Table 5 in Section IV.D). We did not apply SMOTE or class weighting because none was needed at 50:50. Section VI acknowledges that the balanced design does not reflect the natural class distribution of webpages on the open internet, and lists imbalance-handling strategies in deployment-realistic distributions as future work.</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Dataset rebalanced. Per-class metrics added for all seven classifiers. Limitations section discusses the balanced-design choice and its implications for deployment.</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2.5: Default hyperparameters insufficient</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“'Default hyperparameter values' used without justification or tuning is insufficient for rigorous study. Perform systematic grid/random search with nested cross-validation and report tuned vs. default performance comparisons.”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Please see our response to Reviewer 1 (comment 1.2). We have added an explicit justification for the default-hyperparameter design (Section III.D) and acknowledged that systematic tuning with nested CV is expected to improve results, particularly for SVM-RBF and MLP, and may shift the model ranking (Section VI). We chose to leave tuning for a follow-up study because the central concern of this paper is feature-level interpretation, which can be confounded by tuning choices.</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III.D contains the design justification. Section VI lists nested-CV tuning as required future work.</w:t>
      </w:r>
    </w:p>
    <w:p>
      <w:r>
        <w:br w:type="page"/>
      </w:r>
    </w:p>
    <w:p>
      <w:pPr>
        <w:pStyle w:val="Heading1"/>
        <w:spacing w:after="200" w:before="360" w:line="280"/>
        <w:jc w:val="left"/>
      </w:pPr>
      <w:r>
        <w:rPr>
          <w:rFonts w:ascii="Times New Roman" w:cs="Times New Roman" w:eastAsia="Times New Roman" w:hAnsi="Times New Roman"/>
          <w:b/>
          <w:bCs/>
          <w:i w:val="false"/>
          <w:iCs w:val="false"/>
          <w:sz w:val="28"/>
          <w:szCs w:val="28"/>
        </w:rPr>
        <w:t xml:space="preserve">Reviewer 2 — Part II</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2.6: Table 2 N=600 confusion</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“Table 2 shows N=600, not 26,584. Clarify if this represents aggregated test folds or a subset—the discrepancy creates confusion about experimental setup.”</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This was a presentation error in the original paper. In the revised paper, the equivalent table is Table 5 (Aggregated Confusion Matrix). Its caption now states explicitly: “Counts are normalized to N=600 per model for proportional comparison; metrics are computed from the full 40,000 out-of-fold predictions.” The accompanying text in Section IV.D explains the normalization rationale. The dataset size has changed to 40,000 with the rebalanced collection.</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Table 5 caption rewritten with explicit normalization explanation. Section IV.D text clarifies that the metrics use the full 40,000 raw counts while the displayed TN/FP/FN/TP are scaled to N=600.</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2.7: AUC standard deviations contradict stability claims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“ROC-AUC standard deviations (RF: 0.018, MLP: 0.038) suggest instability across folds, contradicting 'stability' claims. Investigate and discuss why performance varies significantly between folds.”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This concern is now addressed by both reframing and stronger results. With the larger balanced dataset, the SD across folds is much tighter: Random Forest AUC SD is now 0.001 (vs. the previous 0.018), and the largest SD across all classifiers is 0.004 (Gaussian NB). Table 4 reports these explicitly. The original “stability” wording has been removed; we describe the variability quantitatively rather than claiming stability.</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Table 4 reports AUC SD for all seven classifiers; all are between 0.001 and 0.004. The word “stability” no longer appears in the paper as a claim about the model.</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2.8: 11 of 15 features marginal</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“Table 3 shows 11 of 15 features contribute ≤ 0.002 importance. Conduct ablation studies with reduced feature sets and discuss why most features are ineffective. Consider feature selection or dimensionality reduction.”</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IV.G now contains a full ablation study (Table 7) showing performance with Top-3, Top-5, Top-8, and All-15 feature subsets. Top-3 (n_links, n_scripts, n_images) achieves F1 = 0.908; Top-5 reaches 0.926; Top-8 reaches 0.937; All-15 is 0.940. The marginal gain from features beyond rank 8 is below 0.5 points of F1. With the rebalanced dataset, the number of marginal features dropped from 11 to 3 (the binary credential-harvesting indicators)—so the marginality issue is now both smaller and explicitly characterized. Section V (Discussion) explains why credential-harvesting binary features underperform structural counts in this dataset.</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IV.G and Table 7 added (full ablation study). Section V discusses the concentration of predictive signal in four structural features.</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2.9: No statistical testing of model differences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“Models show overlapping confidence intervals (RF: 0.919±0.020 vs. DT: 0.913±0.035) without statistical testing. Conduct paired t-tests or Wilcoxon tests across folds to confirm whether Random Forest superiority is statistically significant.”</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IV.B now addresses this directly and honestly. With only five folds, the two-sided exact Wilcoxon signed-rank test cannot achieve p &lt; 0.05 (the minimum attainable p-value is 0.0625, attained when all five differences have the same sign). We therefore replaced the original p &lt; 0.05 claim with a fold-by-fold dominance comparison. Random Forest beat each competitor on F1 in all 5 of 5 folds (the strongest descriptive result possible), but we explicitly state that formal significance at α = 0.05 is not attainable at this sample size and that 10×5 repeated CV (50 paired observations) is needed for proper inference. This is listed as future work in Section VI. Note also that with the larger dataset, the SDs collapsed (RF F1 SD = 0.002, DT F1 SD = 0.002), so the descriptive gap is now 1.9 percentage points versus a combined SD of about 0.004.</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IV.B replaces the invalid p &lt; 0.05 claim with an honest descriptive comparison, including the 5/5 fold dominance counts and the explanation of why p &lt; 0.05 is unattainable with five folds. Section VI recommends 10×5 repeated CV for follow-up significance testing.</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2.10: Related work needs quantitative comparison</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“Related work section is descriptive without quantitative comparisons. Add a comparison table showing recent studies' datasets, methods, and performance metrics. Explain how your 91.9% F1-score compares to reference's &gt;95% accuracy claim.”</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II is restructured. Section II.A covers URL-based and hybrid approaches; Section II.B covers content-based detection; Section II.C explicitly compares our results with deep-learning baselines and explains why our F1 (now 0.940) is below the reported &gt;95% from references [5] and [7]—because deep models leverage richer representations and most baselines also use URL lexical features that we exclude. Section II.D positions our work in the gap. Table 1 provides the quantitative comparison the reviewer requested across five representative studies.</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II rewritten with four subsections. Table 1 added with quantitative comparison. Section II.C explicitly addresses the F1-score gap with deep-learning baselines.</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2.11: Black-box threat model not validated</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“Black-box threat model is defined but never validated. Either conduct evasion attacks testing the threat model, or simplify to a standard supervised learning problem without threat model framing.”</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We chose the second option. The threat model framing has been removed from the revised paper. Section III.A now defines the problem as a standard supervised binary classification task. The evasion-attack experiments the reviewer rightly noted as missing are listed as future work in Section VI.</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Threat model framing removed throughout. Section III.A defines the problem as standard supervised binary classification. Adversarial perturbation experiments are listed as future work.</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2.12: Collection details and survivorship bias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“Exact collection dates, PhishTank/Tranco versions, HTML parsing libraries, timeout values, and success rates are missing. Quantify survivorship bias mentioned in limitations section.”</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III.B and Section III.E now document all of these. Collection window: January–March 2026. Sources: PhishTank verified online feed and Tranco top-100,000. Parsing library: BeautifulSoup4 v4.12 with lxml backend. Requests v2.31. tldextract v5.1. Timeouts: 5-second connect, 10-second read, single retry. Table 2 reports the exact success rates: 67% phishing fetch success after the resume cycle (20,000 successes from 29,169 attempts after deduplication) and 26% legitimate (20,000 from 76,383). Section VI quantifies the survivorship bias: the 67% phishing success rate is high relative to typical short-lived phishing campaigns, indicating that our sample skews toward longer-lived phishing infrastructure.</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Sections III.B, III.E, and Table 2 contain all collection metadata and library versions. Section VI quantifies survivorship bias with the success-rate context.</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2.13: Code and data availability</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“'Publicly available implementation' claimed but no repository link, DOI, or library versions provided. Deposit code on GitHub/Zenodo with DOI, provide requirements.txt with exact package versions, and include data preprocessing scripts.”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The complete pipeline is now publicly available at the GitHub repository listed in reference [19]. The repository includes: the full Jupyter notebook (Content_Based_Phishing_Detection_v6_local.ipynb), requirements.txt with all package versions, README.md with reproduction instructions, LICENSE (MIT), and the complete results directory with CSV tables and PNG/PDF figures. Library versions are documented both in requirements.txt and in the metadata.json file produced by each run. We are preparing a Zenodo DOI archive for the camera-ready version.</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Reference [19] added pointing to the GitHub repository. README, requirements.txt, LICENSE, and complete results published. Zenodo DOI in preparation for camera-ready.</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2.14: Per-class SHAP and dependence plots missing</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“Figure 2 SHAP plot is minimally discussed. Provide per-class SHAP analysis showing different feature importance for phishing vs. legitimate pages, add dependence plots for top features, and compare with permutation importance patterns.”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IV.F now provides this analysis in full. Figure 2 is the global SHAP summary; Figures 3a and 3b are per-class SHAP summaries for phishing and legitimate pages respectively; Figure 4 contains SHAP dependence plots for the top-3 phishing-ranked features (n_links, word_count, text_len). The text discusses the directional asymmetry that the per-class view reveals: low values of n_links and n_scripts push the model toward phishing, while high values push it toward legitimate. The comparison with permutation importance is also discussed: both ranking methods agree on the top-4 features but disagree on the relative ranking among ranks 5–8, which is expected given the different theoretical bases of the two methods.</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Figures 2, 3a, 3b, and 4 added with corresponding text in Section IV.F. Comparison with permutation importance is discussed.</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2.15: Qualitative error analysis absent</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“Qualitative error analysis of misclassified samples is absent. Discuss why structural features discriminate phishing, address computational cost and real-time deployment feasibility, and provide practical integration recommendations.”</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Section IV.H now provides a complete qualitative error analysis. Random Forest produced 1,306 false negatives and 1,061 false positives across all out-of-fold predictions. The text characterizes two patterns of false negatives: sparse login-style phishing pages and structurally rich phishing pages that mimic legitimate sites. False positives are dominated by news, e-commerce, and login portals with heavy resource footprints that overlap with phishing kit templates. Figure 5 visualizes the FN/FP/TP feature profiles. Computational cost is reported: 50–150 ms feature extraction per page on standard CPU, sub-millisecond inference. Practical integration is recommended in Section IV.H as a lightweight pre-filter ahead of more expensive analyzers.</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Section IV.H added with the full qualitative analysis, Figure 5, computational cost figures, and the lightweight pre-filter recommendation.</w:t>
      </w:r>
    </w:p>
    <w:p>
      <w:pPr>
        <w:pStyle w:val="Heading2"/>
        <w:spacing w:after="120" w:before="240" w:line="280"/>
        <w:jc w:val="left"/>
      </w:pPr>
      <w:r>
        <w:rPr>
          <w:rFonts w:ascii="Times New Roman" w:cs="Times New Roman" w:eastAsia="Times New Roman" w:hAnsi="Times New Roman"/>
          <w:b/>
          <w:bCs/>
          <w:i w:val="false"/>
          <w:iCs w:val="false"/>
          <w:sz w:val="24"/>
          <w:szCs w:val="24"/>
        </w:rPr>
        <w:t xml:space="preserve">Comment 2.16: Typographical and presentation issues</w:t>
      </w:r>
    </w:p>
    <w:p>
      <w:pPr>
        <w:spacing w:after="80" w:before="160" w:line="280"/>
        <w:jc w:val="both"/>
      </w:pPr>
      <w:r>
        <w:rPr>
          <w:rFonts w:ascii="Times New Roman" w:cs="Times New Roman" w:eastAsia="Times New Roman" w:hAnsi="Times New Roman"/>
          <w:b/>
          <w:bCs/>
          <w:color w:val="C0392B"/>
          <w:sz w:val="22"/>
          <w:szCs w:val="22"/>
        </w:rPr>
        <w:t xml:space="preserve">Reviewer comment: </w:t>
      </w:r>
      <w:r>
        <w:rPr>
          <w:rFonts w:ascii="Times New Roman" w:cs="Times New Roman" w:eastAsia="Times New Roman" w:hAnsi="Times New Roman"/>
          <w:i/>
          <w:iCs/>
          <w:color w:val="555555"/>
          <w:sz w:val="22"/>
          <w:szCs w:val="22"/>
        </w:rPr>
        <w:t xml:space="preserve">“Email typo exists ('emeil' → 'email'), grammatical error present ('credited with the most increasing' → 'contributing most to classification'), Figure 1 lacks axis labels and clear legend, and affiliation formatting is inconsistent.”</w:t>
      </w:r>
    </w:p>
    <w:p>
      <w:pPr>
        <w:spacing w:after="80" w:before="80" w:line="280"/>
        <w:jc w:val="both"/>
      </w:pPr>
      <w:r>
        <w:rPr>
          <w:rFonts w:ascii="Times New Roman" w:cs="Times New Roman" w:eastAsia="Times New Roman" w:hAnsi="Times New Roman"/>
          <w:b/>
          <w:bCs/>
          <w:color w:val="1E5F8E"/>
          <w:sz w:val="22"/>
          <w:szCs w:val="22"/>
        </w:rPr>
        <w:t xml:space="preserve">Response: </w:t>
      </w:r>
      <w:r>
        <w:rPr>
          <w:rFonts w:ascii="Times New Roman" w:cs="Times New Roman" w:eastAsia="Times New Roman" w:hAnsi="Times New Roman"/>
          <w:sz w:val="22"/>
          <w:szCs w:val="22"/>
        </w:rPr>
        <w:t xml:space="preserve">All four issues are corrected in the revised manuscript. The 'emeil' typo and the 'credited with the most increasing' phrase no longer appear. Figure 1 now has labeled X-axis (False Positive Rate) and Y-axis (True Positive Rate), an explicit AUC legend, and the dashed random-classifier diagonal. Author affiliations are unified to a consistent superscript-numbered format with cleaned punctuation, country names, and email formatting.</w:t>
      </w:r>
    </w:p>
    <w:p>
      <w:pPr>
        <w:spacing w:after="160" w:before="80" w:line="280"/>
        <w:jc w:val="both"/>
      </w:pPr>
      <w:r>
        <w:rPr>
          <w:rFonts w:ascii="Times New Roman" w:cs="Times New Roman" w:eastAsia="Times New Roman" w:hAnsi="Times New Roman"/>
          <w:b/>
          <w:bCs/>
          <w:color w:val="27AE60"/>
          <w:sz w:val="22"/>
          <w:szCs w:val="22"/>
        </w:rPr>
        <w:t xml:space="preserve">Changes made: </w:t>
      </w:r>
      <w:r>
        <w:rPr>
          <w:rFonts w:ascii="Times New Roman" w:cs="Times New Roman" w:eastAsia="Times New Roman" w:hAnsi="Times New Roman"/>
          <w:sz w:val="22"/>
          <w:szCs w:val="22"/>
        </w:rPr>
        <w:t xml:space="preserve">All typographical and presentation issues corrected. Figure 1 fully labeled. Affiliations standardized.</w:t>
      </w:r>
    </w:p>
    <w:p>
      <w:r>
        <w:br w:type="page"/>
      </w:r>
    </w:p>
    <w:p>
      <w:pPr>
        <w:pStyle w:val="Heading1"/>
        <w:spacing w:after="200" w:before="360" w:line="280"/>
        <w:jc w:val="left"/>
      </w:pPr>
      <w:r>
        <w:rPr>
          <w:rFonts w:ascii="Times New Roman" w:cs="Times New Roman" w:eastAsia="Times New Roman" w:hAnsi="Times New Roman"/>
          <w:b/>
          <w:bCs/>
          <w:i w:val="false"/>
          <w:iCs w:val="false"/>
          <w:sz w:val="28"/>
          <w:szCs w:val="28"/>
        </w:rPr>
        <w:t xml:space="preserve">Closing Remarks</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We are grateful to both reviewers for their thorough and constructive critique. The original paper made claims that the experiments did not support, and the reviewers were right to push back on the framing, the methodology, and the presentation. The revised paper is what the original should have been: a focused, interpretable measurement of standalone HTML content-feature behavior in phishing detection, with honest acknowledgment of what the experiments do and do not show.</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We hope the editor and reviewers find that the revisions address all the comments raised, and we welcome any further suggestions for improvement.</w:t>
      </w:r>
    </w:p>
    <w:p>
      <w:pPr>
        <w:spacing w:after="80" w:before="240" w:line="280"/>
        <w:jc w:val="both"/>
      </w:pPr>
      <w:r>
        <w:rPr>
          <w:rFonts w:ascii="Times New Roman" w:cs="Times New Roman" w:eastAsia="Times New Roman" w:hAnsi="Times New Roman"/>
          <w:b w:val="false"/>
          <w:bCs w:val="false"/>
          <w:i w:val="false"/>
          <w:iCs w:val="false"/>
          <w:sz w:val="22"/>
          <w:szCs w:val="22"/>
        </w:rPr>
        <w:t xml:space="preserve">Sincerely,</w:t>
      </w:r>
    </w:p>
    <w:p>
      <w:pPr>
        <w:spacing w:after="40" w:before="100" w:line="280"/>
        <w:jc w:val="both"/>
      </w:pPr>
      <w:r>
        <w:rPr>
          <w:rFonts w:ascii="Times New Roman" w:cs="Times New Roman" w:eastAsia="Times New Roman" w:hAnsi="Times New Roman"/>
          <w:b/>
          <w:bCs/>
          <w:i w:val="false"/>
          <w:iCs w:val="false"/>
          <w:sz w:val="22"/>
          <w:szCs w:val="22"/>
        </w:rPr>
        <w:t xml:space="preserve">Yousif A. Al-Haj (corresponding author)</w:t>
      </w:r>
    </w:p>
    <w:p>
      <w:pPr>
        <w:spacing w:after="100" w:before="100" w:line="280"/>
        <w:jc w:val="both"/>
      </w:pPr>
      <w:r>
        <w:rPr>
          <w:rFonts w:ascii="Times New Roman" w:cs="Times New Roman" w:eastAsia="Times New Roman" w:hAnsi="Times New Roman"/>
          <w:b w:val="false"/>
          <w:bCs w:val="false"/>
          <w:i w:val="false"/>
          <w:iCs w:val="false"/>
          <w:sz w:val="22"/>
          <w:szCs w:val="22"/>
        </w:rPr>
        <w:t xml:space="preserve">Marwan M. Al-Falah, Naif Mohammed, E. S. Gebel, Abdulrahman M. H. Obaid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2026-05-03T23:28:15.337Z</dcterms:created>
  <dcterms:modified xsi:type="dcterms:W3CDTF">2026-05-03T23:28:15.338Z</dcterms:modified>
</cp:coreProperties>
</file>

<file path=docProps/custom.xml><?xml version="1.0" encoding="utf-8"?>
<Properties xmlns="http://schemas.openxmlformats.org/officeDocument/2006/custom-properties" xmlns:vt="http://schemas.openxmlformats.org/officeDocument/2006/docPropsVTypes"/>
</file>