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Activation Functions &amp; Weight Initialization on CIFAR-10</w:t>
      </w:r>
    </w:p>
    <w:p>
      <w:pPr>
        <w:jc w:val="center"/>
      </w:pPr>
      <w:r>
        <w:t>Two-layer fully-connected network (Affine → Activation → Affine → Softmax) — Full-batch Gradient Descent</w:t>
      </w:r>
    </w:p>
    <w:p>
      <w:pPr>
        <w:jc w:val="center"/>
      </w:pPr>
      <w:r>
        <w:t>Generated: 2026-01-24 22:19 | Seed: 42 | Hidden size: 200 | Reg: 0.001 | LR: 0.05 with step decay</w:t>
      </w:r>
    </w:p>
    <w:p/>
    <w:p>
      <w:pPr>
        <w:pStyle w:val="Heading1"/>
      </w:pPr>
      <w:r>
        <w:t>1. Executive Summary</w:t>
      </w:r>
    </w:p>
    <w:p>
      <w:r>
        <w:t>We trained a two-layer neural network on CIFAR-10 and compared five activation functions (ReLU, Leaky ReLU, tanh, sigmoid, GELU) under two regimes: (A) activation-only controlled initialization (small init for all) and (B) best-practice initialization (He for ReLU-family/GELU and Xavier for tanh/sigmoid). Best-practice initialization improved final cross-validation (CV) accuracy for every activation, with the strongest overall performance achieved by GELU.</w:t>
      </w:r>
    </w:p>
    <w:p>
      <w:pPr>
        <w:pStyle w:val="Heading1"/>
      </w:pPr>
      <w:r>
        <w:t>2. Experimental Setup</w:t>
      </w:r>
    </w:p>
    <w:p>
      <w:r>
        <w:t>- Dataset: CIFAR-10 (train set split into Train and 10k CV)</w:t>
      </w:r>
    </w:p>
    <w:p>
      <w:r>
        <w:t>- Model: 2-layer FC net, D=3072, H=200, C=10</w:t>
      </w:r>
    </w:p>
    <w:p>
      <w:r>
        <w:t>- Optimization: Full-batch gradient descent (300 iterations)</w:t>
      </w:r>
    </w:p>
    <w:p>
      <w:r>
        <w:t>- Learning rate: 0.05 with step decay (×0.9 at iters 100 and 200)</w:t>
      </w:r>
    </w:p>
    <w:p>
      <w:r>
        <w:t>- Regularization: L2 with reg=0.001</w:t>
      </w:r>
    </w:p>
    <w:p>
      <w:r>
        <w:t>- Logged metrics at iters [1, 50, 100, 150, 200, 250, 300]: loss and CV accuracy</w:t>
      </w:r>
    </w:p>
    <w:p>
      <w:pPr>
        <w:pStyle w:val="Heading1"/>
      </w:pPr>
      <w:r>
        <w:t>3. Results Overview</w:t>
      </w:r>
    </w:p>
    <w:p>
      <w:r>
        <w:t>Final CV accuracy after 300 iterations for both regimes:</w:t>
      </w:r>
    </w:p>
    <w:p>
      <w:r>
        <w:drawing>
          <wp:inline xmlns:a="http://schemas.openxmlformats.org/drawingml/2006/main" xmlns:pic="http://schemas.openxmlformats.org/drawingml/2006/picture">
            <wp:extent cx="5943600" cy="2632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v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5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Activation</w:t>
            </w:r>
          </w:p>
        </w:tc>
        <w:tc>
          <w:tcPr>
            <w:tcW w:type="dxa" w:w="2160"/>
          </w:tcPr>
          <w:p>
            <w:r>
              <w:t>Mode A Final CV</w:t>
            </w:r>
          </w:p>
        </w:tc>
        <w:tc>
          <w:tcPr>
            <w:tcW w:type="dxa" w:w="2160"/>
          </w:tcPr>
          <w:p>
            <w:r>
              <w:t>Mode B Final CV</w:t>
            </w:r>
          </w:p>
        </w:tc>
        <w:tc>
          <w:tcPr>
            <w:tcW w:type="dxa" w:w="2160"/>
          </w:tcPr>
          <w:p>
            <w:r>
              <w:t>Δ (B−A)</w:t>
            </w:r>
          </w:p>
        </w:tc>
      </w:tr>
      <w:tr>
        <w:tc>
          <w:tcPr>
            <w:tcW w:type="dxa" w:w="2160"/>
          </w:tcPr>
          <w:p>
            <w:r>
              <w:t>relu</w:t>
            </w:r>
          </w:p>
        </w:tc>
        <w:tc>
          <w:tcPr>
            <w:tcW w:type="dxa" w:w="2160"/>
          </w:tcPr>
          <w:p>
            <w:r>
              <w:t>0.4401</w:t>
            </w:r>
          </w:p>
        </w:tc>
        <w:tc>
          <w:tcPr>
            <w:tcW w:type="dxa" w:w="2160"/>
          </w:tcPr>
          <w:p>
            <w:r>
              <w:t>0.4774</w:t>
            </w:r>
          </w:p>
        </w:tc>
        <w:tc>
          <w:tcPr>
            <w:tcW w:type="dxa" w:w="2160"/>
          </w:tcPr>
          <w:p>
            <w:r>
              <w:t>+0.0373</w:t>
            </w:r>
          </w:p>
        </w:tc>
      </w:tr>
      <w:tr>
        <w:tc>
          <w:tcPr>
            <w:tcW w:type="dxa" w:w="2160"/>
          </w:tcPr>
          <w:p>
            <w:r>
              <w:t>leaky_relu</w:t>
            </w:r>
          </w:p>
        </w:tc>
        <w:tc>
          <w:tcPr>
            <w:tcW w:type="dxa" w:w="2160"/>
          </w:tcPr>
          <w:p>
            <w:r>
              <w:t>0.4405</w:t>
            </w:r>
          </w:p>
        </w:tc>
        <w:tc>
          <w:tcPr>
            <w:tcW w:type="dxa" w:w="2160"/>
          </w:tcPr>
          <w:p>
            <w:r>
              <w:t>0.4775</w:t>
            </w:r>
          </w:p>
        </w:tc>
        <w:tc>
          <w:tcPr>
            <w:tcW w:type="dxa" w:w="2160"/>
          </w:tcPr>
          <w:p>
            <w:r>
              <w:t>+0.0370</w:t>
            </w:r>
          </w:p>
        </w:tc>
      </w:tr>
      <w:tr>
        <w:tc>
          <w:tcPr>
            <w:tcW w:type="dxa" w:w="2160"/>
          </w:tcPr>
          <w:p>
            <w:r>
              <w:t>tanh</w:t>
            </w:r>
          </w:p>
        </w:tc>
        <w:tc>
          <w:tcPr>
            <w:tcW w:type="dxa" w:w="2160"/>
          </w:tcPr>
          <w:p>
            <w:r>
              <w:t>0.4058</w:t>
            </w:r>
          </w:p>
        </w:tc>
        <w:tc>
          <w:tcPr>
            <w:tcW w:type="dxa" w:w="2160"/>
          </w:tcPr>
          <w:p>
            <w:r>
              <w:t>0.4260</w:t>
            </w:r>
          </w:p>
        </w:tc>
        <w:tc>
          <w:tcPr>
            <w:tcW w:type="dxa" w:w="2160"/>
          </w:tcPr>
          <w:p>
            <w:r>
              <w:t>+0.0202</w:t>
            </w:r>
          </w:p>
        </w:tc>
      </w:tr>
      <w:tr>
        <w:tc>
          <w:tcPr>
            <w:tcW w:type="dxa" w:w="2160"/>
          </w:tcPr>
          <w:p>
            <w:r>
              <w:t>sigmoid</w:t>
            </w:r>
          </w:p>
        </w:tc>
        <w:tc>
          <w:tcPr>
            <w:tcW w:type="dxa" w:w="2160"/>
          </w:tcPr>
          <w:p>
            <w:r>
              <w:t>0.3304</w:t>
            </w:r>
          </w:p>
        </w:tc>
        <w:tc>
          <w:tcPr>
            <w:tcW w:type="dxa" w:w="2160"/>
          </w:tcPr>
          <w:p>
            <w:r>
              <w:t>0.3913</w:t>
            </w:r>
          </w:p>
        </w:tc>
        <w:tc>
          <w:tcPr>
            <w:tcW w:type="dxa" w:w="2160"/>
          </w:tcPr>
          <w:p>
            <w:r>
              <w:t>+0.0609</w:t>
            </w:r>
          </w:p>
        </w:tc>
      </w:tr>
      <w:tr>
        <w:tc>
          <w:tcPr>
            <w:tcW w:type="dxa" w:w="2160"/>
          </w:tcPr>
          <w:p>
            <w:r>
              <w:t>gelu</w:t>
            </w:r>
          </w:p>
        </w:tc>
        <w:tc>
          <w:tcPr>
            <w:tcW w:type="dxa" w:w="2160"/>
          </w:tcPr>
          <w:p>
            <w:r>
              <w:t>0.4422</w:t>
            </w:r>
          </w:p>
        </w:tc>
        <w:tc>
          <w:tcPr>
            <w:tcW w:type="dxa" w:w="2160"/>
          </w:tcPr>
          <w:p>
            <w:r>
              <w:t>0.4802</w:t>
            </w:r>
          </w:p>
        </w:tc>
        <w:tc>
          <w:tcPr>
            <w:tcW w:type="dxa" w:w="2160"/>
          </w:tcPr>
          <w:p>
            <w:r>
              <w:t>+0.0380</w:t>
            </w:r>
          </w:p>
        </w:tc>
      </w:tr>
    </w:tbl>
    <w:p/>
    <w:p>
      <w:pPr>
        <w:pStyle w:val="Heading1"/>
      </w:pPr>
      <w:r>
        <w:t>4. Per-Activation Learning Curves</w:t>
      </w:r>
    </w:p>
    <w:p>
      <w:r>
        <w:t>Each figure shows CV accuracy and loss versus iteration for activation-only vs best-practice initialization.</w:t>
      </w:r>
    </w:p>
    <w:p>
      <w:pPr>
        <w:pStyle w:val="Heading2"/>
      </w:pPr>
      <w:r>
        <w:t>RELU</w:t>
      </w:r>
    </w:p>
    <w:p>
      <w:r>
        <w:t>Mode A init: small; Final CV: 0.4401. Mode B init: he; Final CV: 0.4774. Improvement: +0.0373.</w:t>
      </w:r>
    </w:p>
    <w:p>
      <w:r>
        <w:drawing>
          <wp:inline xmlns:a="http://schemas.openxmlformats.org/drawingml/2006/main" xmlns:pic="http://schemas.openxmlformats.org/drawingml/2006/picture">
            <wp:extent cx="5943600" cy="2227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u_lear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LEAKY_RELU</w:t>
      </w:r>
    </w:p>
    <w:p>
      <w:r>
        <w:t>Mode A init: small; Final CV: 0.4405. Mode B init: he; Final CV: 0.4775. Improvement: +0.0370.</w:t>
      </w:r>
    </w:p>
    <w:p>
      <w:r>
        <w:drawing>
          <wp:inline xmlns:a="http://schemas.openxmlformats.org/drawingml/2006/main" xmlns:pic="http://schemas.openxmlformats.org/drawingml/2006/picture">
            <wp:extent cx="5943600" cy="2227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y_relu_lear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TANH</w:t>
      </w:r>
    </w:p>
    <w:p>
      <w:r>
        <w:t>Mode A init: small; Final CV: 0.4058. Mode B init: xavier; Final CV: 0.4260. Improvement: +0.0202.</w:t>
      </w:r>
    </w:p>
    <w:p>
      <w:r>
        <w:drawing>
          <wp:inline xmlns:a="http://schemas.openxmlformats.org/drawingml/2006/main" xmlns:pic="http://schemas.openxmlformats.org/drawingml/2006/picture">
            <wp:extent cx="5943600" cy="2227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h_lear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SIGMOID</w:t>
      </w:r>
    </w:p>
    <w:p>
      <w:r>
        <w:t>Mode A init: small; Final CV: 0.3304. Mode B init: xavier; Final CV: 0.3913. Improvement: +0.0609.</w:t>
      </w:r>
    </w:p>
    <w:p>
      <w:r>
        <w:drawing>
          <wp:inline xmlns:a="http://schemas.openxmlformats.org/drawingml/2006/main" xmlns:pic="http://schemas.openxmlformats.org/drawingml/2006/picture">
            <wp:extent cx="5943600" cy="2227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moid_lear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GELU</w:t>
      </w:r>
    </w:p>
    <w:p>
      <w:r>
        <w:t>Mode A init: small; Final CV: 0.4422. Mode B init: he; Final CV: 0.4802. Improvement: +0.0380.</w:t>
      </w:r>
    </w:p>
    <w:p>
      <w:r>
        <w:drawing>
          <wp:inline xmlns:a="http://schemas.openxmlformats.org/drawingml/2006/main" xmlns:pic="http://schemas.openxmlformats.org/drawingml/2006/picture">
            <wp:extent cx="5943600" cy="2227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lu_lear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Findings &amp; Interpretation</w:t>
      </w:r>
    </w:p>
    <w:p>
      <w:r>
        <w:t>- Best-practice initialization improved final CV accuracy for every activation tested.</w:t>
      </w:r>
    </w:p>
    <w:p>
      <w:r>
        <w:t>- ReLU-family activations (ReLU, Leaky ReLU) and GELU outperformed tanh and sigmoid in this 2-layer FC setting.</w:t>
      </w:r>
    </w:p>
    <w:p>
      <w:r>
        <w:t>- GELU achieved the best final CV accuracy in both regimes, with a small but consistent advantage.</w:t>
      </w:r>
    </w:p>
    <w:p>
      <w:r>
        <w:t>- Sigmoid benefited the most from best-practice initialization but remained the lowest-performing activation overall in this setup.</w:t>
      </w:r>
    </w:p>
    <w:p>
      <w:pPr>
        <w:pStyle w:val="Heading1"/>
      </w:pPr>
      <w:r>
        <w:t>6. Why Best-Practice Initialization Depends on Activation</w:t>
      </w:r>
    </w:p>
    <w:p>
      <w:r>
        <w:t>Initialization aims to keep activation magnitudes and gradient magnitudes in a healthy range. Different nonlinearities change the variance of signals passing through the network; He and Xavier initializations choose weight scales to approximately preserve signal variance (forward) and gradient variance (backward), improving optimization stability.</w:t>
      </w:r>
    </w:p>
    <w:p>
      <w:pPr>
        <w:pStyle w:val="Heading2"/>
      </w:pPr>
      <w:r>
        <w:t>6.1 He initialization (ReLU / Leaky ReLU / GELU)</w:t>
      </w:r>
    </w:p>
    <w:p>
      <w:r>
        <w:t>ReLU-like activations gate or attenuate negative inputs, reducing signal variance (e.g., ReLU sets many negative values to zero). He initialization uses a larger variance (≈2/fan_in) to compensate, helping maintain stable activations and gradients. Leaky ReLU and GELU behave similarly enough that He is a strong default.</w:t>
      </w:r>
    </w:p>
    <w:p>
      <w:pPr>
        <w:pStyle w:val="Heading2"/>
      </w:pPr>
      <w:r>
        <w:t>6.2 Xavier initialization (tanh / sigmoid)</w:t>
      </w:r>
    </w:p>
    <w:p>
      <w:r>
        <w:t>tanh and sigmoid can saturate when pre-activations are large, leading to small derivatives and vanishing gradients. Xavier initialization (≈2/(fan_in+fan_out)) aims to keep pre-activations closer to zero initially, where these activations are more linear and gradients are larger.</w:t>
      </w:r>
    </w:p>
    <w:p>
      <w:pPr>
        <w:pStyle w:val="Heading1"/>
      </w:pPr>
      <w:r>
        <w:t>7. Reproducibility Notes</w:t>
      </w:r>
    </w:p>
    <w:p>
      <w:r>
        <w:t>All runs used seed=42, hidden size H=200, reg=0.001, and the same learning-rate schedule. Mode A used the same small initialization for all activations. Mode B used He for ReLU-family/GELU and Xavier for tanh/sigmoid.</w:t>
      </w:r>
    </w:p>
    <w:p>
      <w:pPr>
        <w:pStyle w:val="Heading1"/>
      </w:pPr>
      <w:r>
        <w:t>8. Artifacts (Saved Weights)</w:t>
      </w:r>
    </w:p>
    <w:p>
      <w:r>
        <w:t>During training, checkpoints were saved every 100 iterations under models/checkpoints/&lt;activation&gt;_&lt;mode&gt;/, and final weights were saved under models/final/. Files are stored as NumPy .npz archives containing W1, b1, W2, b2 along with a JSON metadata file.</w:t>
      </w:r>
    </w:p>
    <w:p>
      <w:r>
        <w:br w:type="page"/>
      </w:r>
    </w:p>
    <w:p>
      <w:pPr>
        <w:pStyle w:val="Heading1"/>
      </w:pPr>
      <w:r>
        <w:t>Appendix: Activation Function Shapes (f(x))</w:t>
      </w:r>
    </w:p>
    <w:p>
      <w:r>
        <w:t>The following plots show the activation function shapes f(x) over x ∈ [-5, 5].</w:t>
      </w:r>
    </w:p>
    <w:p>
      <w:pPr>
        <w:pStyle w:val="Heading2"/>
      </w:pPr>
      <w:r>
        <w:t>A.1 All activations (shape comparison)</w:t>
      </w:r>
    </w:p>
    <w:p>
      <w:r>
        <w:drawing>
          <wp:inline xmlns:a="http://schemas.openxmlformats.org/drawingml/2006/main" xmlns:pic="http://schemas.openxmlformats.org/drawingml/2006/picture">
            <wp:extent cx="5943600" cy="38462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shapes_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A.2 Individual activation shapes</w:t>
      </w:r>
    </w:p>
    <w:p>
      <w:pPr>
        <w:pStyle w:val="Heading3"/>
      </w:pPr>
      <w:r>
        <w:t>ReLU</w:t>
      </w:r>
    </w:p>
    <w:p>
      <w:r>
        <w:drawing>
          <wp:inline xmlns:a="http://schemas.openxmlformats.org/drawingml/2006/main" xmlns:pic="http://schemas.openxmlformats.org/drawingml/2006/picture">
            <wp:extent cx="5943600" cy="43187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shape_rel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Leaky ReLU (α=0.01)</w:t>
      </w:r>
    </w:p>
    <w:p>
      <w:r>
        <w:drawing>
          <wp:inline xmlns:a="http://schemas.openxmlformats.org/drawingml/2006/main" xmlns:pic="http://schemas.openxmlformats.org/drawingml/2006/picture">
            <wp:extent cx="5943600" cy="4318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shape_leaky_relu_alpha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tanh</w:t>
      </w:r>
    </w:p>
    <w:p>
      <w:r>
        <w:drawing>
          <wp:inline xmlns:a="http://schemas.openxmlformats.org/drawingml/2006/main" xmlns:pic="http://schemas.openxmlformats.org/drawingml/2006/picture">
            <wp:extent cx="5943600" cy="40721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shape_tan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sigmoid</w:t>
      </w:r>
    </w:p>
    <w:p>
      <w:r>
        <w:drawing>
          <wp:inline xmlns:a="http://schemas.openxmlformats.org/drawingml/2006/main" xmlns:pic="http://schemas.openxmlformats.org/drawingml/2006/picture">
            <wp:extent cx="5943600" cy="42173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shape_sigmo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GELU (tanh approx)</w:t>
      </w:r>
    </w:p>
    <w:p>
      <w:r>
        <w:drawing>
          <wp:inline xmlns:a="http://schemas.openxmlformats.org/drawingml/2006/main" xmlns:pic="http://schemas.openxmlformats.org/drawingml/2006/picture">
            <wp:extent cx="5943600" cy="43187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shape_gelu_tanh_appr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7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